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63500</wp:posOffset>
            </wp:positionV>
            <wp:extent cx="2228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49530</wp:posOffset>
            </wp:positionV>
            <wp:extent cx="2228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gridSpan w:val="3"/>
          </w:tcPr>
          <w:p>
            <w:pPr>
              <w:ind w:left="320"/>
              <w:spacing w:after="0"/>
              <w:rPr>
                <w:sz w:val="20"/>
                <w:szCs w:val="20"/>
                <w:color w:val="auto"/>
              </w:rPr>
            </w:pPr>
            <w:r>
              <w:rPr>
                <w:rFonts w:ascii="Arial" w:cs="Arial" w:eastAsia="Arial" w:hAnsi="Arial"/>
                <w:sz w:val="18"/>
                <w:szCs w:val="18"/>
                <w:b w:val="1"/>
                <w:bCs w:val="1"/>
                <w:color w:val="auto"/>
                <w:w w:val="99"/>
              </w:rPr>
              <w:t>For the transition period from</w:t>
            </w:r>
          </w:p>
        </w:tc>
        <w:tc>
          <w:tcPr>
            <w:tcW w:w="4020" w:type="dxa"/>
            <w:vAlign w:val="bottom"/>
            <w:gridSpan w:val="3"/>
          </w:tcPr>
          <w:p>
            <w:pPr>
              <w:ind w:left="200"/>
              <w:spacing w:after="0"/>
              <w:rPr>
                <w:sz w:val="20"/>
                <w:szCs w:val="20"/>
                <w:color w:val="auto"/>
              </w:rPr>
            </w:pPr>
            <w:r>
              <w:rPr>
                <w:rFonts w:ascii="Arial" w:cs="Arial" w:eastAsia="Arial" w:hAnsi="Arial"/>
                <w:sz w:val="18"/>
                <w:szCs w:val="18"/>
                <w:b w:val="1"/>
                <w:bCs w:val="1"/>
                <w:color w:val="auto"/>
              </w:rPr>
              <w:t>to</w:t>
            </w:r>
          </w:p>
        </w:tc>
      </w:tr>
      <w:tr>
        <w:trPr>
          <w:trHeight w:val="270"/>
        </w:trPr>
        <w:tc>
          <w:tcPr>
            <w:tcW w:w="9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80" w:type="dxa"/>
            <w:vAlign w:val="bottom"/>
            <w:gridSpan w:val="6"/>
          </w:tcPr>
          <w:p>
            <w:pPr>
              <w:jc w:val="center"/>
              <w:ind w:right="3282"/>
              <w:spacing w:after="0"/>
              <w:rPr>
                <w:sz w:val="20"/>
                <w:szCs w:val="20"/>
                <w:color w:val="auto"/>
              </w:rPr>
            </w:pPr>
            <w:r>
              <w:rPr>
                <w:rFonts w:ascii="Arial" w:cs="Arial" w:eastAsia="Arial" w:hAnsi="Arial"/>
                <w:sz w:val="18"/>
                <w:szCs w:val="18"/>
                <w:b w:val="1"/>
                <w:bCs w:val="1"/>
                <w:color w:val="auto"/>
                <w:w w:val="90"/>
              </w:rPr>
              <w:t>Commission File Number 001-40836</w:t>
            </w:r>
          </w:p>
        </w:tc>
      </w:tr>
      <w:tr>
        <w:trPr>
          <w:trHeight w:val="81"/>
        </w:trPr>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gridSpan w:val="2"/>
          </w:tcPr>
          <w:p>
            <w:pPr>
              <w:spacing w:after="0"/>
              <w:rPr>
                <w:sz w:val="7"/>
                <w:szCs w:val="7"/>
                <w:color w:val="auto"/>
              </w:rPr>
            </w:pPr>
          </w:p>
        </w:tc>
        <w:tc>
          <w:tcPr>
            <w:tcW w:w="680" w:type="dxa"/>
            <w:vAlign w:val="bottom"/>
          </w:tcPr>
          <w:p>
            <w:pPr>
              <w:spacing w:after="0"/>
              <w:rPr>
                <w:sz w:val="7"/>
                <w:szCs w:val="7"/>
                <w:color w:val="auto"/>
              </w:rPr>
            </w:pPr>
          </w:p>
        </w:tc>
        <w:tc>
          <w:tcPr>
            <w:tcW w:w="2680" w:type="dxa"/>
            <w:vAlign w:val="bottom"/>
          </w:tcPr>
          <w:p>
            <w:pPr>
              <w:spacing w:after="0"/>
              <w:rPr>
                <w:sz w:val="7"/>
                <w:szCs w:val="7"/>
                <w:color w:val="auto"/>
              </w:rPr>
            </w:pPr>
          </w:p>
        </w:tc>
      </w:tr>
      <w:tr>
        <w:trPr>
          <w:trHeight w:val="575"/>
        </w:trPr>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360" w:type="dxa"/>
            <w:vAlign w:val="bottom"/>
            <w:gridSpan w:val="7"/>
          </w:tcPr>
          <w:p>
            <w:pPr>
              <w:jc w:val="center"/>
              <w:ind w:right="2782"/>
              <w:spacing w:after="0"/>
              <w:rPr>
                <w:sz w:val="20"/>
                <w:szCs w:val="20"/>
                <w:color w:val="auto"/>
              </w:rPr>
            </w:pPr>
            <w:r>
              <w:rPr>
                <w:rFonts w:ascii="Arial" w:cs="Arial" w:eastAsia="Arial" w:hAnsi="Arial"/>
                <w:sz w:val="32"/>
                <w:szCs w:val="32"/>
                <w:b w:val="1"/>
                <w:bCs w:val="1"/>
                <w:color w:val="auto"/>
                <w:w w:val="96"/>
              </w:rPr>
              <w:t>Brilliant Earth Group, Inc.</w:t>
            </w:r>
          </w:p>
        </w:tc>
      </w:tr>
      <w:tr>
        <w:trPr>
          <w:trHeight w:val="216"/>
        </w:trPr>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80" w:type="dxa"/>
            <w:vAlign w:val="bottom"/>
            <w:gridSpan w:val="6"/>
          </w:tcPr>
          <w:p>
            <w:pPr>
              <w:jc w:val="center"/>
              <w:ind w:right="3262"/>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80"/>
        </w:trPr>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2680" w:type="dxa"/>
            <w:vAlign w:val="bottom"/>
          </w:tcPr>
          <w:p>
            <w:pPr>
              <w:spacing w:after="0"/>
              <w:rPr>
                <w:sz w:val="6"/>
                <w:szCs w:val="6"/>
                <w:color w:val="auto"/>
              </w:rPr>
            </w:pPr>
          </w:p>
        </w:tc>
      </w:tr>
      <w:tr>
        <w:trPr>
          <w:trHeight w:val="453"/>
        </w:trPr>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jc w:val="center"/>
              <w:ind w:right="115"/>
              <w:spacing w:after="0"/>
              <w:rPr>
                <w:sz w:val="20"/>
                <w:szCs w:val="20"/>
                <w:color w:val="auto"/>
              </w:rPr>
            </w:pPr>
            <w:r>
              <w:rPr>
                <w:rFonts w:ascii="Arial" w:cs="Arial" w:eastAsia="Arial" w:hAnsi="Arial"/>
                <w:sz w:val="18"/>
                <w:szCs w:val="18"/>
                <w:b w:val="1"/>
                <w:bCs w:val="1"/>
                <w:color w:val="auto"/>
                <w:w w:val="91"/>
              </w:rPr>
              <w:t>Delaware</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20" w:type="dxa"/>
            <w:vAlign w:val="bottom"/>
            <w:gridSpan w:val="3"/>
          </w:tcPr>
          <w:p>
            <w:pPr>
              <w:jc w:val="right"/>
              <w:ind w:right="1762"/>
              <w:spacing w:after="0"/>
              <w:rPr>
                <w:sz w:val="20"/>
                <w:szCs w:val="20"/>
                <w:color w:val="auto"/>
              </w:rPr>
            </w:pPr>
            <w:r>
              <w:rPr>
                <w:rFonts w:ascii="Arial" w:cs="Arial" w:eastAsia="Arial" w:hAnsi="Arial"/>
                <w:sz w:val="18"/>
                <w:szCs w:val="18"/>
                <w:b w:val="1"/>
                <w:bCs w:val="1"/>
                <w:color w:val="auto"/>
              </w:rPr>
              <w:t>87-1015499</w:t>
            </w:r>
          </w:p>
        </w:tc>
      </w:tr>
      <w:tr>
        <w:trPr>
          <w:trHeight w:val="284"/>
        </w:trPr>
        <w:tc>
          <w:tcPr>
            <w:tcW w:w="6380" w:type="dxa"/>
            <w:vAlign w:val="bottom"/>
            <w:gridSpan w:val="7"/>
          </w:tcPr>
          <w:p>
            <w:pPr>
              <w:jc w:val="center"/>
              <w:ind w:right="14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20" w:type="dxa"/>
            <w:vAlign w:val="bottom"/>
            <w:gridSpan w:val="3"/>
          </w:tcPr>
          <w:p>
            <w:pPr>
              <w:ind w:left="280"/>
              <w:spacing w:after="0"/>
              <w:rPr>
                <w:sz w:val="20"/>
                <w:szCs w:val="20"/>
                <w:color w:val="auto"/>
              </w:rPr>
            </w:pPr>
            <w:r>
              <w:rPr>
                <w:rFonts w:ascii="Arial" w:cs="Arial" w:eastAsia="Arial" w:hAnsi="Arial"/>
                <w:sz w:val="18"/>
                <w:szCs w:val="18"/>
                <w:color w:val="auto"/>
              </w:rPr>
              <w:t>(I.R.S. Employer Identification Number)</w:t>
            </w:r>
          </w:p>
        </w:tc>
      </w:tr>
      <w:tr>
        <w:trPr>
          <w:trHeight w:val="279"/>
        </w:trPr>
        <w:tc>
          <w:tcPr>
            <w:tcW w:w="960" w:type="dxa"/>
            <w:vAlign w:val="bottom"/>
          </w:tcPr>
          <w:p>
            <w:pPr>
              <w:spacing w:after="0"/>
              <w:rPr>
                <w:sz w:val="24"/>
                <w:szCs w:val="24"/>
                <w:color w:val="auto"/>
              </w:rPr>
            </w:pPr>
          </w:p>
        </w:tc>
        <w:tc>
          <w:tcPr>
            <w:tcW w:w="5420" w:type="dxa"/>
            <w:vAlign w:val="bottom"/>
            <w:gridSpan w:val="6"/>
          </w:tcPr>
          <w:p>
            <w:pPr>
              <w:jc w:val="center"/>
              <w:ind w:right="2460"/>
              <w:spacing w:after="0"/>
              <w:rPr>
                <w:sz w:val="20"/>
                <w:szCs w:val="20"/>
                <w:color w:val="auto"/>
              </w:rPr>
            </w:pPr>
            <w:r>
              <w:rPr>
                <w:rFonts w:ascii="Arial" w:cs="Arial" w:eastAsia="Arial" w:hAnsi="Arial"/>
                <w:sz w:val="18"/>
                <w:szCs w:val="18"/>
                <w:b w:val="1"/>
                <w:bCs w:val="1"/>
                <w:color w:val="auto"/>
                <w:w w:val="92"/>
              </w:rPr>
              <w:t>300 Grant Avenue, Third Floor</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4"/>
        </w:trPr>
        <w:tc>
          <w:tcPr>
            <w:tcW w:w="960" w:type="dxa"/>
            <w:vAlign w:val="bottom"/>
          </w:tcPr>
          <w:p>
            <w:pPr>
              <w:spacing w:after="0"/>
              <w:rPr>
                <w:sz w:val="20"/>
                <w:szCs w:val="20"/>
                <w:color w:val="auto"/>
              </w:rPr>
            </w:pPr>
          </w:p>
        </w:tc>
        <w:tc>
          <w:tcPr>
            <w:tcW w:w="5420" w:type="dxa"/>
            <w:vAlign w:val="bottom"/>
            <w:gridSpan w:val="6"/>
          </w:tcPr>
          <w:p>
            <w:pPr>
              <w:jc w:val="center"/>
              <w:ind w:right="2460"/>
              <w:spacing w:after="0"/>
              <w:rPr>
                <w:sz w:val="20"/>
                <w:szCs w:val="20"/>
                <w:color w:val="auto"/>
              </w:rPr>
            </w:pPr>
            <w:r>
              <w:rPr>
                <w:rFonts w:ascii="Arial" w:cs="Arial" w:eastAsia="Arial" w:hAnsi="Arial"/>
                <w:sz w:val="18"/>
                <w:szCs w:val="18"/>
                <w:b w:val="1"/>
                <w:bCs w:val="1"/>
                <w:color w:val="auto"/>
                <w:w w:val="90"/>
              </w:rPr>
              <w:t>San Francisco, CA</w:t>
            </w:r>
          </w:p>
        </w:tc>
        <w:tc>
          <w:tcPr>
            <w:tcW w:w="4020" w:type="dxa"/>
            <w:vAlign w:val="bottom"/>
            <w:gridSpan w:val="3"/>
          </w:tcPr>
          <w:p>
            <w:pPr>
              <w:jc w:val="right"/>
              <w:ind w:right="1982"/>
              <w:spacing w:after="0"/>
              <w:rPr>
                <w:sz w:val="20"/>
                <w:szCs w:val="20"/>
                <w:color w:val="auto"/>
              </w:rPr>
            </w:pPr>
            <w:r>
              <w:rPr>
                <w:rFonts w:ascii="Arial" w:cs="Arial" w:eastAsia="Arial" w:hAnsi="Arial"/>
                <w:sz w:val="18"/>
                <w:szCs w:val="18"/>
                <w:b w:val="1"/>
                <w:bCs w:val="1"/>
                <w:color w:val="auto"/>
              </w:rPr>
              <w:t>94108</w:t>
            </w:r>
          </w:p>
        </w:tc>
      </w:tr>
      <w:tr>
        <w:trPr>
          <w:trHeight w:val="283"/>
        </w:trPr>
        <w:tc>
          <w:tcPr>
            <w:tcW w:w="960" w:type="dxa"/>
            <w:vAlign w:val="bottom"/>
          </w:tcPr>
          <w:p>
            <w:pPr>
              <w:spacing w:after="0"/>
              <w:rPr>
                <w:sz w:val="24"/>
                <w:szCs w:val="24"/>
                <w:color w:val="auto"/>
              </w:rPr>
            </w:pPr>
          </w:p>
        </w:tc>
        <w:tc>
          <w:tcPr>
            <w:tcW w:w="5420" w:type="dxa"/>
            <w:vAlign w:val="bottom"/>
            <w:gridSpan w:val="6"/>
          </w:tcPr>
          <w:p>
            <w:pPr>
              <w:jc w:val="center"/>
              <w:ind w:right="2460"/>
              <w:spacing w:after="0"/>
              <w:rPr>
                <w:sz w:val="20"/>
                <w:szCs w:val="20"/>
                <w:color w:val="auto"/>
              </w:rPr>
            </w:pPr>
            <w:r>
              <w:rPr>
                <w:rFonts w:ascii="Arial" w:cs="Arial" w:eastAsia="Arial" w:hAnsi="Arial"/>
                <w:sz w:val="18"/>
                <w:szCs w:val="18"/>
                <w:color w:val="auto"/>
                <w:w w:val="92"/>
              </w:rPr>
              <w:t>(Address of principal executive offices)</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(Zip Code)</w:t>
            </w:r>
          </w:p>
        </w:tc>
      </w:tr>
      <w:tr>
        <w:trPr>
          <w:trHeight w:val="405"/>
        </w:trPr>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340" w:type="dxa"/>
            <w:vAlign w:val="bottom"/>
            <w:gridSpan w:val="4"/>
          </w:tcPr>
          <w:p>
            <w:pPr>
              <w:jc w:val="center"/>
              <w:ind w:left="1032"/>
              <w:spacing w:after="0"/>
              <w:rPr>
                <w:sz w:val="20"/>
                <w:szCs w:val="20"/>
                <w:color w:val="auto"/>
              </w:rPr>
            </w:pPr>
            <w:r>
              <w:rPr>
                <w:rFonts w:ascii="Arial" w:cs="Arial" w:eastAsia="Arial" w:hAnsi="Arial"/>
                <w:sz w:val="18"/>
                <w:szCs w:val="18"/>
                <w:b w:val="1"/>
                <w:bCs w:val="1"/>
                <w:color w:val="auto"/>
                <w:w w:val="90"/>
              </w:rPr>
              <w:t>(800) 691-0952</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43"/>
        </w:trPr>
        <w:tc>
          <w:tcPr>
            <w:tcW w:w="9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360" w:type="dxa"/>
            <w:vAlign w:val="bottom"/>
            <w:gridSpan w:val="7"/>
          </w:tcPr>
          <w:p>
            <w:pPr>
              <w:jc w:val="center"/>
              <w:ind w:right="2802"/>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82"/>
        </w:trPr>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N/A</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6"/>
        </w:trPr>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360" w:type="dxa"/>
            <w:vAlign w:val="bottom"/>
            <w:gridSpan w:val="8"/>
          </w:tcPr>
          <w:p>
            <w:pPr>
              <w:jc w:val="center"/>
              <w:ind w:right="1802"/>
              <w:spacing w:after="0"/>
              <w:rPr>
                <w:sz w:val="20"/>
                <w:szCs w:val="20"/>
                <w:color w:val="auto"/>
              </w:rPr>
            </w:pPr>
            <w:r>
              <w:rPr>
                <w:rFonts w:ascii="Arial" w:cs="Arial" w:eastAsia="Arial" w:hAnsi="Arial"/>
                <w:sz w:val="16"/>
                <w:szCs w:val="16"/>
                <w:color w:val="auto"/>
                <w:w w:val="91"/>
              </w:rPr>
              <w:t>(Former name, former address and former fiscal year, if changed since last report)</w:t>
            </w:r>
          </w:p>
        </w:tc>
      </w:tr>
      <w:tr>
        <w:trPr>
          <w:trHeight w:val="33"/>
        </w:trPr>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8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385"/>
        </w:trPr>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360" w:type="dxa"/>
            <w:vAlign w:val="bottom"/>
            <w:gridSpan w:val="7"/>
          </w:tcPr>
          <w:p>
            <w:pPr>
              <w:jc w:val="center"/>
              <w:ind w:right="2802"/>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02"/>
        </w:trPr>
        <w:tc>
          <w:tcPr>
            <w:tcW w:w="9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6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w w:val="92"/>
              </w:rPr>
              <w:t>Trading Symbol(s)</w:t>
            </w: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80" w:type="dxa"/>
            <w:vAlign w:val="bottom"/>
          </w:tcPr>
          <w:p>
            <w:pP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38"/>
        </w:trPr>
        <w:tc>
          <w:tcPr>
            <w:tcW w:w="3040" w:type="dxa"/>
            <w:vAlign w:val="bottom"/>
            <w:gridSpan w:val="3"/>
          </w:tcPr>
          <w:p>
            <w:pPr>
              <w:jc w:val="center"/>
              <w:spacing w:after="0"/>
              <w:rPr>
                <w:sz w:val="20"/>
                <w:szCs w:val="20"/>
                <w:color w:val="auto"/>
              </w:rPr>
            </w:pPr>
            <w:r>
              <w:rPr>
                <w:rFonts w:ascii="Arial" w:cs="Arial" w:eastAsia="Arial" w:hAnsi="Arial"/>
                <w:sz w:val="14"/>
                <w:szCs w:val="14"/>
                <w:color w:val="auto"/>
                <w:w w:val="92"/>
              </w:rPr>
              <w:t>Class A common stock, $0.0001 par value per share</w:t>
            </w: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BRLT</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80" w:type="dxa"/>
            <w:vAlign w:val="bottom"/>
          </w:tcPr>
          <w:p>
            <w:pPr>
              <w:ind w:left="560"/>
              <w:spacing w:after="0"/>
              <w:rPr>
                <w:sz w:val="20"/>
                <w:szCs w:val="20"/>
                <w:color w:val="auto"/>
              </w:rPr>
            </w:pPr>
            <w:r>
              <w:rPr>
                <w:rFonts w:ascii="Arial" w:cs="Arial" w:eastAsia="Arial" w:hAnsi="Arial"/>
                <w:sz w:val="14"/>
                <w:szCs w:val="14"/>
                <w:color w:val="auto"/>
              </w:rPr>
              <w:t>The Nasdaq Global Market</w:t>
            </w:r>
          </w:p>
        </w:tc>
      </w:tr>
    </w:tbl>
    <w:p>
      <w:pPr>
        <w:spacing w:after="0" w:line="17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50" w:lineRule="exact"/>
        <w:rPr>
          <w:sz w:val="24"/>
          <w:szCs w:val="24"/>
          <w:color w:val="auto"/>
        </w:rPr>
      </w:pPr>
    </w:p>
    <w:p>
      <w:pPr>
        <w:jc w:val="right"/>
        <w:spacing w:after="0" w:line="219" w:lineRule="exact"/>
        <w:rPr>
          <w:sz w:val="20"/>
          <w:szCs w:val="20"/>
          <w:color w:val="auto"/>
        </w:rPr>
      </w:pPr>
      <w:r>
        <w:rPr>
          <w:rFonts w:ascii="Arial" w:cs="Arial" w:eastAsia="Arial" w:hAnsi="Arial"/>
          <w:sz w:val="18"/>
          <w:szCs w:val="18"/>
          <w:color w:val="auto"/>
        </w:rPr>
        <w:t xml:space="preserve">Yes No </w:t>
      </w:r>
      <w:r>
        <w:rPr>
          <w:rFonts w:ascii="MS PGothic" w:cs="MS PGothic" w:eastAsia="MS PGothic" w:hAnsi="MS PGothic"/>
          <w:sz w:val="19"/>
          <w:szCs w:val="19"/>
          <w:color w:val="auto"/>
        </w:rPr>
        <w:t>☒</w:t>
      </w: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50" w:lineRule="exact"/>
        <w:rPr>
          <w:sz w:val="24"/>
          <w:szCs w:val="24"/>
          <w:color w:val="auto"/>
        </w:rPr>
      </w:pPr>
    </w:p>
    <w:p>
      <w:pPr>
        <w:ind w:left="10500"/>
        <w:spacing w:after="0" w:line="196" w:lineRule="exact"/>
        <w:rPr>
          <w:sz w:val="20"/>
          <w:szCs w:val="20"/>
          <w:color w:val="auto"/>
        </w:rPr>
      </w:pPr>
      <w:r>
        <w:rPr>
          <w:rFonts w:ascii="Arial" w:cs="Arial" w:eastAsia="Arial" w:hAnsi="Arial"/>
          <w:sz w:val="16"/>
          <w:szCs w:val="16"/>
          <w:color w:val="auto"/>
        </w:rPr>
        <w:t xml:space="preserve">Yes No </w:t>
      </w:r>
      <w:r>
        <w:rPr>
          <w:rFonts w:ascii="MS PGothic" w:cs="MS PGothic" w:eastAsia="MS PGothic" w:hAnsi="MS PGothic"/>
          <w:sz w:val="17"/>
          <w:szCs w:val="17"/>
          <w:color w:val="auto"/>
        </w:rPr>
        <w:t>☒</w:t>
      </w:r>
    </w:p>
    <w:p>
      <w:pPr>
        <w:spacing w:after="0" w:line="92"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1" w:lineRule="exact"/>
        <w:rPr>
          <w:sz w:val="24"/>
          <w:szCs w:val="24"/>
          <w:color w:val="auto"/>
        </w:rPr>
      </w:pPr>
    </w:p>
    <w:p>
      <w:pPr>
        <w:jc w:val="both"/>
        <w:spacing w:after="0" w:line="22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29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2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9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spacing w:after="0"/>
              <w:rPr>
                <w:sz w:val="22"/>
                <w:szCs w:val="22"/>
                <w:color w:val="auto"/>
              </w:rPr>
            </w:pPr>
          </w:p>
        </w:tc>
        <w:tc>
          <w:tcPr>
            <w:tcW w:w="540" w:type="dxa"/>
            <w:vAlign w:val="bottom"/>
          </w:tcPr>
          <w:p>
            <w:pPr>
              <w:spacing w:after="0"/>
              <w:rPr>
                <w:sz w:val="22"/>
                <w:szCs w:val="22"/>
                <w:color w:val="auto"/>
              </w:rPr>
            </w:pPr>
          </w:p>
        </w:tc>
      </w:tr>
    </w:tbl>
    <w:p>
      <w:pPr>
        <w:spacing w:after="0" w:line="200" w:lineRule="exact"/>
        <w:rPr>
          <w:sz w:val="24"/>
          <w:szCs w:val="24"/>
          <w:color w:val="auto"/>
        </w:rPr>
      </w:pPr>
    </w:p>
    <w:p>
      <w:pPr>
        <w:sectPr>
          <w:pgSz w:w="11900" w:h="16838" w:orient="portrait"/>
          <w:cols w:equalWidth="0" w:num="1">
            <w:col w:w="11240"/>
          </w:cols>
          <w:pgMar w:left="320" w:top="476" w:right="339" w:bottom="1440" w:gutter="0" w:footer="0" w:header="0"/>
        </w:sectPr>
      </w:pPr>
    </w:p>
    <w:p>
      <w:pPr>
        <w:spacing w:after="0" w:line="233" w:lineRule="exact"/>
        <w:rPr>
          <w:sz w:val="24"/>
          <w:szCs w:val="24"/>
          <w:color w:val="auto"/>
        </w:rPr>
      </w:pPr>
    </w:p>
    <w:p>
      <w:pPr>
        <w:jc w:val="center"/>
        <w:ind w:left="36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324"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p>
    <w:p>
      <w:pPr>
        <w:ind w:right="220"/>
        <w:spacing w:after="0" w:line="20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0" w:lineRule="exact"/>
        <w:rPr>
          <w:sz w:val="20"/>
          <w:szCs w:val="20"/>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285" w:lineRule="exact"/>
        <w:rPr>
          <w:sz w:val="20"/>
          <w:szCs w:val="20"/>
          <w:color w:val="auto"/>
        </w:rPr>
      </w:pPr>
    </w:p>
    <w:p>
      <w:pPr>
        <w:ind w:right="220"/>
        <w:spacing w:after="0" w:line="305" w:lineRule="auto"/>
        <w:rPr>
          <w:sz w:val="20"/>
          <w:szCs w:val="20"/>
          <w:color w:val="auto"/>
        </w:rPr>
      </w:pPr>
      <w:r>
        <w:rPr>
          <w:rFonts w:ascii="Arial" w:cs="Arial" w:eastAsia="Arial" w:hAnsi="Arial"/>
          <w:sz w:val="14"/>
          <w:szCs w:val="14"/>
          <w:color w:val="auto"/>
        </w:rPr>
        <w:t>The aggregate market value of the voting and non-voting common equity held by non-affiliates as of June 30, 2022, was $51.2 million based on the closing price of the registrant’s common stock as reported on the NASDAQ Global Select Market on such date. Shares of common stock held by each officer and director and by each person who may be deemed to be an affiliate have been excluded. This determination of affiliate status is not necessarily a conclusive determination for other purposes.</w:t>
      </w:r>
    </w:p>
    <w:p>
      <w:pPr>
        <w:spacing w:after="0" w:line="183" w:lineRule="exact"/>
        <w:rPr>
          <w:sz w:val="20"/>
          <w:szCs w:val="20"/>
          <w:color w:val="auto"/>
        </w:rPr>
      </w:pPr>
    </w:p>
    <w:p>
      <w:pPr>
        <w:ind w:right="400"/>
        <w:spacing w:after="0" w:line="243" w:lineRule="auto"/>
        <w:rPr>
          <w:sz w:val="20"/>
          <w:szCs w:val="20"/>
          <w:color w:val="auto"/>
        </w:rPr>
      </w:pPr>
      <w:r>
        <w:rPr>
          <w:rFonts w:ascii="Arial" w:cs="Arial" w:eastAsia="Arial" w:hAnsi="Arial"/>
          <w:sz w:val="16"/>
          <w:szCs w:val="16"/>
          <w:color w:val="auto"/>
        </w:rPr>
        <w:t>As of March 14, 2023, there were 11,566,635 shares of the registrant's Class A common stock, $0.0001 par value per share, outstanding, 35,492,492 shares of the registrant’s Class B common stock, $0.0001 par value per share, outstanding, 49,119,976 shares of the registrant’s Class C common stock, $0.0001 par value per share, outstanding and no shares of the registrant’s Class D common stock, $0.0001 per share, outstanding.</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Specifically identified portions of the registrant’s definitive proxy statement for the 2023 annual meeting of stockholders, which will be filed no later than 120 days after the end of the registrant’s fiscal year ended December 31, 2022,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60" w:type="dxa"/>
            <w:vAlign w:val="bottom"/>
            <w:gridSpan w:val="12"/>
          </w:tcPr>
          <w:p>
            <w:pPr>
              <w:ind w:left="14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80" w:type="dxa"/>
            <w:vAlign w:val="bottom"/>
            <w:gridSpan w:val="5"/>
          </w:tcPr>
          <w:p>
            <w:pPr>
              <w:jc w:val="right"/>
              <w:ind w:righ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0"/>
        </w:trPr>
        <w:tc>
          <w:tcPr>
            <w:tcW w:w="760" w:type="dxa"/>
            <w:vAlign w:val="bottom"/>
            <w:vMerge w:val="restart"/>
          </w:tcPr>
          <w:p>
            <w:pPr>
              <w:spacing w:after="0"/>
              <w:rPr>
                <w:sz w:val="3"/>
                <w:szCs w:val="3"/>
                <w:color w:val="auto"/>
              </w:rPr>
            </w:pPr>
          </w:p>
        </w:tc>
        <w:tc>
          <w:tcPr>
            <w:tcW w:w="44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26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40" w:type="dxa"/>
            <w:vAlign w:val="bottom"/>
            <w:vMerge w:val="restart"/>
          </w:tcPr>
          <w:p>
            <w:pPr>
              <w:spacing w:after="0"/>
              <w:rPr>
                <w:sz w:val="3"/>
                <w:szCs w:val="3"/>
                <w:color w:val="auto"/>
              </w:rPr>
            </w:pPr>
          </w:p>
        </w:tc>
        <w:tc>
          <w:tcPr>
            <w:tcW w:w="140" w:type="dxa"/>
            <w:vAlign w:val="bottom"/>
            <w:vMerge w:val="restart"/>
          </w:tcPr>
          <w:p>
            <w:pPr>
              <w:spacing w:after="0"/>
              <w:rPr>
                <w:sz w:val="3"/>
                <w:szCs w:val="3"/>
                <w:color w:val="auto"/>
              </w:rPr>
            </w:pPr>
          </w:p>
        </w:tc>
        <w:tc>
          <w:tcPr>
            <w:tcW w:w="1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60" w:type="dxa"/>
            <w:vAlign w:val="bottom"/>
            <w:vMerge w:val="restart"/>
          </w:tcPr>
          <w:p>
            <w:pPr>
              <w:spacing w:after="0"/>
              <w:rPr>
                <w:sz w:val="3"/>
                <w:szCs w:val="3"/>
                <w:color w:val="auto"/>
              </w:rPr>
            </w:pPr>
          </w:p>
        </w:tc>
        <w:tc>
          <w:tcPr>
            <w:tcW w:w="780" w:type="dxa"/>
            <w:vAlign w:val="bottom"/>
            <w:vMerge w:val="restart"/>
          </w:tcPr>
          <w:p>
            <w:pPr>
              <w:spacing w:after="0"/>
              <w:rPr>
                <w:sz w:val="3"/>
                <w:szCs w:val="3"/>
                <w:color w:val="auto"/>
              </w:rPr>
            </w:pPr>
          </w:p>
        </w:tc>
        <w:tc>
          <w:tcPr>
            <w:tcW w:w="2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900" w:type="dxa"/>
            <w:vAlign w:val="bottom"/>
            <w:vMerge w:val="restart"/>
          </w:tcPr>
          <w:p>
            <w:pPr>
              <w:spacing w:after="0"/>
              <w:rPr>
                <w:sz w:val="3"/>
                <w:szCs w:val="3"/>
                <w:color w:val="auto"/>
              </w:rPr>
            </w:pPr>
          </w:p>
        </w:tc>
        <w:tc>
          <w:tcPr>
            <w:tcW w:w="26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400" w:type="dxa"/>
            <w:vAlign w:val="bottom"/>
            <w:vMerge w:val="restart"/>
          </w:tcPr>
          <w:p>
            <w:pPr>
              <w:jc w:val="center"/>
              <w:spacing w:after="0"/>
              <w:rPr>
                <w:sz w:val="20"/>
                <w:szCs w:val="20"/>
                <w:color w:val="auto"/>
              </w:rPr>
            </w:pPr>
            <w:r>
              <w:rPr>
                <w:rFonts w:ascii="Arial" w:cs="Arial" w:eastAsia="Arial" w:hAnsi="Arial"/>
                <w:sz w:val="18"/>
                <w:szCs w:val="18"/>
                <w:color w:val="1519FD"/>
                <w:w w:val="92"/>
              </w:rPr>
              <w:t>Part I</w:t>
            </w: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520" w:type="dxa"/>
            <w:vAlign w:val="bottom"/>
            <w:vMerge w:val="restart"/>
          </w:tcPr>
          <w:p>
            <w:pPr>
              <w:spacing w:after="0"/>
              <w:rPr>
                <w:sz w:val="3"/>
                <w:szCs w:val="3"/>
                <w:color w:val="auto"/>
              </w:rPr>
            </w:pPr>
          </w:p>
        </w:tc>
        <w:tc>
          <w:tcPr>
            <w:tcW w:w="9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920" w:type="dxa"/>
            <w:vAlign w:val="bottom"/>
            <w:vMerge w:val="restart"/>
          </w:tcPr>
          <w:p>
            <w:pPr>
              <w:spacing w:after="0"/>
              <w:rPr>
                <w:sz w:val="3"/>
                <w:szCs w:val="3"/>
                <w:color w:val="auto"/>
              </w:rPr>
            </w:pPr>
          </w:p>
        </w:tc>
        <w:tc>
          <w:tcPr>
            <w:tcW w:w="680" w:type="dxa"/>
            <w:vAlign w:val="bottom"/>
            <w:vMerge w:val="restart"/>
          </w:tcPr>
          <w:p>
            <w:pPr>
              <w:spacing w:after="0"/>
              <w:rPr>
                <w:sz w:val="3"/>
                <w:szCs w:val="3"/>
                <w:color w:val="auto"/>
              </w:rPr>
            </w:pPr>
          </w:p>
        </w:tc>
        <w:tc>
          <w:tcPr>
            <w:tcW w:w="1780" w:type="dxa"/>
            <w:vAlign w:val="bottom"/>
            <w:vMerge w:val="restart"/>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00" w:type="dxa"/>
            <w:vAlign w:val="bottom"/>
            <w:tcBorders>
              <w:bottom w:val="single" w:sz="8" w:color="1519FD"/>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780" w:type="dxa"/>
            <w:vAlign w:val="bottom"/>
            <w:gridSpan w:val="5"/>
          </w:tcPr>
          <w:p>
            <w:pPr>
              <w:jc w:val="right"/>
              <w:ind w:right="20"/>
              <w:spacing w:after="0" w:line="169" w:lineRule="exact"/>
              <w:rPr>
                <w:sz w:val="20"/>
                <w:szCs w:val="20"/>
                <w:color w:val="auto"/>
              </w:rPr>
            </w:pPr>
            <w:r>
              <w:rPr>
                <w:rFonts w:ascii="Arial" w:cs="Arial" w:eastAsia="Arial" w:hAnsi="Arial"/>
                <w:sz w:val="18"/>
                <w:szCs w:val="18"/>
                <w:color w:val="1519FD"/>
              </w:rPr>
              <w:t>8</w:t>
            </w:r>
          </w:p>
        </w:tc>
        <w:tc>
          <w:tcPr>
            <w:tcW w:w="0" w:type="dxa"/>
            <w:vAlign w:val="bottom"/>
          </w:tcPr>
          <w:p>
            <w:pPr>
              <w:spacing w:after="0"/>
              <w:rPr>
                <w:sz w:val="1"/>
                <w:szCs w:val="1"/>
                <w:color w:val="auto"/>
              </w:rPr>
            </w:pPr>
          </w:p>
        </w:tc>
      </w:tr>
      <w:tr>
        <w:trPr>
          <w:trHeight w:val="20"/>
        </w:trPr>
        <w:tc>
          <w:tcPr>
            <w:tcW w:w="10440" w:type="dxa"/>
            <w:vAlign w:val="bottom"/>
            <w:gridSpan w:val="28"/>
            <w:vMerge w:val="restart"/>
          </w:tcPr>
          <w:p>
            <w:pPr>
              <w:spacing w:after="0"/>
              <w:rPr>
                <w:sz w:val="20"/>
                <w:szCs w:val="20"/>
                <w:color w:val="auto"/>
              </w:rPr>
            </w:pPr>
            <w:r>
              <w:rPr>
                <w:rFonts w:ascii="Arial" w:cs="Arial" w:eastAsia="Arial" w:hAnsi="Arial"/>
                <w:sz w:val="18"/>
                <w:szCs w:val="18"/>
                <w:color w:val="1519FD"/>
              </w:rPr>
              <w:t>Item 1. Business</w:t>
            </w: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1519F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40" w:type="dxa"/>
            <w:vAlign w:val="bottom"/>
            <w:gridSpan w:val="28"/>
            <w:vMerge w:val="continue"/>
          </w:tcPr>
          <w:p>
            <w:pPr>
              <w:spacing w:after="0"/>
              <w:rPr>
                <w:sz w:val="20"/>
                <w:szCs w:val="20"/>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1519FD"/>
              </w:rPr>
              <w:t>8</w:t>
            </w:r>
          </w:p>
        </w:tc>
        <w:tc>
          <w:tcPr>
            <w:tcW w:w="0" w:type="dxa"/>
            <w:vAlign w:val="bottom"/>
          </w:tcPr>
          <w:p>
            <w:pPr>
              <w:spacing w:after="0"/>
              <w:rPr>
                <w:sz w:val="1"/>
                <w:szCs w:val="1"/>
                <w:color w:val="auto"/>
              </w:rPr>
            </w:pPr>
          </w:p>
        </w:tc>
      </w:tr>
      <w:tr>
        <w:trPr>
          <w:trHeight w:val="20"/>
        </w:trPr>
        <w:tc>
          <w:tcPr>
            <w:tcW w:w="760" w:type="dxa"/>
            <w:vAlign w:val="bottom"/>
            <w:shd w:val="clear" w:color="auto" w:fill="1519FD"/>
          </w:tcPr>
          <w:p>
            <w:pPr>
              <w:spacing w:after="0" w:line="20" w:lineRule="exact"/>
              <w:rPr>
                <w:sz w:val="1"/>
                <w:szCs w:val="1"/>
                <w:color w:val="auto"/>
              </w:rPr>
            </w:pPr>
          </w:p>
        </w:tc>
        <w:tc>
          <w:tcPr>
            <w:tcW w:w="440" w:type="dxa"/>
            <w:vAlign w:val="bottom"/>
            <w:shd w:val="clear" w:color="auto" w:fill="1519F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1519F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640" w:type="dxa"/>
            <w:vAlign w:val="bottom"/>
            <w:tcBorders>
              <w:bottom w:val="single" w:sz="8" w:color="1519FD"/>
            </w:tcBorders>
            <w:gridSpan w:val="5"/>
          </w:tcPr>
          <w:p>
            <w:pPr>
              <w:spacing w:after="0"/>
              <w:rPr>
                <w:sz w:val="20"/>
                <w:szCs w:val="20"/>
                <w:color w:val="auto"/>
              </w:rPr>
            </w:pPr>
            <w:r>
              <w:rPr>
                <w:rFonts w:ascii="Arial" w:cs="Arial" w:eastAsia="Arial" w:hAnsi="Arial"/>
                <w:sz w:val="18"/>
                <w:szCs w:val="18"/>
                <w:color w:val="1519FD"/>
                <w:w w:val="94"/>
              </w:rPr>
              <w:t>Item 1A. Risk Factors</w:t>
            </w:r>
          </w:p>
        </w:tc>
        <w:tc>
          <w:tcPr>
            <w:tcW w:w="8800" w:type="dxa"/>
            <w:vAlign w:val="bottom"/>
            <w:gridSpan w:val="23"/>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Arial" w:cs="Arial" w:eastAsia="Arial" w:hAnsi="Arial"/>
                <w:sz w:val="18"/>
                <w:szCs w:val="18"/>
                <w:color w:val="1519FD"/>
                <w:w w:val="79"/>
              </w:rPr>
              <w:t>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80" w:type="dxa"/>
            <w:vAlign w:val="bottom"/>
            <w:tcBorders>
              <w:bottom w:val="single" w:sz="8" w:color="1519FD"/>
            </w:tcBorders>
            <w:gridSpan w:val="12"/>
          </w:tcPr>
          <w:p>
            <w:pPr>
              <w:spacing w:after="0"/>
              <w:rPr>
                <w:sz w:val="20"/>
                <w:szCs w:val="20"/>
                <w:color w:val="auto"/>
              </w:rPr>
            </w:pPr>
            <w:r>
              <w:rPr>
                <w:rFonts w:ascii="Arial" w:cs="Arial" w:eastAsia="Arial" w:hAnsi="Arial"/>
                <w:sz w:val="18"/>
                <w:szCs w:val="18"/>
                <w:color w:val="1519FD"/>
                <w:w w:val="92"/>
              </w:rPr>
              <w:t>Item 1B. Unresolved Staff Comments</w:t>
            </w:r>
          </w:p>
        </w:tc>
        <w:tc>
          <w:tcPr>
            <w:tcW w:w="7660" w:type="dxa"/>
            <w:vAlign w:val="bottom"/>
            <w:gridSpan w:val="16"/>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Arial" w:cs="Arial" w:eastAsia="Arial" w:hAnsi="Arial"/>
                <w:sz w:val="18"/>
                <w:szCs w:val="18"/>
                <w:color w:val="1519FD"/>
                <w:w w:val="79"/>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340" w:type="dxa"/>
            <w:vAlign w:val="bottom"/>
            <w:tcBorders>
              <w:bottom w:val="single" w:sz="8" w:color="1519FD"/>
            </w:tcBorders>
            <w:gridSpan w:val="4"/>
          </w:tcPr>
          <w:p>
            <w:pPr>
              <w:spacing w:after="0"/>
              <w:rPr>
                <w:sz w:val="20"/>
                <w:szCs w:val="20"/>
                <w:color w:val="auto"/>
              </w:rPr>
            </w:pPr>
            <w:r>
              <w:rPr>
                <w:rFonts w:ascii="Arial" w:cs="Arial" w:eastAsia="Arial" w:hAnsi="Arial"/>
                <w:sz w:val="18"/>
                <w:szCs w:val="18"/>
                <w:color w:val="1519FD"/>
                <w:w w:val="92"/>
              </w:rPr>
              <w:t>Item 2. Properties</w:t>
            </w:r>
          </w:p>
        </w:tc>
        <w:tc>
          <w:tcPr>
            <w:tcW w:w="9100" w:type="dxa"/>
            <w:vAlign w:val="bottom"/>
            <w:gridSpan w:val="24"/>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Arial" w:cs="Arial" w:eastAsia="Arial" w:hAnsi="Arial"/>
                <w:sz w:val="18"/>
                <w:szCs w:val="18"/>
                <w:color w:val="1519FD"/>
                <w:w w:val="79"/>
              </w:rPr>
              <w:t>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00" w:type="dxa"/>
            <w:vAlign w:val="bottom"/>
            <w:tcBorders>
              <w:bottom w:val="single" w:sz="8" w:color="1519FD"/>
            </w:tcBorders>
            <w:gridSpan w:val="6"/>
          </w:tcPr>
          <w:p>
            <w:pPr>
              <w:spacing w:after="0"/>
              <w:rPr>
                <w:sz w:val="20"/>
                <w:szCs w:val="20"/>
                <w:color w:val="auto"/>
              </w:rPr>
            </w:pPr>
            <w:r>
              <w:rPr>
                <w:rFonts w:ascii="Arial" w:cs="Arial" w:eastAsia="Arial" w:hAnsi="Arial"/>
                <w:sz w:val="18"/>
                <w:szCs w:val="18"/>
                <w:color w:val="1519FD"/>
                <w:w w:val="89"/>
              </w:rPr>
              <w:t>Item 3. Legal Proceedings</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Arial" w:cs="Arial" w:eastAsia="Arial" w:hAnsi="Arial"/>
                <w:sz w:val="18"/>
                <w:szCs w:val="18"/>
                <w:color w:val="1519FD"/>
                <w:w w:val="79"/>
              </w:rPr>
              <w:t>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380" w:type="dxa"/>
            <w:vAlign w:val="bottom"/>
            <w:tcBorders>
              <w:bottom w:val="single" w:sz="8" w:color="1519FD"/>
            </w:tcBorders>
            <w:gridSpan w:val="9"/>
          </w:tcPr>
          <w:p>
            <w:pPr>
              <w:spacing w:after="0"/>
              <w:rPr>
                <w:sz w:val="20"/>
                <w:szCs w:val="20"/>
                <w:color w:val="auto"/>
              </w:rPr>
            </w:pPr>
            <w:r>
              <w:rPr>
                <w:rFonts w:ascii="Arial" w:cs="Arial" w:eastAsia="Arial" w:hAnsi="Arial"/>
                <w:sz w:val="18"/>
                <w:szCs w:val="18"/>
                <w:color w:val="1519FD"/>
                <w:w w:val="93"/>
              </w:rPr>
              <w:t>Item 4. Mine Safety Disclosures</w:t>
            </w:r>
          </w:p>
        </w:tc>
        <w:tc>
          <w:tcPr>
            <w:tcW w:w="8060" w:type="dxa"/>
            <w:vAlign w:val="bottom"/>
            <w:gridSpan w:val="19"/>
          </w:tcPr>
          <w:p>
            <w:pPr>
              <w:spacing w:after="0"/>
              <w:rPr>
                <w:sz w:val="21"/>
                <w:szCs w:val="21"/>
                <w:color w:val="auto"/>
              </w:rPr>
            </w:pPr>
          </w:p>
        </w:tc>
        <w:tc>
          <w:tcPr>
            <w:tcW w:w="580" w:type="dxa"/>
            <w:vAlign w:val="bottom"/>
            <w:gridSpan w:val="2"/>
          </w:tcPr>
          <w:p>
            <w:pPr>
              <w:spacing w:after="0"/>
              <w:rPr>
                <w:sz w:val="21"/>
                <w:szCs w:val="21"/>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Arial" w:cs="Arial" w:eastAsia="Arial" w:hAnsi="Arial"/>
                <w:sz w:val="18"/>
                <w:szCs w:val="18"/>
                <w:color w:val="1519FD"/>
                <w:w w:val="79"/>
              </w:rPr>
              <w:t>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340" w:type="dxa"/>
            <w:vAlign w:val="bottom"/>
            <w:gridSpan w:val="10"/>
          </w:tcPr>
          <w:p>
            <w:pPr>
              <w:jc w:val="center"/>
              <w:ind w:right="4920"/>
              <w:spacing w:after="0"/>
              <w:rPr>
                <w:sz w:val="20"/>
                <w:szCs w:val="20"/>
                <w:color w:val="auto"/>
              </w:rPr>
            </w:pPr>
            <w:r>
              <w:rPr>
                <w:rFonts w:ascii="Arial" w:cs="Arial" w:eastAsia="Arial" w:hAnsi="Arial"/>
                <w:sz w:val="18"/>
                <w:szCs w:val="18"/>
                <w:color w:val="1519FD"/>
                <w:w w:val="87"/>
              </w:rPr>
              <w:t>Part II</w:t>
            </w:r>
          </w:p>
        </w:tc>
        <w:tc>
          <w:tcPr>
            <w:tcW w:w="760" w:type="dxa"/>
            <w:vAlign w:val="bottom"/>
            <w:gridSpan w:val="4"/>
          </w:tcPr>
          <w:p>
            <w:pPr>
              <w:jc w:val="right"/>
              <w:spacing w:after="0"/>
              <w:rPr>
                <w:sz w:val="20"/>
                <w:szCs w:val="20"/>
                <w:color w:val="auto"/>
              </w:rPr>
            </w:pPr>
            <w:r>
              <w:rPr>
                <w:rFonts w:ascii="Arial" w:cs="Arial" w:eastAsia="Arial" w:hAnsi="Arial"/>
                <w:sz w:val="18"/>
                <w:szCs w:val="18"/>
                <w:color w:val="1519FD"/>
              </w:rPr>
              <w:t>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1519FD"/>
            </w:tcBorders>
          </w:tcPr>
          <w:p>
            <w:pPr>
              <w:spacing w:after="0" w:line="20" w:lineRule="exact"/>
              <w:rPr>
                <w:sz w:val="1"/>
                <w:szCs w:val="1"/>
                <w:color w:val="auto"/>
              </w:rPr>
            </w:pPr>
          </w:p>
        </w:tc>
        <w:tc>
          <w:tcPr>
            <w:tcW w:w="420" w:type="dxa"/>
            <w:vAlign w:val="bottom"/>
            <w:gridSpan w:val="2"/>
            <w:shd w:val="clear" w:color="auto" w:fill="1519F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1519FD"/>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660" w:type="dxa"/>
            <w:vAlign w:val="bottom"/>
            <w:tcBorders>
              <w:bottom w:val="single" w:sz="8" w:color="1519FD"/>
            </w:tcBorders>
            <w:gridSpan w:val="27"/>
          </w:tcPr>
          <w:p>
            <w:pPr>
              <w:spacing w:after="0"/>
              <w:rPr>
                <w:sz w:val="20"/>
                <w:szCs w:val="20"/>
                <w:color w:val="auto"/>
              </w:rPr>
            </w:pPr>
            <w:r>
              <w:rPr>
                <w:rFonts w:ascii="Arial" w:cs="Arial" w:eastAsia="Arial" w:hAnsi="Arial"/>
                <w:sz w:val="18"/>
                <w:szCs w:val="18"/>
                <w:color w:val="1519FD"/>
                <w:w w:val="91"/>
              </w:rPr>
              <w:t>Item 5. Market for Registrant's Common Equity, Related Stockholder Matters and Issuer Purchases of Equity Securities</w:t>
            </w:r>
          </w:p>
        </w:tc>
        <w:tc>
          <w:tcPr>
            <w:tcW w:w="1780" w:type="dxa"/>
            <w:vAlign w:val="bottom"/>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Arial" w:cs="Arial" w:eastAsia="Arial" w:hAnsi="Arial"/>
                <w:sz w:val="18"/>
                <w:szCs w:val="18"/>
                <w:color w:val="1519FD"/>
                <w:w w:val="79"/>
              </w:rPr>
              <w:t>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40" w:type="dxa"/>
            <w:vAlign w:val="bottom"/>
            <w:tcBorders>
              <w:bottom w:val="single" w:sz="8" w:color="1519FD"/>
            </w:tcBorders>
            <w:gridSpan w:val="3"/>
          </w:tcPr>
          <w:p>
            <w:pPr>
              <w:spacing w:after="0"/>
              <w:rPr>
                <w:sz w:val="20"/>
                <w:szCs w:val="20"/>
                <w:color w:val="auto"/>
              </w:rPr>
            </w:pPr>
            <w:r>
              <w:rPr>
                <w:rFonts w:ascii="Arial" w:cs="Arial" w:eastAsia="Arial" w:hAnsi="Arial"/>
                <w:sz w:val="18"/>
                <w:szCs w:val="18"/>
                <w:color w:val="1519FD"/>
                <w:w w:val="88"/>
              </w:rPr>
              <w:t>Item 6. Reserved</w:t>
            </w:r>
          </w:p>
        </w:tc>
        <w:tc>
          <w:tcPr>
            <w:tcW w:w="9200" w:type="dxa"/>
            <w:vAlign w:val="bottom"/>
            <w:gridSpan w:val="25"/>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Arial" w:cs="Arial" w:eastAsia="Arial" w:hAnsi="Arial"/>
                <w:sz w:val="18"/>
                <w:szCs w:val="18"/>
                <w:color w:val="1519FD"/>
                <w:w w:val="79"/>
              </w:rPr>
              <w:t>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40" w:type="dxa"/>
            <w:vAlign w:val="bottom"/>
            <w:tcBorders>
              <w:bottom w:val="single" w:sz="8" w:color="1519FD"/>
            </w:tcBorders>
            <w:gridSpan w:val="24"/>
          </w:tcPr>
          <w:p>
            <w:pPr>
              <w:spacing w:after="0"/>
              <w:rPr>
                <w:sz w:val="20"/>
                <w:szCs w:val="20"/>
                <w:color w:val="auto"/>
              </w:rPr>
            </w:pPr>
            <w:r>
              <w:rPr>
                <w:rFonts w:ascii="Arial" w:cs="Arial" w:eastAsia="Arial" w:hAnsi="Arial"/>
                <w:sz w:val="18"/>
                <w:szCs w:val="18"/>
                <w:color w:val="1519FD"/>
                <w:w w:val="91"/>
              </w:rPr>
              <w:t>Item 7. Management's Discussion and Analysis of Financial Condition and Results of Operations</w:t>
            </w: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60" w:type="dxa"/>
            <w:vAlign w:val="bottom"/>
            <w:gridSpan w:val="2"/>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Arial" w:cs="Arial" w:eastAsia="Arial" w:hAnsi="Arial"/>
                <w:sz w:val="18"/>
                <w:szCs w:val="18"/>
                <w:color w:val="1519FD"/>
                <w:w w:val="79"/>
              </w:rPr>
              <w:t>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1519FD"/>
            </w:tcBorders>
            <w:gridSpan w:val="18"/>
          </w:tcPr>
          <w:p>
            <w:pPr>
              <w:spacing w:after="0"/>
              <w:rPr>
                <w:sz w:val="20"/>
                <w:szCs w:val="20"/>
                <w:color w:val="auto"/>
              </w:rPr>
            </w:pPr>
            <w:r>
              <w:rPr>
                <w:rFonts w:ascii="Arial" w:cs="Arial" w:eastAsia="Arial" w:hAnsi="Arial"/>
                <w:sz w:val="18"/>
                <w:szCs w:val="18"/>
                <w:color w:val="1519FD"/>
                <w:w w:val="93"/>
              </w:rPr>
              <w:t>Item 7A. Quantitative and Qualitative Disclosures About Market Risk</w:t>
            </w:r>
          </w:p>
        </w:tc>
        <w:tc>
          <w:tcPr>
            <w:tcW w:w="5340" w:type="dxa"/>
            <w:vAlign w:val="bottom"/>
            <w:gridSpan w:val="10"/>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Arial" w:cs="Arial" w:eastAsia="Arial" w:hAnsi="Arial"/>
                <w:sz w:val="18"/>
                <w:szCs w:val="18"/>
                <w:color w:val="1519FD"/>
                <w:w w:val="79"/>
              </w:rPr>
              <w:t>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80" w:type="dxa"/>
            <w:vAlign w:val="bottom"/>
            <w:tcBorders>
              <w:bottom w:val="single" w:sz="8" w:color="1519FD"/>
            </w:tcBorders>
            <w:gridSpan w:val="15"/>
          </w:tcPr>
          <w:p>
            <w:pPr>
              <w:spacing w:after="0"/>
              <w:rPr>
                <w:sz w:val="20"/>
                <w:szCs w:val="20"/>
                <w:color w:val="auto"/>
              </w:rPr>
            </w:pPr>
            <w:r>
              <w:rPr>
                <w:rFonts w:ascii="Arial" w:cs="Arial" w:eastAsia="Arial" w:hAnsi="Arial"/>
                <w:sz w:val="18"/>
                <w:szCs w:val="18"/>
                <w:color w:val="1519FD"/>
                <w:w w:val="89"/>
              </w:rPr>
              <w:t>Item 8. Financial Statements and Supplementary Data</w:t>
            </w: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gridSpan w:val="4"/>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gridSpan w:val="2"/>
          </w:tcPr>
          <w:p>
            <w:pPr>
              <w:spacing w:after="0"/>
              <w:rPr>
                <w:sz w:val="22"/>
                <w:szCs w:val="22"/>
                <w:color w:val="auto"/>
              </w:rPr>
            </w:pPr>
          </w:p>
        </w:tc>
        <w:tc>
          <w:tcPr>
            <w:tcW w:w="920" w:type="dxa"/>
            <w:vAlign w:val="bottom"/>
          </w:tcPr>
          <w:p>
            <w:pPr>
              <w:spacing w:after="0"/>
              <w:rPr>
                <w:sz w:val="22"/>
                <w:szCs w:val="22"/>
                <w:color w:val="auto"/>
              </w:rPr>
            </w:pPr>
          </w:p>
        </w:tc>
        <w:tc>
          <w:tcPr>
            <w:tcW w:w="2460" w:type="dxa"/>
            <w:vAlign w:val="bottom"/>
            <w:gridSpan w:val="2"/>
          </w:tcPr>
          <w:p>
            <w:pPr>
              <w:spacing w:after="0"/>
              <w:rPr>
                <w:sz w:val="22"/>
                <w:szCs w:val="22"/>
                <w:color w:val="auto"/>
              </w:rPr>
            </w:pPr>
          </w:p>
        </w:tc>
        <w:tc>
          <w:tcPr>
            <w:tcW w:w="580" w:type="dxa"/>
            <w:vAlign w:val="bottom"/>
            <w:gridSpan w:val="2"/>
          </w:tcPr>
          <w:p>
            <w:pPr>
              <w:spacing w:after="0"/>
              <w:rPr>
                <w:sz w:val="22"/>
                <w:szCs w:val="22"/>
                <w:color w:val="auto"/>
              </w:rPr>
            </w:pPr>
          </w:p>
        </w:tc>
        <w:tc>
          <w:tcPr>
            <w:tcW w:w="180" w:type="dxa"/>
            <w:vAlign w:val="bottom"/>
            <w:tcBorders>
              <w:bottom w:val="single" w:sz="8" w:color="1519FD"/>
            </w:tcBorders>
            <w:gridSpan w:val="2"/>
          </w:tcPr>
          <w:p>
            <w:pPr>
              <w:jc w:val="right"/>
              <w:spacing w:after="0"/>
              <w:rPr>
                <w:sz w:val="20"/>
                <w:szCs w:val="20"/>
                <w:color w:val="auto"/>
              </w:rPr>
            </w:pPr>
            <w:r>
              <w:rPr>
                <w:rFonts w:ascii="Arial" w:cs="Arial" w:eastAsia="Arial" w:hAnsi="Arial"/>
                <w:sz w:val="18"/>
                <w:szCs w:val="18"/>
                <w:color w:val="1519FD"/>
                <w:w w:val="79"/>
              </w:rPr>
              <w:t>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0440" w:type="dxa"/>
            <w:vAlign w:val="bottom"/>
            <w:gridSpan w:val="28"/>
          </w:tcPr>
          <w:p>
            <w:pPr>
              <w:spacing w:after="0"/>
              <w:rPr>
                <w:sz w:val="20"/>
                <w:szCs w:val="20"/>
                <w:color w:val="auto"/>
              </w:rPr>
            </w:pPr>
            <w:r>
              <w:rPr>
                <w:rFonts w:ascii="Arial" w:cs="Arial" w:eastAsia="Arial" w:hAnsi="Arial"/>
                <w:sz w:val="18"/>
                <w:szCs w:val="18"/>
                <w:color w:val="1519FD"/>
              </w:rPr>
              <w:t>Item 9. Changes in and Disagreements With Accountants on Accounting and Financial Disclosure</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1519FD"/>
              </w:rPr>
              <w:t>125</w:t>
            </w:r>
          </w:p>
        </w:tc>
        <w:tc>
          <w:tcPr>
            <w:tcW w:w="0" w:type="dxa"/>
            <w:vAlign w:val="bottom"/>
          </w:tcPr>
          <w:p>
            <w:pPr>
              <w:spacing w:after="0"/>
              <w:rPr>
                <w:sz w:val="1"/>
                <w:szCs w:val="1"/>
                <w:color w:val="auto"/>
              </w:rPr>
            </w:pPr>
          </w:p>
        </w:tc>
      </w:tr>
      <w:tr>
        <w:trPr>
          <w:trHeight w:val="20"/>
        </w:trPr>
        <w:tc>
          <w:tcPr>
            <w:tcW w:w="2520" w:type="dxa"/>
            <w:vAlign w:val="bottom"/>
            <w:tcBorders>
              <w:top w:val="single" w:sz="8" w:color="1519FD"/>
            </w:tcBorders>
            <w:gridSpan w:val="11"/>
            <w:vMerge w:val="restart"/>
          </w:tcPr>
          <w:p>
            <w:pPr>
              <w:spacing w:after="0"/>
              <w:rPr>
                <w:sz w:val="20"/>
                <w:szCs w:val="20"/>
                <w:color w:val="auto"/>
              </w:rPr>
            </w:pPr>
            <w:r>
              <w:rPr>
                <w:rFonts w:ascii="Arial" w:cs="Arial" w:eastAsia="Arial" w:hAnsi="Arial"/>
                <w:sz w:val="18"/>
                <w:szCs w:val="18"/>
                <w:color w:val="1519FD"/>
                <w:w w:val="92"/>
              </w:rPr>
              <w:t>Item 9A. Controls and Procedures</w:t>
            </w:r>
          </w:p>
        </w:tc>
        <w:tc>
          <w:tcPr>
            <w:tcW w:w="4540" w:type="dxa"/>
            <w:vAlign w:val="bottom"/>
            <w:tcBorders>
              <w:top w:val="single" w:sz="8" w:color="1519FD"/>
            </w:tcBorders>
            <w:gridSpan w:val="14"/>
            <w:vMerge w:val="restart"/>
          </w:tcPr>
          <w:p>
            <w:pPr>
              <w:spacing w:after="0" w:line="20" w:lineRule="exact"/>
              <w:rPr>
                <w:sz w:val="1"/>
                <w:szCs w:val="1"/>
                <w:color w:val="auto"/>
              </w:rPr>
            </w:pPr>
          </w:p>
        </w:tc>
        <w:tc>
          <w:tcPr>
            <w:tcW w:w="3380" w:type="dxa"/>
            <w:vAlign w:val="bottom"/>
            <w:gridSpan w:val="3"/>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1519FD"/>
            </w:tcBorders>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520" w:type="dxa"/>
            <w:vAlign w:val="bottom"/>
            <w:tcBorders>
              <w:bottom w:val="single" w:sz="8" w:color="1519FD"/>
            </w:tcBorders>
            <w:gridSpan w:val="11"/>
            <w:vMerge w:val="continue"/>
          </w:tcPr>
          <w:p>
            <w:pPr>
              <w:spacing w:after="0"/>
              <w:rPr>
                <w:sz w:val="21"/>
                <w:szCs w:val="21"/>
                <w:color w:val="auto"/>
              </w:rPr>
            </w:pPr>
          </w:p>
        </w:tc>
        <w:tc>
          <w:tcPr>
            <w:tcW w:w="4540" w:type="dxa"/>
            <w:vAlign w:val="bottom"/>
            <w:gridSpan w:val="14"/>
            <w:vMerge w:val="continue"/>
          </w:tcPr>
          <w:p>
            <w:pPr>
              <w:spacing w:after="0"/>
              <w:rPr>
                <w:sz w:val="21"/>
                <w:szCs w:val="21"/>
                <w:color w:val="auto"/>
              </w:rPr>
            </w:pPr>
          </w:p>
        </w:tc>
        <w:tc>
          <w:tcPr>
            <w:tcW w:w="3380" w:type="dxa"/>
            <w:vAlign w:val="bottom"/>
            <w:gridSpan w:val="3"/>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1519FD"/>
              </w:rPr>
              <w:t>125</w:t>
            </w:r>
          </w:p>
        </w:tc>
        <w:tc>
          <w:tcPr>
            <w:tcW w:w="0" w:type="dxa"/>
            <w:vAlign w:val="bottom"/>
          </w:tcPr>
          <w:p>
            <w:pPr>
              <w:spacing w:after="0"/>
              <w:rPr>
                <w:sz w:val="1"/>
                <w:szCs w:val="1"/>
                <w:color w:val="auto"/>
              </w:rPr>
            </w:pPr>
          </w:p>
        </w:tc>
      </w:tr>
      <w:tr>
        <w:trPr>
          <w:trHeight w:val="20"/>
        </w:trPr>
        <w:tc>
          <w:tcPr>
            <w:tcW w:w="2000" w:type="dxa"/>
            <w:vAlign w:val="bottom"/>
            <w:gridSpan w:val="7"/>
            <w:vMerge w:val="restart"/>
          </w:tcPr>
          <w:p>
            <w:pPr>
              <w:spacing w:after="0"/>
              <w:rPr>
                <w:sz w:val="20"/>
                <w:szCs w:val="20"/>
                <w:color w:val="auto"/>
              </w:rPr>
            </w:pPr>
            <w:r>
              <w:rPr>
                <w:rFonts w:ascii="Arial" w:cs="Arial" w:eastAsia="Arial" w:hAnsi="Arial"/>
                <w:sz w:val="18"/>
                <w:szCs w:val="18"/>
                <w:color w:val="1519FD"/>
                <w:w w:val="93"/>
              </w:rPr>
              <w:t>Item 9B. Other Information</w:t>
            </w:r>
          </w:p>
        </w:tc>
        <w:tc>
          <w:tcPr>
            <w:tcW w:w="8440" w:type="dxa"/>
            <w:vAlign w:val="bottom"/>
            <w:gridSpan w:val="21"/>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00" w:type="dxa"/>
            <w:vAlign w:val="bottom"/>
            <w:tcBorders>
              <w:bottom w:val="single" w:sz="8" w:color="1519FD"/>
            </w:tcBorders>
            <w:gridSpan w:val="7"/>
            <w:vMerge w:val="continue"/>
          </w:tcPr>
          <w:p>
            <w:pPr>
              <w:spacing w:after="0"/>
              <w:rPr>
                <w:sz w:val="21"/>
                <w:szCs w:val="21"/>
                <w:color w:val="auto"/>
              </w:rPr>
            </w:pPr>
          </w:p>
        </w:tc>
        <w:tc>
          <w:tcPr>
            <w:tcW w:w="8440" w:type="dxa"/>
            <w:vAlign w:val="bottom"/>
            <w:gridSpan w:val="21"/>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1519FD"/>
              </w:rPr>
              <w:t>126</w:t>
            </w:r>
          </w:p>
        </w:tc>
        <w:tc>
          <w:tcPr>
            <w:tcW w:w="0" w:type="dxa"/>
            <w:vAlign w:val="bottom"/>
          </w:tcPr>
          <w:p>
            <w:pPr>
              <w:spacing w:after="0"/>
              <w:rPr>
                <w:sz w:val="1"/>
                <w:szCs w:val="1"/>
                <w:color w:val="auto"/>
              </w:rPr>
            </w:pPr>
          </w:p>
        </w:tc>
      </w:tr>
      <w:tr>
        <w:trPr>
          <w:trHeight w:val="20"/>
        </w:trPr>
        <w:tc>
          <w:tcPr>
            <w:tcW w:w="5580" w:type="dxa"/>
            <w:vAlign w:val="bottom"/>
            <w:gridSpan w:val="22"/>
            <w:vMerge w:val="restart"/>
          </w:tcPr>
          <w:p>
            <w:pPr>
              <w:spacing w:after="0"/>
              <w:rPr>
                <w:sz w:val="20"/>
                <w:szCs w:val="20"/>
                <w:color w:val="auto"/>
              </w:rPr>
            </w:pPr>
            <w:r>
              <w:rPr>
                <w:rFonts w:ascii="Arial" w:cs="Arial" w:eastAsia="Arial" w:hAnsi="Arial"/>
                <w:sz w:val="18"/>
                <w:szCs w:val="18"/>
                <w:color w:val="1519FD"/>
                <w:w w:val="90"/>
              </w:rPr>
              <w:t>Item 9C. Disclosure Regarding Foreign Jurisdictions that Prevent Inspections</w:t>
            </w:r>
          </w:p>
        </w:tc>
        <w:tc>
          <w:tcPr>
            <w:tcW w:w="4860" w:type="dxa"/>
            <w:vAlign w:val="bottom"/>
            <w:gridSpan w:val="6"/>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80" w:type="dxa"/>
            <w:vAlign w:val="bottom"/>
            <w:tcBorders>
              <w:bottom w:val="single" w:sz="8" w:color="1519FD"/>
            </w:tcBorders>
            <w:gridSpan w:val="22"/>
            <w:vMerge w:val="continue"/>
          </w:tcPr>
          <w:p>
            <w:pPr>
              <w:spacing w:after="0"/>
              <w:rPr>
                <w:sz w:val="21"/>
                <w:szCs w:val="21"/>
                <w:color w:val="auto"/>
              </w:rPr>
            </w:pPr>
          </w:p>
        </w:tc>
        <w:tc>
          <w:tcPr>
            <w:tcW w:w="4860" w:type="dxa"/>
            <w:vAlign w:val="bottom"/>
            <w:gridSpan w:val="6"/>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1519FD"/>
              </w:rPr>
              <w:t>126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4"/>
            <w:vMerge w:val="restart"/>
          </w:tcPr>
          <w:p>
            <w:pPr>
              <w:jc w:val="center"/>
              <w:spacing w:after="0"/>
              <w:rPr>
                <w:sz w:val="20"/>
                <w:szCs w:val="20"/>
                <w:color w:val="auto"/>
              </w:rPr>
            </w:pPr>
            <w:r>
              <w:rPr>
                <w:rFonts w:ascii="Arial" w:cs="Arial" w:eastAsia="Arial" w:hAnsi="Arial"/>
                <w:sz w:val="18"/>
                <w:szCs w:val="18"/>
                <w:color w:val="1519FD"/>
                <w:w w:val="97"/>
              </w:rPr>
              <w:t>Part III</w:t>
            </w:r>
          </w:p>
        </w:tc>
        <w:tc>
          <w:tcPr>
            <w:tcW w:w="4880" w:type="dxa"/>
            <w:vAlign w:val="bottom"/>
            <w:gridSpan w:val="7"/>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Borders>
              <w:bottom w:val="single" w:sz="8" w:color="1519FD"/>
            </w:tcBorders>
            <w:gridSpan w:val="4"/>
            <w:vMerge w:val="continue"/>
          </w:tcPr>
          <w:p>
            <w:pPr>
              <w:spacing w:after="0"/>
              <w:rPr>
                <w:sz w:val="21"/>
                <w:szCs w:val="21"/>
                <w:color w:val="auto"/>
              </w:rPr>
            </w:pPr>
          </w:p>
        </w:tc>
        <w:tc>
          <w:tcPr>
            <w:tcW w:w="4880" w:type="dxa"/>
            <w:vAlign w:val="bottom"/>
            <w:gridSpan w:val="7"/>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1519FD"/>
              </w:rPr>
              <w:t>127</w:t>
            </w:r>
          </w:p>
        </w:tc>
        <w:tc>
          <w:tcPr>
            <w:tcW w:w="0" w:type="dxa"/>
            <w:vAlign w:val="bottom"/>
          </w:tcPr>
          <w:p>
            <w:pPr>
              <w:spacing w:after="0"/>
              <w:rPr>
                <w:sz w:val="1"/>
                <w:szCs w:val="1"/>
                <w:color w:val="auto"/>
              </w:rPr>
            </w:pPr>
          </w:p>
        </w:tc>
      </w:tr>
      <w:tr>
        <w:trPr>
          <w:trHeight w:val="20"/>
        </w:trPr>
        <w:tc>
          <w:tcPr>
            <w:tcW w:w="4780" w:type="dxa"/>
            <w:vAlign w:val="bottom"/>
            <w:gridSpan w:val="16"/>
            <w:vMerge w:val="restart"/>
          </w:tcPr>
          <w:p>
            <w:pPr>
              <w:spacing w:after="0"/>
              <w:rPr>
                <w:sz w:val="20"/>
                <w:szCs w:val="20"/>
                <w:color w:val="auto"/>
              </w:rPr>
            </w:pPr>
            <w:r>
              <w:rPr>
                <w:rFonts w:ascii="Arial" w:cs="Arial" w:eastAsia="Arial" w:hAnsi="Arial"/>
                <w:sz w:val="18"/>
                <w:szCs w:val="18"/>
                <w:color w:val="1519FD"/>
                <w:w w:val="91"/>
              </w:rPr>
              <w:t>Item 10. Directors, Executive Officers and Corporate Governance</w:t>
            </w:r>
          </w:p>
        </w:tc>
        <w:tc>
          <w:tcPr>
            <w:tcW w:w="5660" w:type="dxa"/>
            <w:vAlign w:val="bottom"/>
            <w:gridSpan w:val="12"/>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gridSpan w:val="16"/>
            <w:vMerge w:val="continue"/>
          </w:tcPr>
          <w:p>
            <w:pPr>
              <w:spacing w:after="0"/>
              <w:rPr>
                <w:sz w:val="21"/>
                <w:szCs w:val="21"/>
                <w:color w:val="auto"/>
              </w:rPr>
            </w:pPr>
          </w:p>
        </w:tc>
        <w:tc>
          <w:tcPr>
            <w:tcW w:w="5660" w:type="dxa"/>
            <w:vAlign w:val="bottom"/>
            <w:gridSpan w:val="12"/>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1519FD"/>
              </w:rPr>
              <w:t>127</w:t>
            </w:r>
          </w:p>
        </w:tc>
        <w:tc>
          <w:tcPr>
            <w:tcW w:w="0" w:type="dxa"/>
            <w:vAlign w:val="bottom"/>
          </w:tcPr>
          <w:p>
            <w:pPr>
              <w:spacing w:after="0"/>
              <w:rPr>
                <w:sz w:val="1"/>
                <w:szCs w:val="1"/>
                <w:color w:val="auto"/>
              </w:rPr>
            </w:pPr>
          </w:p>
        </w:tc>
      </w:tr>
      <w:tr>
        <w:trPr>
          <w:trHeight w:val="20"/>
        </w:trPr>
        <w:tc>
          <w:tcPr>
            <w:tcW w:w="2500" w:type="dxa"/>
            <w:vAlign w:val="bottom"/>
            <w:tcBorders>
              <w:top w:val="single" w:sz="8" w:color="1519FD"/>
            </w:tcBorders>
            <w:gridSpan w:val="10"/>
            <w:vMerge w:val="restart"/>
          </w:tcPr>
          <w:p>
            <w:pPr>
              <w:spacing w:after="0"/>
              <w:rPr>
                <w:sz w:val="20"/>
                <w:szCs w:val="20"/>
                <w:color w:val="auto"/>
              </w:rPr>
            </w:pPr>
            <w:r>
              <w:rPr>
                <w:rFonts w:ascii="Arial" w:cs="Arial" w:eastAsia="Arial" w:hAnsi="Arial"/>
                <w:sz w:val="18"/>
                <w:szCs w:val="18"/>
                <w:color w:val="1519FD"/>
                <w:w w:val="92"/>
              </w:rPr>
              <w:t>Item 11. Executive Compensation</w:t>
            </w:r>
          </w:p>
        </w:tc>
        <w:tc>
          <w:tcPr>
            <w:tcW w:w="2280" w:type="dxa"/>
            <w:vAlign w:val="bottom"/>
            <w:tcBorders>
              <w:top w:val="single" w:sz="8" w:color="1519FD"/>
            </w:tcBorders>
            <w:gridSpan w:val="6"/>
            <w:vMerge w:val="restart"/>
          </w:tcPr>
          <w:p>
            <w:pPr>
              <w:spacing w:after="0" w:line="20" w:lineRule="exact"/>
              <w:rPr>
                <w:sz w:val="1"/>
                <w:szCs w:val="1"/>
                <w:color w:val="auto"/>
              </w:rPr>
            </w:pPr>
          </w:p>
        </w:tc>
        <w:tc>
          <w:tcPr>
            <w:tcW w:w="5660" w:type="dxa"/>
            <w:vAlign w:val="bottom"/>
            <w:gridSpan w:val="12"/>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1519FD"/>
            </w:tcBorders>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500" w:type="dxa"/>
            <w:vAlign w:val="bottom"/>
            <w:tcBorders>
              <w:bottom w:val="single" w:sz="8" w:color="1519FD"/>
            </w:tcBorders>
            <w:gridSpan w:val="10"/>
            <w:vMerge w:val="continue"/>
          </w:tcPr>
          <w:p>
            <w:pPr>
              <w:spacing w:after="0"/>
              <w:rPr>
                <w:sz w:val="21"/>
                <w:szCs w:val="21"/>
                <w:color w:val="auto"/>
              </w:rPr>
            </w:pPr>
          </w:p>
        </w:tc>
        <w:tc>
          <w:tcPr>
            <w:tcW w:w="2280" w:type="dxa"/>
            <w:vAlign w:val="bottom"/>
            <w:gridSpan w:val="6"/>
            <w:vMerge w:val="continue"/>
          </w:tcPr>
          <w:p>
            <w:pPr>
              <w:spacing w:after="0"/>
              <w:rPr>
                <w:sz w:val="21"/>
                <w:szCs w:val="21"/>
                <w:color w:val="auto"/>
              </w:rPr>
            </w:pPr>
          </w:p>
        </w:tc>
        <w:tc>
          <w:tcPr>
            <w:tcW w:w="5660" w:type="dxa"/>
            <w:vAlign w:val="bottom"/>
            <w:gridSpan w:val="12"/>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1519FD"/>
              </w:rPr>
              <w:t>127</w:t>
            </w:r>
          </w:p>
        </w:tc>
        <w:tc>
          <w:tcPr>
            <w:tcW w:w="0" w:type="dxa"/>
            <w:vAlign w:val="bottom"/>
          </w:tcPr>
          <w:p>
            <w:pPr>
              <w:spacing w:after="0"/>
              <w:rPr>
                <w:sz w:val="1"/>
                <w:szCs w:val="1"/>
                <w:color w:val="auto"/>
              </w:rPr>
            </w:pPr>
          </w:p>
        </w:tc>
      </w:tr>
      <w:tr>
        <w:trPr>
          <w:trHeight w:val="20"/>
        </w:trPr>
        <w:tc>
          <w:tcPr>
            <w:tcW w:w="7980" w:type="dxa"/>
            <w:vAlign w:val="bottom"/>
            <w:gridSpan w:val="26"/>
            <w:vMerge w:val="restart"/>
          </w:tcPr>
          <w:p>
            <w:pPr>
              <w:spacing w:after="0"/>
              <w:rPr>
                <w:sz w:val="20"/>
                <w:szCs w:val="20"/>
                <w:color w:val="auto"/>
              </w:rPr>
            </w:pPr>
            <w:r>
              <w:rPr>
                <w:rFonts w:ascii="Arial" w:cs="Arial" w:eastAsia="Arial" w:hAnsi="Arial"/>
                <w:sz w:val="18"/>
                <w:szCs w:val="18"/>
                <w:color w:val="1519FD"/>
                <w:w w:val="91"/>
              </w:rPr>
              <w:t>Item 12. Security Ownership of Certain Beneficial Owners and Management and Related Stockholder Matters</w:t>
            </w:r>
          </w:p>
        </w:tc>
        <w:tc>
          <w:tcPr>
            <w:tcW w:w="2460" w:type="dxa"/>
            <w:vAlign w:val="bottom"/>
            <w:gridSpan w:val="2"/>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80" w:type="dxa"/>
            <w:vAlign w:val="bottom"/>
            <w:tcBorders>
              <w:bottom w:val="single" w:sz="8" w:color="1519FD"/>
            </w:tcBorders>
            <w:gridSpan w:val="26"/>
            <w:vMerge w:val="continue"/>
          </w:tcPr>
          <w:p>
            <w:pPr>
              <w:spacing w:after="0"/>
              <w:rPr>
                <w:sz w:val="21"/>
                <w:szCs w:val="21"/>
                <w:color w:val="auto"/>
              </w:rPr>
            </w:pPr>
          </w:p>
        </w:tc>
        <w:tc>
          <w:tcPr>
            <w:tcW w:w="2460" w:type="dxa"/>
            <w:vAlign w:val="bottom"/>
            <w:gridSpan w:val="2"/>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1519FD"/>
              </w:rPr>
              <w:t>127</w:t>
            </w:r>
          </w:p>
        </w:tc>
        <w:tc>
          <w:tcPr>
            <w:tcW w:w="0" w:type="dxa"/>
            <w:vAlign w:val="bottom"/>
          </w:tcPr>
          <w:p>
            <w:pPr>
              <w:spacing w:after="0"/>
              <w:rPr>
                <w:sz w:val="1"/>
                <w:szCs w:val="1"/>
                <w:color w:val="auto"/>
              </w:rPr>
            </w:pPr>
          </w:p>
        </w:tc>
      </w:tr>
      <w:tr>
        <w:trPr>
          <w:trHeight w:val="20"/>
        </w:trPr>
        <w:tc>
          <w:tcPr>
            <w:tcW w:w="6100" w:type="dxa"/>
            <w:vAlign w:val="bottom"/>
            <w:gridSpan w:val="23"/>
            <w:vMerge w:val="restart"/>
          </w:tcPr>
          <w:p>
            <w:pPr>
              <w:spacing w:after="0"/>
              <w:rPr>
                <w:sz w:val="20"/>
                <w:szCs w:val="20"/>
                <w:color w:val="auto"/>
              </w:rPr>
            </w:pPr>
            <w:r>
              <w:rPr>
                <w:rFonts w:ascii="Arial" w:cs="Arial" w:eastAsia="Arial" w:hAnsi="Arial"/>
                <w:sz w:val="18"/>
                <w:szCs w:val="18"/>
                <w:color w:val="1519FD"/>
                <w:w w:val="89"/>
              </w:rPr>
              <w:t>Item 13. Certain Relationships and Related Transactions, and Director Independence</w:t>
            </w:r>
          </w:p>
        </w:tc>
        <w:tc>
          <w:tcPr>
            <w:tcW w:w="43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00" w:type="dxa"/>
            <w:vAlign w:val="bottom"/>
            <w:tcBorders>
              <w:bottom w:val="single" w:sz="8" w:color="1519FD"/>
            </w:tcBorders>
            <w:gridSpan w:val="23"/>
            <w:vMerge w:val="continue"/>
          </w:tcPr>
          <w:p>
            <w:pPr>
              <w:spacing w:after="0"/>
              <w:rPr>
                <w:sz w:val="21"/>
                <w:szCs w:val="21"/>
                <w:color w:val="auto"/>
              </w:rPr>
            </w:pPr>
          </w:p>
        </w:tc>
        <w:tc>
          <w:tcPr>
            <w:tcW w:w="4340" w:type="dxa"/>
            <w:vAlign w:val="bottom"/>
            <w:gridSpan w:val="5"/>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1519FD"/>
              </w:rPr>
              <w:t>127</w:t>
            </w:r>
          </w:p>
        </w:tc>
        <w:tc>
          <w:tcPr>
            <w:tcW w:w="0" w:type="dxa"/>
            <w:vAlign w:val="bottom"/>
          </w:tcPr>
          <w:p>
            <w:pPr>
              <w:spacing w:after="0"/>
              <w:rPr>
                <w:sz w:val="1"/>
                <w:szCs w:val="1"/>
                <w:color w:val="auto"/>
              </w:rPr>
            </w:pPr>
          </w:p>
        </w:tc>
      </w:tr>
      <w:tr>
        <w:trPr>
          <w:trHeight w:val="20"/>
        </w:trPr>
        <w:tc>
          <w:tcPr>
            <w:tcW w:w="3560" w:type="dxa"/>
            <w:vAlign w:val="bottom"/>
            <w:gridSpan w:val="13"/>
            <w:vMerge w:val="restart"/>
          </w:tcPr>
          <w:p>
            <w:pPr>
              <w:spacing w:after="0"/>
              <w:rPr>
                <w:sz w:val="20"/>
                <w:szCs w:val="20"/>
                <w:color w:val="auto"/>
              </w:rPr>
            </w:pPr>
            <w:r>
              <w:rPr>
                <w:rFonts w:ascii="Arial" w:cs="Arial" w:eastAsia="Arial" w:hAnsi="Arial"/>
                <w:sz w:val="18"/>
                <w:szCs w:val="18"/>
                <w:color w:val="1519FD"/>
                <w:w w:val="91"/>
              </w:rPr>
              <w:t>Item 14. Principal Accountant Fees and Services</w:t>
            </w:r>
          </w:p>
        </w:tc>
        <w:tc>
          <w:tcPr>
            <w:tcW w:w="6880" w:type="dxa"/>
            <w:vAlign w:val="bottom"/>
            <w:gridSpan w:val="15"/>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60" w:type="dxa"/>
            <w:vAlign w:val="bottom"/>
            <w:gridSpan w:val="13"/>
            <w:vMerge w:val="continue"/>
          </w:tcPr>
          <w:p>
            <w:pPr>
              <w:spacing w:after="0"/>
              <w:rPr>
                <w:sz w:val="21"/>
                <w:szCs w:val="21"/>
                <w:color w:val="auto"/>
              </w:rPr>
            </w:pPr>
          </w:p>
        </w:tc>
        <w:tc>
          <w:tcPr>
            <w:tcW w:w="6880" w:type="dxa"/>
            <w:vAlign w:val="bottom"/>
            <w:gridSpan w:val="15"/>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1519FD"/>
              </w:rPr>
              <w:t>127</w:t>
            </w:r>
          </w:p>
        </w:tc>
        <w:tc>
          <w:tcPr>
            <w:tcW w:w="0" w:type="dxa"/>
            <w:vAlign w:val="bottom"/>
          </w:tcPr>
          <w:p>
            <w:pPr>
              <w:spacing w:after="0"/>
              <w:rPr>
                <w:sz w:val="1"/>
                <w:szCs w:val="1"/>
                <w:color w:val="auto"/>
              </w:rPr>
            </w:pPr>
          </w:p>
        </w:tc>
      </w:tr>
      <w:tr>
        <w:trPr>
          <w:trHeight w:val="27"/>
        </w:trPr>
        <w:tc>
          <w:tcPr>
            <w:tcW w:w="760" w:type="dxa"/>
            <w:vAlign w:val="bottom"/>
            <w:shd w:val="clear" w:color="auto" w:fill="1519FD"/>
          </w:tcPr>
          <w:p>
            <w:pPr>
              <w:spacing w:after="0"/>
              <w:rPr>
                <w:sz w:val="2"/>
                <w:szCs w:val="2"/>
                <w:color w:val="auto"/>
              </w:rPr>
            </w:pPr>
          </w:p>
        </w:tc>
        <w:tc>
          <w:tcPr>
            <w:tcW w:w="440" w:type="dxa"/>
            <w:vAlign w:val="bottom"/>
            <w:shd w:val="clear" w:color="auto" w:fill="1519FD"/>
          </w:tcPr>
          <w:p>
            <w:pPr>
              <w:spacing w:after="0"/>
              <w:rPr>
                <w:sz w:val="2"/>
                <w:szCs w:val="2"/>
                <w:color w:val="auto"/>
              </w:rPr>
            </w:pPr>
          </w:p>
        </w:tc>
        <w:tc>
          <w:tcPr>
            <w:tcW w:w="40" w:type="dxa"/>
            <w:vAlign w:val="bottom"/>
            <w:shd w:val="clear" w:color="auto" w:fill="1519FD"/>
          </w:tcPr>
          <w:p>
            <w:pPr>
              <w:spacing w:after="0"/>
              <w:rPr>
                <w:sz w:val="2"/>
                <w:szCs w:val="2"/>
                <w:color w:val="auto"/>
              </w:rPr>
            </w:pPr>
          </w:p>
        </w:tc>
        <w:tc>
          <w:tcPr>
            <w:tcW w:w="100" w:type="dxa"/>
            <w:vAlign w:val="bottom"/>
            <w:shd w:val="clear" w:color="auto" w:fill="1519FD"/>
          </w:tcPr>
          <w:p>
            <w:pPr>
              <w:spacing w:after="0"/>
              <w:rPr>
                <w:sz w:val="2"/>
                <w:szCs w:val="2"/>
                <w:color w:val="auto"/>
              </w:rPr>
            </w:pPr>
          </w:p>
        </w:tc>
        <w:tc>
          <w:tcPr>
            <w:tcW w:w="300" w:type="dxa"/>
            <w:vAlign w:val="bottom"/>
            <w:shd w:val="clear" w:color="auto" w:fill="1519FD"/>
          </w:tcPr>
          <w:p>
            <w:pPr>
              <w:spacing w:after="0"/>
              <w:rPr>
                <w:sz w:val="2"/>
                <w:szCs w:val="2"/>
                <w:color w:val="auto"/>
              </w:rPr>
            </w:pPr>
          </w:p>
        </w:tc>
        <w:tc>
          <w:tcPr>
            <w:tcW w:w="260" w:type="dxa"/>
            <w:vAlign w:val="bottom"/>
            <w:shd w:val="clear" w:color="auto" w:fill="1519FD"/>
          </w:tcPr>
          <w:p>
            <w:pPr>
              <w:spacing w:after="0"/>
              <w:rPr>
                <w:sz w:val="2"/>
                <w:szCs w:val="2"/>
                <w:color w:val="auto"/>
              </w:rPr>
            </w:pPr>
          </w:p>
        </w:tc>
        <w:tc>
          <w:tcPr>
            <w:tcW w:w="100" w:type="dxa"/>
            <w:vAlign w:val="bottom"/>
            <w:shd w:val="clear" w:color="auto" w:fill="1519FD"/>
          </w:tcPr>
          <w:p>
            <w:pPr>
              <w:spacing w:after="0"/>
              <w:rPr>
                <w:sz w:val="2"/>
                <w:szCs w:val="2"/>
                <w:color w:val="auto"/>
              </w:rPr>
            </w:pPr>
          </w:p>
        </w:tc>
        <w:tc>
          <w:tcPr>
            <w:tcW w:w="240" w:type="dxa"/>
            <w:vAlign w:val="bottom"/>
            <w:shd w:val="clear" w:color="auto" w:fill="1519FD"/>
          </w:tcPr>
          <w:p>
            <w:pPr>
              <w:spacing w:after="0"/>
              <w:rPr>
                <w:sz w:val="2"/>
                <w:szCs w:val="2"/>
                <w:color w:val="auto"/>
              </w:rPr>
            </w:pPr>
          </w:p>
        </w:tc>
        <w:tc>
          <w:tcPr>
            <w:tcW w:w="140" w:type="dxa"/>
            <w:vAlign w:val="bottom"/>
            <w:shd w:val="clear" w:color="auto" w:fill="1519FD"/>
          </w:tcPr>
          <w:p>
            <w:pPr>
              <w:spacing w:after="0"/>
              <w:rPr>
                <w:sz w:val="2"/>
                <w:szCs w:val="2"/>
                <w:color w:val="auto"/>
              </w:rPr>
            </w:pPr>
          </w:p>
        </w:tc>
        <w:tc>
          <w:tcPr>
            <w:tcW w:w="120" w:type="dxa"/>
            <w:vAlign w:val="bottom"/>
            <w:shd w:val="clear" w:color="auto" w:fill="1519FD"/>
          </w:tcPr>
          <w:p>
            <w:pPr>
              <w:spacing w:after="0"/>
              <w:rPr>
                <w:sz w:val="2"/>
                <w:szCs w:val="2"/>
                <w:color w:val="auto"/>
              </w:rPr>
            </w:pPr>
          </w:p>
        </w:tc>
        <w:tc>
          <w:tcPr>
            <w:tcW w:w="20" w:type="dxa"/>
            <w:vAlign w:val="bottom"/>
            <w:shd w:val="clear" w:color="auto" w:fill="1519FD"/>
          </w:tcPr>
          <w:p>
            <w:pPr>
              <w:spacing w:after="0"/>
              <w:rPr>
                <w:sz w:val="2"/>
                <w:szCs w:val="2"/>
                <w:color w:val="auto"/>
              </w:rPr>
            </w:pPr>
          </w:p>
        </w:tc>
        <w:tc>
          <w:tcPr>
            <w:tcW w:w="260" w:type="dxa"/>
            <w:vAlign w:val="bottom"/>
            <w:shd w:val="clear" w:color="auto" w:fill="1519FD"/>
          </w:tcPr>
          <w:p>
            <w:pPr>
              <w:spacing w:after="0"/>
              <w:rPr>
                <w:sz w:val="2"/>
                <w:szCs w:val="2"/>
                <w:color w:val="auto"/>
              </w:rPr>
            </w:pPr>
          </w:p>
        </w:tc>
        <w:tc>
          <w:tcPr>
            <w:tcW w:w="780" w:type="dxa"/>
            <w:vAlign w:val="bottom"/>
            <w:shd w:val="clear" w:color="auto" w:fill="1519FD"/>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0" w:type="dxa"/>
            <w:vAlign w:val="bottom"/>
            <w:gridSpan w:val="11"/>
            <w:vMerge w:val="restart"/>
          </w:tcPr>
          <w:p>
            <w:pPr>
              <w:jc w:val="center"/>
              <w:ind w:right="4880"/>
              <w:spacing w:after="0"/>
              <w:rPr>
                <w:sz w:val="20"/>
                <w:szCs w:val="20"/>
                <w:color w:val="auto"/>
              </w:rPr>
            </w:pPr>
            <w:r>
              <w:rPr>
                <w:rFonts w:ascii="Arial" w:cs="Arial" w:eastAsia="Arial" w:hAnsi="Arial"/>
                <w:sz w:val="18"/>
                <w:szCs w:val="18"/>
                <w:color w:val="1519FD"/>
                <w:w w:val="94"/>
              </w:rPr>
              <w:t>Part IV</w:t>
            </w:r>
          </w:p>
        </w:tc>
        <w:tc>
          <w:tcPr>
            <w:tcW w:w="500" w:type="dxa"/>
            <w:vAlign w:val="bottom"/>
          </w:tcPr>
          <w:p>
            <w:pPr>
              <w:spacing w:after="0"/>
              <w:rPr>
                <w:sz w:val="2"/>
                <w:szCs w:val="2"/>
                <w:color w:val="auto"/>
              </w:rPr>
            </w:pPr>
          </w:p>
        </w:tc>
        <w:tc>
          <w:tcPr>
            <w:tcW w:w="260" w:type="dxa"/>
            <w:vAlign w:val="bottom"/>
            <w:gridSpan w:val="3"/>
            <w:shd w:val="clear" w:color="auto" w:fill="1519FD"/>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0" w:type="dxa"/>
            <w:vAlign w:val="bottom"/>
            <w:gridSpan w:val="11"/>
            <w:vMerge w:val="continue"/>
          </w:tcPr>
          <w:p>
            <w:pPr>
              <w:spacing w:after="0"/>
              <w:rPr>
                <w:sz w:val="22"/>
                <w:szCs w:val="22"/>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1519FD"/>
              </w:rPr>
              <w:t>128</w:t>
            </w:r>
          </w:p>
        </w:tc>
        <w:tc>
          <w:tcPr>
            <w:tcW w:w="0" w:type="dxa"/>
            <w:vAlign w:val="bottom"/>
          </w:tcPr>
          <w:p>
            <w:pPr>
              <w:spacing w:after="0"/>
              <w:rPr>
                <w:sz w:val="1"/>
                <w:szCs w:val="1"/>
                <w:color w:val="auto"/>
              </w:rPr>
            </w:pPr>
          </w:p>
        </w:tc>
      </w:tr>
      <w:tr>
        <w:trPr>
          <w:trHeight w:val="20"/>
        </w:trPr>
        <w:tc>
          <w:tcPr>
            <w:tcW w:w="3780" w:type="dxa"/>
            <w:vAlign w:val="bottom"/>
            <w:gridSpan w:val="14"/>
            <w:vMerge w:val="restart"/>
          </w:tcPr>
          <w:p>
            <w:pPr>
              <w:spacing w:after="0"/>
              <w:rPr>
                <w:sz w:val="20"/>
                <w:szCs w:val="20"/>
                <w:color w:val="auto"/>
              </w:rPr>
            </w:pPr>
            <w:r>
              <w:rPr>
                <w:rFonts w:ascii="Arial" w:cs="Arial" w:eastAsia="Arial" w:hAnsi="Arial"/>
                <w:sz w:val="18"/>
                <w:szCs w:val="18"/>
                <w:color w:val="1519FD"/>
                <w:w w:val="91"/>
              </w:rPr>
              <w:t>Item 15. Exhibit and Financial Statement Schedules</w:t>
            </w:r>
          </w:p>
        </w:tc>
        <w:tc>
          <w:tcPr>
            <w:tcW w:w="1260" w:type="dxa"/>
            <w:vAlign w:val="bottom"/>
            <w:gridSpan w:val="3"/>
            <w:vMerge w:val="restart"/>
          </w:tcPr>
          <w:p>
            <w:pPr>
              <w:spacing w:after="0" w:line="20" w:lineRule="exact"/>
              <w:rPr>
                <w:sz w:val="1"/>
                <w:szCs w:val="1"/>
                <w:color w:val="auto"/>
              </w:rPr>
            </w:pPr>
          </w:p>
        </w:tc>
        <w:tc>
          <w:tcPr>
            <w:tcW w:w="520" w:type="dxa"/>
            <w:vAlign w:val="bottom"/>
            <w:tcBorders>
              <w:top w:val="single" w:sz="8" w:color="1519FD"/>
            </w:tcBorders>
            <w:gridSpan w:val="4"/>
            <w:vMerge w:val="restart"/>
          </w:tcPr>
          <w:p>
            <w:pPr>
              <w:spacing w:after="0" w:line="20" w:lineRule="exact"/>
              <w:rPr>
                <w:sz w:val="1"/>
                <w:szCs w:val="1"/>
                <w:color w:val="auto"/>
              </w:rPr>
            </w:pPr>
          </w:p>
        </w:tc>
        <w:tc>
          <w:tcPr>
            <w:tcW w:w="4880" w:type="dxa"/>
            <w:vAlign w:val="bottom"/>
            <w:gridSpan w:val="7"/>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780" w:type="dxa"/>
            <w:vAlign w:val="bottom"/>
            <w:tcBorders>
              <w:bottom w:val="single" w:sz="8" w:color="1519FD"/>
            </w:tcBorders>
            <w:gridSpan w:val="14"/>
            <w:vMerge w:val="continue"/>
          </w:tcPr>
          <w:p>
            <w:pPr>
              <w:spacing w:after="0"/>
              <w:rPr>
                <w:sz w:val="21"/>
                <w:szCs w:val="21"/>
                <w:color w:val="auto"/>
              </w:rPr>
            </w:pPr>
          </w:p>
        </w:tc>
        <w:tc>
          <w:tcPr>
            <w:tcW w:w="1260" w:type="dxa"/>
            <w:vAlign w:val="bottom"/>
            <w:gridSpan w:val="3"/>
            <w:vMerge w:val="continue"/>
          </w:tcPr>
          <w:p>
            <w:pPr>
              <w:spacing w:after="0"/>
              <w:rPr>
                <w:sz w:val="21"/>
                <w:szCs w:val="21"/>
                <w:color w:val="auto"/>
              </w:rPr>
            </w:pPr>
          </w:p>
        </w:tc>
        <w:tc>
          <w:tcPr>
            <w:tcW w:w="520" w:type="dxa"/>
            <w:vAlign w:val="bottom"/>
            <w:gridSpan w:val="4"/>
            <w:vMerge w:val="continue"/>
          </w:tcPr>
          <w:p>
            <w:pPr>
              <w:spacing w:after="0"/>
              <w:rPr>
                <w:sz w:val="21"/>
                <w:szCs w:val="21"/>
                <w:color w:val="auto"/>
              </w:rPr>
            </w:pPr>
          </w:p>
        </w:tc>
        <w:tc>
          <w:tcPr>
            <w:tcW w:w="4880" w:type="dxa"/>
            <w:vAlign w:val="bottom"/>
            <w:gridSpan w:val="7"/>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1519FD"/>
              </w:rPr>
              <w:t>128</w:t>
            </w:r>
          </w:p>
        </w:tc>
        <w:tc>
          <w:tcPr>
            <w:tcW w:w="0" w:type="dxa"/>
            <w:vAlign w:val="bottom"/>
          </w:tcPr>
          <w:p>
            <w:pPr>
              <w:spacing w:after="0"/>
              <w:rPr>
                <w:sz w:val="1"/>
                <w:szCs w:val="1"/>
                <w:color w:val="auto"/>
              </w:rPr>
            </w:pPr>
          </w:p>
        </w:tc>
      </w:tr>
      <w:tr>
        <w:trPr>
          <w:trHeight w:val="20"/>
        </w:trPr>
        <w:tc>
          <w:tcPr>
            <w:tcW w:w="2240" w:type="dxa"/>
            <w:vAlign w:val="bottom"/>
            <w:gridSpan w:val="8"/>
            <w:vMerge w:val="restart"/>
          </w:tcPr>
          <w:p>
            <w:pPr>
              <w:spacing w:after="0"/>
              <w:rPr>
                <w:sz w:val="20"/>
                <w:szCs w:val="20"/>
                <w:color w:val="auto"/>
              </w:rPr>
            </w:pPr>
            <w:r>
              <w:rPr>
                <w:rFonts w:ascii="Arial" w:cs="Arial" w:eastAsia="Arial" w:hAnsi="Arial"/>
                <w:sz w:val="18"/>
                <w:szCs w:val="18"/>
                <w:color w:val="1519FD"/>
                <w:w w:val="93"/>
              </w:rPr>
              <w:t>Item 16. Form 10-K Summary</w:t>
            </w:r>
          </w:p>
        </w:tc>
        <w:tc>
          <w:tcPr>
            <w:tcW w:w="8200" w:type="dxa"/>
            <w:vAlign w:val="bottom"/>
            <w:gridSpan w:val="20"/>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240" w:type="dxa"/>
            <w:vAlign w:val="bottom"/>
            <w:tcBorders>
              <w:bottom w:val="single" w:sz="8" w:color="1519FD"/>
            </w:tcBorders>
            <w:gridSpan w:val="8"/>
            <w:vMerge w:val="continue"/>
          </w:tcPr>
          <w:p>
            <w:pPr>
              <w:spacing w:after="0"/>
              <w:rPr>
                <w:sz w:val="21"/>
                <w:szCs w:val="21"/>
                <w:color w:val="auto"/>
              </w:rPr>
            </w:pPr>
          </w:p>
        </w:tc>
        <w:tc>
          <w:tcPr>
            <w:tcW w:w="8200" w:type="dxa"/>
            <w:vAlign w:val="bottom"/>
            <w:gridSpan w:val="20"/>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1519FD"/>
              </w:rPr>
              <w:t>129</w:t>
            </w:r>
          </w:p>
        </w:tc>
        <w:tc>
          <w:tcPr>
            <w:tcW w:w="0" w:type="dxa"/>
            <w:vAlign w:val="bottom"/>
          </w:tcPr>
          <w:p>
            <w:pPr>
              <w:spacing w:after="0"/>
              <w:rPr>
                <w:sz w:val="1"/>
                <w:szCs w:val="1"/>
                <w:color w:val="auto"/>
              </w:rPr>
            </w:pPr>
          </w:p>
        </w:tc>
      </w:tr>
      <w:tr>
        <w:trPr>
          <w:trHeight w:val="20"/>
        </w:trPr>
        <w:tc>
          <w:tcPr>
            <w:tcW w:w="10440" w:type="dxa"/>
            <w:vAlign w:val="bottom"/>
            <w:gridSpan w:val="28"/>
            <w:vMerge w:val="restart"/>
          </w:tcPr>
          <w:p>
            <w:pPr>
              <w:spacing w:after="0"/>
              <w:rPr>
                <w:sz w:val="20"/>
                <w:szCs w:val="20"/>
                <w:color w:val="auto"/>
              </w:rPr>
            </w:pPr>
            <w:r>
              <w:rPr>
                <w:rFonts w:ascii="Arial" w:cs="Arial" w:eastAsia="Arial" w:hAnsi="Arial"/>
                <w:sz w:val="18"/>
                <w:szCs w:val="18"/>
                <w:color w:val="1519FD"/>
              </w:rPr>
              <w:t>Signatures</w:t>
            </w:r>
          </w:p>
        </w:tc>
        <w:tc>
          <w:tcPr>
            <w:tcW w:w="50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440" w:type="dxa"/>
            <w:vAlign w:val="bottom"/>
            <w:gridSpan w:val="28"/>
            <w:vMerge w:val="continue"/>
          </w:tcPr>
          <w:p>
            <w:pPr>
              <w:spacing w:after="0"/>
              <w:rPr>
                <w:sz w:val="21"/>
                <w:szCs w:val="21"/>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1519FD"/>
              </w:rPr>
              <w:t>130</w:t>
            </w:r>
          </w:p>
        </w:tc>
        <w:tc>
          <w:tcPr>
            <w:tcW w:w="0" w:type="dxa"/>
            <w:vAlign w:val="bottom"/>
          </w:tcPr>
          <w:p>
            <w:pPr>
              <w:spacing w:after="0"/>
              <w:rPr>
                <w:sz w:val="1"/>
                <w:szCs w:val="1"/>
                <w:color w:val="auto"/>
              </w:rPr>
            </w:pPr>
          </w:p>
        </w:tc>
      </w:tr>
      <w:tr>
        <w:trPr>
          <w:trHeight w:val="27"/>
        </w:trPr>
        <w:tc>
          <w:tcPr>
            <w:tcW w:w="760" w:type="dxa"/>
            <w:vAlign w:val="bottom"/>
            <w:shd w:val="clear" w:color="auto" w:fill="1519FD"/>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1519FD"/>
          </w:tcPr>
          <w:p>
            <w:pPr>
              <w:spacing w:after="0"/>
              <w:rPr>
                <w:sz w:val="2"/>
                <w:szCs w:val="2"/>
                <w:color w:val="auto"/>
              </w:rPr>
            </w:pPr>
          </w:p>
        </w:tc>
        <w:tc>
          <w:tcPr>
            <w:tcW w:w="100" w:type="dxa"/>
            <w:vAlign w:val="bottom"/>
            <w:shd w:val="clear" w:color="auto" w:fill="1519FD"/>
          </w:tcPr>
          <w:p>
            <w:pPr>
              <w:spacing w:after="0"/>
              <w:rPr>
                <w:sz w:val="2"/>
                <w:szCs w:val="2"/>
                <w:color w:val="auto"/>
              </w:rPr>
            </w:pPr>
          </w:p>
        </w:tc>
        <w:tc>
          <w:tcPr>
            <w:tcW w:w="80" w:type="dxa"/>
            <w:vAlign w:val="bottom"/>
            <w:shd w:val="clear" w:color="auto" w:fill="1519FD"/>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0"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Statements regarding our future results of operations and financial position, business strategy, and plans and objectives of management for future operations, including, among others, statements regarding expected growth, future capital expenditures, and debt service obligations, are forward-looking statements. In some cases, you can identify forward-looking statements by terms, such as “anticipate,” “believe,” “contemplate,”“continue,” “could,” “estimate,” “evolve,” “expect,” “intend,” “may,” “plan,” “potential,” “predict,” “seek,” “should,” “strategy,” “target,” “will,” or “would,” or the negative of these terms or other similar expressions. Accordingly, we caution you that any such forward-looking statements are not guarantees of future performance and are subject to risks, assumptions, and uncertainties that are difficult to predict.</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Although we believe that the expectations reflected in these forward-looking statements are reasonable as of the date made, actual results may prove to be materially different from the results expressed or implied by the forward-looking statements. These forward-looking statements are subject to a number of risks, uncertainties, and assumptions, including the important factors described in Part I, Item 1A “Risk Factors” and elsewhere in this Annual Report on Form 10-K. Other sections of this Annual Report on Form 10-K include additional factors that could adversely impact our business and financial performance.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87"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You should not rely upon forward-looking statements as predictions of future events. This Annual Report on Form 10-K and the documents that we have filed as exhibits should be read with the understanding that our actual future results, levels of activity, performance and achievements may be materially different from what we expect. We qualify all of our forward-looking statements by these cautionary statements. These forward looking statements speak only as of the date of this Annual Report on Form 10-K. Except as required by applicable law, we undertake no obligation to update or revise any forward-looking statements contained in this Annual Report on Form 10-K, whether as a result of any new information, future events or otherwise.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4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Unless otherwise indicated, information contained in this Annual Report on Form 10-K concerning our industry,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assumptions and estimates of the future performance of the industry in which we operate and our</w:t>
      </w:r>
    </w:p>
    <w:p>
      <w:pPr>
        <w:ind w:right="180"/>
        <w:spacing w:after="0" w:line="292" w:lineRule="auto"/>
        <w:rPr>
          <w:sz w:val="20"/>
          <w:szCs w:val="20"/>
          <w:color w:val="auto"/>
        </w:rPr>
      </w:pPr>
      <w:r>
        <w:rPr>
          <w:rFonts w:ascii="Arial" w:cs="Arial" w:eastAsia="Arial" w:hAnsi="Arial"/>
          <w:sz w:val="18"/>
          <w:szCs w:val="18"/>
          <w:color w:val="auto"/>
        </w:rPr>
        <w:t>future performance are necessarily subject to uncertainty and risk due to a variety of factors, including those described in “Risk Factors” and “Cautionary Note Regarding Forward-Looking Statements.” These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could cause results to differ materially from those expressed in the estimates made by the independent parties and by us.</w:t>
      </w:r>
    </w:p>
    <w:p>
      <w:pPr>
        <w:spacing w:after="0" w:line="266"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auto"/>
        </w:rPr>
        <w:t>The sources of certain statistical data, estimates, and forecasts contained in this Annual Report on Form 10-K are in the following independent industry reports:</w:t>
      </w:r>
    </w:p>
    <w:p>
      <w:pPr>
        <w:spacing w:after="0" w:line="1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Bain &amp; Company, The Global Diamond Industry 2020-21, February 2021 (“The Bain Report”).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Euromonitor International, Fine Jewellery, 2023 (“Euromonitor”).</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BASIS OF PRESENTATION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Annual Report on Form 10-K, unless the context otherwise requires, references to:</w:t>
      </w:r>
    </w:p>
    <w:p>
      <w:pPr>
        <w:spacing w:after="0" w:line="306" w:lineRule="exact"/>
        <w:rPr>
          <w:sz w:val="20"/>
          <w:szCs w:val="20"/>
          <w:color w:val="auto"/>
        </w:rPr>
      </w:pPr>
    </w:p>
    <w:p>
      <w:pPr>
        <w:ind w:left="580" w:hanging="329"/>
        <w:spacing w:after="0" w:line="259" w:lineRule="auto"/>
        <w:tabs>
          <w:tab w:leader="none" w:pos="54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 “our,” the “Company,” “Brilliant Earth,” and similar references refer: (1) following the consummation of the Reorganization Transactions (as defined below), including our initial public offering (“IPO”) which occurred on September 23, 2021, to Brilliant Earth Group, Inc., and, unless otherwise stated, all of its subsidiaries, including Brilliant Earth, LLC, and (2) prior to the completion of the Reorganization Transactions, including the IPO, to Brilliant Earth, LLC.</w:t>
      </w:r>
    </w:p>
    <w:p>
      <w:pPr>
        <w:spacing w:after="0" w:line="24" w:lineRule="exact"/>
        <w:rPr>
          <w:rFonts w:ascii="Arial" w:cs="Arial" w:eastAsia="Arial" w:hAnsi="Arial"/>
          <w:sz w:val="18"/>
          <w:szCs w:val="18"/>
          <w:color w:val="auto"/>
        </w:rPr>
      </w:pPr>
    </w:p>
    <w:p>
      <w:pPr>
        <w:ind w:left="580" w:right="580" w:hanging="329"/>
        <w:spacing w:after="0" w:line="27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“Brilliant Earth LLC Agreement” refers to Brilliant Earth, LLC’s amended and restated limited liability company agreement, which became effective prior to the consummation of the IPO.</w:t>
      </w:r>
    </w:p>
    <w:p>
      <w:pPr>
        <w:spacing w:after="0" w:line="8" w:lineRule="exact"/>
        <w:rPr>
          <w:rFonts w:ascii="Arial" w:cs="Arial" w:eastAsia="Arial" w:hAnsi="Arial"/>
          <w:sz w:val="18"/>
          <w:szCs w:val="18"/>
          <w:color w:val="auto"/>
        </w:rPr>
      </w:pPr>
    </w:p>
    <w:p>
      <w:pPr>
        <w:ind w:left="580" w:right="20" w:hanging="329"/>
        <w:spacing w:after="0" w:line="273" w:lineRule="auto"/>
        <w:tabs>
          <w:tab w:leader="none" w:pos="575"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“Continuing Equity Owners” refers collectively to holders of LLC Interests (as defined below) and our Class B common stock and Class C common stock immediately following consummation of the Reorganization Transactions,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spacing w:after="0" w:line="15" w:lineRule="exact"/>
        <w:rPr>
          <w:rFonts w:ascii="Arial" w:cs="Arial" w:eastAsia="Arial" w:hAnsi="Arial"/>
          <w:sz w:val="17"/>
          <w:szCs w:val="17"/>
          <w:color w:val="auto"/>
        </w:rPr>
      </w:pPr>
    </w:p>
    <w:p>
      <w:pPr>
        <w:ind w:left="580" w:right="240" w:hanging="329"/>
        <w:spacing w:after="0" w:line="27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“Founders” refers to Beth Gerstein, our Co-Founder and Chief Executive Officer, Eric Grossberg, our Co-Founder and Executive Chairman, and Just Rocks (as defined below).</w:t>
      </w:r>
    </w:p>
    <w:p>
      <w:pPr>
        <w:spacing w:after="0" w:line="8"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“Just Rocks” refers to Just Rocks, Inc., a Delaware corporation, which is jointly owned and controlled by our Founders.</w:t>
      </w:r>
    </w:p>
    <w:p>
      <w:pPr>
        <w:spacing w:after="0" w:line="63" w:lineRule="exact"/>
        <w:rPr>
          <w:rFonts w:ascii="Arial" w:cs="Arial" w:eastAsia="Arial" w:hAnsi="Arial"/>
          <w:sz w:val="18"/>
          <w:szCs w:val="18"/>
          <w:color w:val="auto"/>
        </w:rPr>
      </w:pPr>
    </w:p>
    <w:p>
      <w:pPr>
        <w:ind w:left="580" w:right="140" w:hanging="329"/>
        <w:spacing w:after="0" w:line="27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“LLC Interests” or “LLC Units” refers to the common units of Brilliant Earth, LLC, including those that we purchased with the net proceeds from the IPO.</w:t>
      </w:r>
    </w:p>
    <w:p>
      <w:pPr>
        <w:spacing w:after="0" w:line="8" w:lineRule="exact"/>
        <w:rPr>
          <w:rFonts w:ascii="Arial" w:cs="Arial" w:eastAsia="Arial" w:hAnsi="Arial"/>
          <w:sz w:val="18"/>
          <w:szCs w:val="18"/>
          <w:color w:val="auto"/>
        </w:rPr>
      </w:pPr>
    </w:p>
    <w:p>
      <w:pPr>
        <w:ind w:left="580" w:right="120" w:hanging="329"/>
        <w:spacing w:after="0" w:line="27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“Mainsail” refers to Mainsail Partners III, L.P., our sponsor and a Delaware limited partnership, and certain funds affiliated with Mainsail Partners III, L.P., including Mainsail Incentive Program, LLC, and Mainsail Co-Investors III, L.P.</w:t>
      </w:r>
    </w:p>
    <w:p>
      <w:pPr>
        <w:spacing w:after="0" w:line="8"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“Reorganization Transactions” refers to the organizational transactions and the IPO, and the application of the net proceeds therefrom.</w:t>
      </w:r>
    </w:p>
    <w:p>
      <w:pPr>
        <w:spacing w:after="0" w:line="74" w:lineRule="exact"/>
        <w:rPr>
          <w:rFonts w:ascii="Arial" w:cs="Arial" w:eastAsia="Arial" w:hAnsi="Arial"/>
          <w:sz w:val="17"/>
          <w:szCs w:val="17"/>
          <w:color w:val="auto"/>
        </w:rPr>
      </w:pPr>
    </w:p>
    <w:p>
      <w:pPr>
        <w:ind w:left="580" w:right="200" w:hanging="329"/>
        <w:spacing w:after="0" w:line="311" w:lineRule="auto"/>
        <w:tabs>
          <w:tab w:leader="none" w:pos="548"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RISK FACTORS</w:t>
      </w: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Investors should carefully consider these risks and uncertainties when investing in our Class A common stock. The principal risks and uncertainties affecting our business include the following:</w:t>
      </w:r>
    </w:p>
    <w:p>
      <w:pPr>
        <w:spacing w:after="0" w:line="175" w:lineRule="exact"/>
        <w:rPr>
          <w:sz w:val="20"/>
          <w:szCs w:val="20"/>
          <w:color w:val="auto"/>
        </w:rPr>
      </w:pPr>
    </w:p>
    <w:p>
      <w:pPr>
        <w:ind w:left="660" w:right="2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56"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costs of diamonds, other gemstones and precious metals, lead times, and supply shortages and supply changes could disrupt our business and have an adverse effect on our operations, financial condition, and results;</w:t>
      </w:r>
    </w:p>
    <w:p>
      <w:pPr>
        <w:spacing w:after="0" w:line="184" w:lineRule="exact"/>
        <w:rPr>
          <w:rFonts w:ascii="Arial" w:cs="Arial" w:eastAsia="Arial" w:hAnsi="Arial"/>
          <w:sz w:val="18"/>
          <w:szCs w:val="18"/>
          <w:color w:val="auto"/>
        </w:rPr>
      </w:pPr>
    </w:p>
    <w:p>
      <w:pPr>
        <w:ind w:left="660" w:right="380" w:hanging="328"/>
        <w:spacing w:after="0" w:line="26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model relies on maintaining a low cost of production and distribution. Fluctuations in the pricing and supply of diamonds, other gemstones, and precious metals, particularly responsibly sourced natural and lab-grown diamonds and recycled precious metals such as gold, which account for the majority of our merchandise costs, increases in labor costs for manufacturing such as wage rate increases, as well as inflation, and energy prices could adversely impact our earnings and cash availability;</w:t>
      </w:r>
    </w:p>
    <w:p>
      <w:pPr>
        <w:spacing w:after="0" w:line="166" w:lineRule="exact"/>
        <w:rPr>
          <w:rFonts w:ascii="Arial" w:cs="Arial" w:eastAsia="Arial" w:hAnsi="Arial"/>
          <w:sz w:val="17"/>
          <w:szCs w:val="17"/>
          <w:color w:val="auto"/>
        </w:rPr>
      </w:pPr>
    </w:p>
    <w:p>
      <w:pPr>
        <w:ind w:left="660" w:right="40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cost-effectively turn existing customers into repeat customers or to acquire new customers, our business, financial condition, and results of operations would be harmed;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plan to expand showrooms in the U.S., which may expose us to significant risks;</w:t>
      </w:r>
    </w:p>
    <w:p>
      <w:pPr>
        <w:spacing w:after="0" w:line="225"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overall decline in the health of the economy and other factors impacting consumer spending, such as recessionary or inflationary conditions, governmental instability, war or the threat of war, and natural disasters may affect consumer purchases;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history of losses, and we may be unable to sustain profitability;</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fine jewelry retail industry is highly competitive, and if we do not compete successfully, our business may be adversely impacted;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profitability and cash flows may be negatively affected if we are not successful in managing our inventory balances and inventory shrinkage;</w:t>
      </w:r>
    </w:p>
    <w:p>
      <w:pPr>
        <w:spacing w:after="0" w:line="234" w:lineRule="exact"/>
        <w:rPr>
          <w:rFonts w:ascii="Arial" w:cs="Arial" w:eastAsia="Arial" w:hAnsi="Arial"/>
          <w:sz w:val="16"/>
          <w:szCs w:val="16"/>
          <w:color w:val="auto"/>
        </w:rPr>
      </w:pPr>
    </w:p>
    <w:p>
      <w:pPr>
        <w:ind w:left="660" w:right="22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derive a significant portion of our revenue from sales of our Create Your Own rings. A decline in sales of our Create Your Own rings would negatively affect our business, financial condition, and results of operations;</w:t>
      </w:r>
    </w:p>
    <w:p>
      <w:pPr>
        <w:spacing w:after="0" w:line="184"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maintain and enhance our brand, our ability to engage or expand our base of customers may be impaired and our business, financial condition, and results of operations may suffer;</w:t>
      </w:r>
    </w:p>
    <w:p>
      <w:pPr>
        <w:spacing w:after="0" w:line="170" w:lineRule="exact"/>
        <w:rPr>
          <w:rFonts w:ascii="Arial" w:cs="Arial" w:eastAsia="Arial" w:hAnsi="Arial"/>
          <w:sz w:val="18"/>
          <w:szCs w:val="18"/>
          <w:color w:val="auto"/>
        </w:rPr>
      </w:pPr>
    </w:p>
    <w:p>
      <w:pPr>
        <w:ind w:left="660" w:right="3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marketing efforts to help grow our business may not be effective, and failure to effectively develop and expand our sales and marketing capabilities could harm our ability to increase our customer base and achieve broader market acceptance of our e-commerce and omnichannel approach to shopping for fine jewelry;</w:t>
      </w:r>
    </w:p>
    <w:p>
      <w:pPr>
        <w:spacing w:after="0" w:line="17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social, and governance matters may impact our business and reputation;</w:t>
      </w:r>
    </w:p>
    <w:p>
      <w:pPr>
        <w:spacing w:after="0" w:line="22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e-commerce and omnichannel business faces distinct risks, and our failure to successfully manage those risks could have a negative impact on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right="220" w:hanging="328"/>
        <w:spacing w:after="0" w:line="291"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effectively anticipate and respond to changes in consumer preferences and shopping patterns, or are unable to introduce new products or programs that appeal to new or existing customers, our sales and profitability could be adversely affected;</w:t>
      </w:r>
    </w:p>
    <w:p>
      <w:pPr>
        <w:spacing w:after="0" w:line="146" w:lineRule="exact"/>
        <w:rPr>
          <w:rFonts w:ascii="Arial" w:cs="Arial" w:eastAsia="Arial" w:hAnsi="Arial"/>
          <w:sz w:val="17"/>
          <w:szCs w:val="17"/>
          <w:color w:val="auto"/>
        </w:rPr>
      </w:pPr>
    </w:p>
    <w:p>
      <w:pPr>
        <w:ind w:left="660" w:right="10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a number of factors to cause our results of operations and operating cash flows to fluctuate on a quarterly and annual basis, which may make it difficult to predict our future performance;</w:t>
      </w:r>
    </w:p>
    <w:p>
      <w:pPr>
        <w:spacing w:after="0" w:line="184" w:lineRule="exact"/>
        <w:rPr>
          <w:rFonts w:ascii="Arial" w:cs="Arial" w:eastAsia="Arial" w:hAnsi="Arial"/>
          <w:sz w:val="18"/>
          <w:szCs w:val="18"/>
          <w:color w:val="auto"/>
        </w:rPr>
      </w:pPr>
    </w:p>
    <w:p>
      <w:pPr>
        <w:ind w:left="660" w:right="200" w:hanging="328"/>
        <w:spacing w:after="0" w:line="24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principal asset is our interest in Brilliant Earth, LLC, and, as a result, we depend on distributions from Brilliant Earth, LLC to pay our taxes and expenses, including payments under the Tax Receivable Agreement (as defined herein). Brilliant Earth, LLC’s ability to make such distributions may be subject to various limitations and restrictions;</w:t>
      </w:r>
    </w:p>
    <w:p>
      <w:pPr>
        <w:spacing w:after="0" w:line="19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Tax Receivable Agreement with the Continuing Equity Owners requires us to make cash payments to them in respect of certain tax benefits to which we may become entitled, and we expect that such payments will be substantial; and</w:t>
      </w:r>
    </w:p>
    <w:p>
      <w:pPr>
        <w:spacing w:after="0" w:line="170" w:lineRule="exact"/>
        <w:rPr>
          <w:rFonts w:ascii="Arial" w:cs="Arial" w:eastAsia="Arial" w:hAnsi="Arial"/>
          <w:sz w:val="18"/>
          <w:szCs w:val="18"/>
          <w:color w:val="auto"/>
        </w:rPr>
      </w:pPr>
    </w:p>
    <w:p>
      <w:pPr>
        <w:ind w:left="660" w:right="180" w:hanging="328"/>
        <w:spacing w:after="0" w:line="324"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organizational structure, including the Tax Receivable Agreement, confers certain benefits upon the Continuing Equity Owners that will not benefit holders of our Class A common stock to the same extent that it will benefit the Continuing Equity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Brilliant Earth is an innovative, digital-first jewelry company, and a global leader in ethically sourced fine jewelry. We offer exclusive designs with superior craftsmanship and supply chain transparency, delivered to customers through a highly personalized omnichannel experience.</w:t>
      </w:r>
    </w:p>
    <w:p>
      <w:pPr>
        <w:spacing w:after="0" w:line="198"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spacing w:after="0" w:line="21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mission is to create a more transparent, sustainable, compassionate, and inclusive jewelry industry, and we are proud to offer customers distinctive and thoughtfully designed products that they can truly feel good about wearing.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43"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Today, Brilliant Earth has sold to consumers in over 50 countries.</w:t>
      </w:r>
    </w:p>
    <w:p>
      <w:pPr>
        <w:spacing w:after="0" w:line="18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Throughout our history, we have invested in technology to create a seamless customer experience, inform our data-driven decision-making, improve efficiencies, and advance our mission. Our technology enables dynamic product visualization, augmented reality try-on, blockchain-enabled transparency, and rapid fulfillment of our flagship Create Your Own product. We leverage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spacing w:after="0" w:line="218" w:lineRule="exact"/>
        <w:rPr>
          <w:sz w:val="20"/>
          <w:szCs w:val="20"/>
          <w:color w:val="auto"/>
        </w:rPr>
      </w:pPr>
    </w:p>
    <w:p>
      <w:pPr>
        <w:ind w:right="440"/>
        <w:spacing w:after="0" w:line="248" w:lineRule="auto"/>
        <w:rPr>
          <w:sz w:val="20"/>
          <w:szCs w:val="20"/>
          <w:color w:val="auto"/>
        </w:rPr>
      </w:pPr>
      <w:r>
        <w:rPr>
          <w:rFonts w:ascii="Arial" w:cs="Arial" w:eastAsia="Arial" w:hAnsi="Arial"/>
          <w:sz w:val="18"/>
          <w:szCs w:val="18"/>
          <w:color w:val="auto"/>
        </w:rPr>
        <w:t>Our made-to-order capabilities and virtual inventory model generate attractive inventory turns and negative working capital. We have achieved strong financial performance and rapid growth since our founding and believe we are in the early stages of realizing our potential in a significant market opportunity.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performance for the year ended December 31, 2022:</w:t>
      </w:r>
    </w:p>
    <w:p>
      <w:pPr>
        <w:spacing w:after="0" w:line="23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sales of $439.9 million, up 15.7% from $380.2 million for the year ended December 31,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of $19.0 million compared to $26.3 million for the year ended December 31, 2021;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margin of 4.3% compared to 6.9% for the year ended December 31,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Jewelry Market</w:t>
      </w:r>
    </w:p>
    <w:p>
      <w:pPr>
        <w:spacing w:after="0" w:line="23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global fine jewelry market is estimated to be worth over $300 billion, according to Euromonitor. Despite its size, the jewelry industry is highly fragmented and includes players like mall jewelers, local independent stores, and department stores, among others. According to The Bain Report, approximately 65% of the industry is composed of thousands of small and independent jewelers, many of which are struggling to address evolving consumer preferences for personalization and e-commerce, and are further limited by reduced purchasing power and an inventory-heavy model. Mall jewelers have also been slow to modernize an outdated retail experience, and face declining foot traffic. We believe the rapidly changing industry provides ample opportunity for Brilliant Earth to take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color w:val="auto"/>
        </w:rPr>
        <w:t>The bridal category—where we currently derive a large portion of our business—is among the most resilient in the jewelry industry. Engagement and wedding rings are an enduring tradition. Each year, there are over two million marriages in the U.S. alone, according to U.S. government statistics.</w:t>
      </w:r>
    </w:p>
    <w:p>
      <w:pPr>
        <w:spacing w:after="0" w:line="15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Engagement rings also have a high average order value (“AOV”) and are a highly considered purchase, often one of the largest purchases that a consumer will make. Given the emotional significance of this purchase, customers often form strong connections with the company from which they buy bridal jewelry and return for special occasions or self-gifting fine jewelry purchases.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Changing consumer preferences</w:t>
      </w:r>
    </w:p>
    <w:p>
      <w:pPr>
        <w:spacing w:after="0" w:line="239"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Millennial and Gen Z consumers are the largest opportunity for the jewelry industry. These consumers represent the core consumer of bridal-related products and a significant portion of the fine jewelry market. They are drawn to purpose-driven brands, are digitally savvy, and expect to shop whenever and wherever they want.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As consumers continue to shift purchases online, we believe consumers seek authentic brands with a strong digital presence and an engaged community.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They are highly active on social media, where many proposees look for engagement ring inspiration.</w:t>
      </w:r>
    </w:p>
    <w:p>
      <w:pPr>
        <w:spacing w:after="0" w:line="223"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While Millennial and Gen Z consumers appreciate digitally native brands, many also want an in-person experience where they can see, touch, and feel products, especially for a high value purchase. They expect to be able to shop when and where they want with a seamless journey between brick-and-mortar and online. This requires strong digital capabilities and a true omnichannel experience. Millennial and Gen Z consumers also seek purpose-driven brands that are authentic, engaged with social and environmental issues, and help them express their individuality.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Brilliant Earth Difference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Exceptional Omnichannel Customer Experience</w:t>
      </w:r>
    </w:p>
    <w:p>
      <w:pPr>
        <w:spacing w:after="0" w:line="239"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We have reimagined the jewelry shopping experience with our seamless omnichannel model—allowing our customers to shop anywhere, anytime. Customers have joyful, personalized, and meaningful experiences on our website and in our reimagined showrooms. For those who shop online, we deliver a leading mobile-first digital platform with dynamic visualization that brings the product to life, and innovative technology that streamlines the customer journey. For those who want to shop in-store, we provide personalized and curated individual appointments. Customers meet with a dedicated jewelry specialist in a fun, relaxing, and educational environment that fosters lasting connections and propels strong engagement and conversion across channels.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Digitally Native, Tech-Driven and Customer-Obsessed</w:t>
      </w:r>
    </w:p>
    <w:p>
      <w:pPr>
        <w:spacing w:after="0" w:line="23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 are digitally native, and take a tech-driven, analytical approach to deliver our exceptional customer experience. The customer is at the forefront of our decision making, and we closely track their feedback and satisfaction across all our channels. We then use this data to create a personalized, premium experience however or wherever our customer chooses to shop.</w:t>
      </w:r>
    </w:p>
    <w:p>
      <w:pPr>
        <w:spacing w:after="0" w:line="20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Our custom e-commerce site guides customers through an intuitive, immersive shopping experience. Our advanced Virtual Try On and product visualization technology allow customers to envision our ring designs with diamonds and gemstones of many sizes, shapes, and colors. Dynamic product customization and an intelligent diamond recommendation engine simplify and personalize the shopping experience.</w:t>
      </w:r>
    </w:p>
    <w:p>
      <w:pPr>
        <w:spacing w:after="0" w:line="19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While many customers shop with us exclusively online, others also want an in-person experience. From early in our history, we have offered personalized individual appointments in our modern showrooms, with curated selections based on data collected from the customer. Our customers enjoy a fun, relaxing, and educational environment while learning about our mission and browsing gemstones and jewelry selected just for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720"/>
        <w:spacing w:after="0" w:line="248" w:lineRule="auto"/>
        <w:rPr>
          <w:sz w:val="20"/>
          <w:szCs w:val="20"/>
          <w:color w:val="auto"/>
        </w:rPr>
      </w:pPr>
      <w:r>
        <w:rPr>
          <w:rFonts w:ascii="Arial" w:cs="Arial" w:eastAsia="Arial" w:hAnsi="Arial"/>
          <w:sz w:val="18"/>
          <w:szCs w:val="18"/>
          <w:color w:val="auto"/>
        </w:rPr>
        <w:t>Dedicated, non-commissioned jewelry specialists are available at every step of their journey via chat, phone, email, virtual appointment, or in our showrooms, which we believe drives strong engagement and high customer satisfaction. These specialists strive to create lasting connections with customers.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Unique and Award-Winning Designs</w:t>
      </w:r>
    </w:p>
    <w:p>
      <w:pPr>
        <w:spacing w:after="0" w:line="239"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We believe that customers should never have to compromise between beauty, quality, and conscience. Our commitment to our core values is matched by our passion for innovative design and exceptional craftsmanship.</w:t>
      </w:r>
    </w:p>
    <w:p>
      <w:pPr>
        <w:ind w:right="20"/>
        <w:spacing w:after="0" w:line="269" w:lineRule="auto"/>
        <w:rPr>
          <w:sz w:val="20"/>
          <w:szCs w:val="20"/>
          <w:color w:val="auto"/>
        </w:rPr>
      </w:pPr>
      <w:r>
        <w:rPr>
          <w:rFonts w:ascii="Arial" w:cs="Arial" w:eastAsia="Arial" w:hAnsi="Arial"/>
          <w:sz w:val="16"/>
          <w:szCs w:val="16"/>
          <w:color w:val="auto"/>
        </w:rPr>
        <w:t>Our award-winning in-house design studio keeps thoughtful design at the heart of everything we do and allows us to quickly adapt to consumer insights and marketplace trends. We utilize our customer dataset, strong relationships with our customers, and highly engaged social media following to continuously uncover consumer insights and trends. We track over 50 attributes associated with our products to inform our development and merchandising decisions. We create unique, exclusive styles that are expertly crafted to be beautiful from every angle and have been featured in leading publications, including Vogue, Forbes, and WWD. Over two-thirds of our ring collection is proprietary and available exclusively at Brilliant Earth.</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engagement rings are highly personalized to reflect our customers’ individuality and unique preferences. Through our Create Your Own model, customers choose their ideal ring design, precious metal type, and ring size, and select their diamond or gemstone from our marketplace. The customer’s one-of-a-kind ring is crafted with extraordinary care to fit the exact specifications of their chosen diamond and made just for them, typically in six to twelve business days. We believe the exacting standards of our made-to-order process deliver a higher quality finished product as compared to other offerings that use pre-fabricated rings retrofitted to accommodate a new center gemstone and ring size.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Mission-Driven Ethos</w:t>
      </w:r>
    </w:p>
    <w:p>
      <w:pPr>
        <w:spacing w:after="0" w:line="239"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color w:val="auto"/>
        </w:rPr>
        <w:t>Our mission is to create a more transparent, sustainable, compassionate, and inclusive jewelry industry. We founded the company to provide an ethical alternative to historical jewelry industry practices, which have raised environmental and social concerns and lacked transparency.</w:t>
      </w:r>
    </w:p>
    <w:p>
      <w:pPr>
        <w:spacing w:after="0" w:line="201" w:lineRule="exact"/>
        <w:rPr>
          <w:sz w:val="20"/>
          <w:szCs w:val="20"/>
          <w:color w:val="auto"/>
        </w:rPr>
      </w:pPr>
    </w:p>
    <w:p>
      <w:pPr>
        <w:ind w:left="660" w:right="80" w:hanging="328"/>
        <w:spacing w:after="0" w:line="232" w:lineRule="auto"/>
        <w:tabs>
          <w:tab w:leader="none" w:pos="621" w:val="left"/>
        </w:tabs>
        <w:numPr>
          <w:ilvl w:val="0"/>
          <w:numId w:val="8"/>
        </w:numPr>
        <w:rPr>
          <w:rFonts w:ascii="Arial" w:cs="Arial" w:eastAsia="Arial" w:hAnsi="Arial"/>
          <w:sz w:val="20"/>
          <w:szCs w:val="20"/>
          <w:color w:val="auto"/>
        </w:rPr>
      </w:pPr>
      <w:r>
        <w:rPr>
          <w:rFonts w:ascii="Arial" w:cs="Arial" w:eastAsia="Arial" w:hAnsi="Arial"/>
          <w:sz w:val="18"/>
          <w:szCs w:val="18"/>
          <w:i w:val="1"/>
          <w:iCs w:val="1"/>
          <w:color w:val="auto"/>
        </w:rPr>
        <w:t xml:space="preserve">Transparent: </w:t>
      </w:r>
      <w:r>
        <w:rPr>
          <w:rFonts w:ascii="Arial" w:cs="Arial" w:eastAsia="Arial" w:hAnsi="Arial"/>
          <w:sz w:val="18"/>
          <w:szCs w:val="18"/>
          <w:color w:val="auto"/>
        </w:rPr>
        <w:t>We go above and beyond current industry standards to offer Beyond Conflict Free Diamonds that have been selected for their ethical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environmentally responsible origins. As part of our commitment to transparent sourcing, we expect our suppliers to adhere to our strict Supplier Code of Conduct. We also integrate blockchain technology to showcase the journey of a select collection of blockchain-enabled diamonds. We are a certified and audited member of the Responsible Jewellery Council (“RJC”), a not-for-profit standard setting organization for the jewelry industry.</w:t>
      </w:r>
    </w:p>
    <w:p>
      <w:pPr>
        <w:spacing w:after="0" w:line="4" w:lineRule="exact"/>
        <w:rPr>
          <w:rFonts w:ascii="Arial" w:cs="Arial" w:eastAsia="Arial" w:hAnsi="Arial"/>
          <w:sz w:val="20"/>
          <w:szCs w:val="20"/>
          <w:color w:val="auto"/>
        </w:rPr>
      </w:pPr>
    </w:p>
    <w:p>
      <w:pPr>
        <w:ind w:left="660" w:right="220" w:hanging="328"/>
        <w:spacing w:after="0" w:line="257" w:lineRule="auto"/>
        <w:tabs>
          <w:tab w:leader="none" w:pos="621" w:val="left"/>
        </w:tabs>
        <w:numPr>
          <w:ilvl w:val="0"/>
          <w:numId w:val="8"/>
        </w:numPr>
        <w:rPr>
          <w:rFonts w:ascii="Arial" w:cs="Arial" w:eastAsia="Arial" w:hAnsi="Arial"/>
          <w:sz w:val="17"/>
          <w:szCs w:val="17"/>
          <w:color w:val="auto"/>
        </w:rPr>
      </w:pPr>
      <w:r>
        <w:rPr>
          <w:rFonts w:ascii="Arial" w:cs="Arial" w:eastAsia="Arial" w:hAnsi="Arial"/>
          <w:sz w:val="16"/>
          <w:szCs w:val="16"/>
          <w:i w:val="1"/>
          <w:iCs w:val="1"/>
          <w:color w:val="auto"/>
        </w:rPr>
        <w:t xml:space="preserve">Sustainable: </w:t>
      </w:r>
      <w:r>
        <w:rPr>
          <w:rFonts w:ascii="Arial" w:cs="Arial" w:eastAsia="Arial" w:hAnsi="Arial"/>
          <w:sz w:val="16"/>
          <w:szCs w:val="16"/>
          <w:color w:val="auto"/>
        </w:rPr>
        <w:t>Our jewelry is crafted from primarily recycled precious metals and arrives in our iconic ring boxes crafted with wood sourced from</w:t>
      </w:r>
      <w:r>
        <w:rPr>
          <w:rFonts w:ascii="Arial" w:cs="Arial" w:eastAsia="Arial" w:hAnsi="Arial"/>
          <w:sz w:val="16"/>
          <w:szCs w:val="16"/>
          <w:i w:val="1"/>
          <w:iCs w:val="1"/>
          <w:color w:val="auto"/>
        </w:rPr>
        <w:t xml:space="preserve"> </w:t>
      </w:r>
      <w:r>
        <w:rPr>
          <w:rFonts w:ascii="Arial" w:cs="Arial" w:eastAsia="Arial" w:hAnsi="Arial"/>
          <w:sz w:val="16"/>
          <w:szCs w:val="16"/>
          <w:color w:val="auto"/>
        </w:rPr>
        <w:t>Forest Stewardship Council (FSC) certified forests. Our paper-based shipping boxes are FSC Recycled and made from 100% post-consumer or pre-consumer recycled content. We are committed to offsetting greenhouse gas emissions generated by our business activities through our Carbon</w:t>
      </w:r>
      <w:r>
        <w:rPr>
          <w:rFonts w:ascii="Arial" w:cs="Arial" w:eastAsia="Arial" w:hAnsi="Arial"/>
          <w:sz w:val="16"/>
          <w:szCs w:val="16"/>
          <w:i w:val="1"/>
          <w:iCs w:val="1"/>
          <w:color w:val="auto"/>
        </w:rPr>
        <w:t>free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Partnership by contributing to two projects, the Envira Amazonia Project and the Texas Capricorn Ridge Wind Project.</w:t>
      </w:r>
    </w:p>
    <w:p>
      <w:pPr>
        <w:spacing w:after="0" w:line="2" w:lineRule="exact"/>
        <w:rPr>
          <w:rFonts w:ascii="Arial" w:cs="Arial" w:eastAsia="Arial" w:hAnsi="Arial"/>
          <w:sz w:val="17"/>
          <w:szCs w:val="17"/>
          <w:color w:val="auto"/>
        </w:rPr>
      </w:pPr>
    </w:p>
    <w:p>
      <w:pPr>
        <w:ind w:left="660" w:right="60" w:hanging="328"/>
        <w:spacing w:after="0" w:line="245" w:lineRule="auto"/>
        <w:tabs>
          <w:tab w:leader="none" w:pos="621" w:val="left"/>
        </w:tabs>
        <w:numPr>
          <w:ilvl w:val="0"/>
          <w:numId w:val="8"/>
        </w:numPr>
        <w:rPr>
          <w:rFonts w:ascii="Arial" w:cs="Arial" w:eastAsia="Arial" w:hAnsi="Arial"/>
          <w:sz w:val="19"/>
          <w:szCs w:val="19"/>
          <w:color w:val="auto"/>
        </w:rPr>
      </w:pPr>
      <w:r>
        <w:rPr>
          <w:rFonts w:ascii="Arial" w:cs="Arial" w:eastAsia="Arial" w:hAnsi="Arial"/>
          <w:sz w:val="17"/>
          <w:szCs w:val="17"/>
          <w:i w:val="1"/>
          <w:iCs w:val="1"/>
          <w:color w:val="auto"/>
        </w:rPr>
        <w:t xml:space="preserve">Compassionate: </w:t>
      </w:r>
      <w:r>
        <w:rPr>
          <w:rFonts w:ascii="Arial" w:cs="Arial" w:eastAsia="Arial" w:hAnsi="Arial"/>
          <w:sz w:val="17"/>
          <w:szCs w:val="17"/>
          <w:color w:val="auto"/>
        </w:rPr>
        <w:t>From our beginnings, we have donated to issues we are passionate about, and volunteering and giving back are especially</w:t>
      </w:r>
      <w:r>
        <w:rPr>
          <w:rFonts w:ascii="Arial" w:cs="Arial" w:eastAsia="Arial" w:hAnsi="Arial"/>
          <w:sz w:val="17"/>
          <w:szCs w:val="17"/>
          <w:i w:val="1"/>
          <w:iCs w:val="1"/>
          <w:color w:val="auto"/>
        </w:rPr>
        <w:t xml:space="preserve"> </w:t>
      </w:r>
      <w:r>
        <w:rPr>
          <w:rFonts w:ascii="Arial" w:cs="Arial" w:eastAsia="Arial" w:hAnsi="Arial"/>
          <w:sz w:val="17"/>
          <w:szCs w:val="17"/>
          <w:color w:val="auto"/>
        </w:rPr>
        <w:t>important to our employees. We recently established the Brilliant Earth Foundation, a donor advised fund, to further our philanthropic mission. In 2015, we partnered with the Diamond Development Initiative to fund a primary school in a rural diamond mining community in the Democratic Republic of Congo. With our non-profit partner Pure Earth, we helped empower miners in an artisanal gold mining community in Peru in 2017 by providing training in mercury-free mining practices to help prevent destructive environmental contamination.</w:t>
      </w:r>
    </w:p>
    <w:p>
      <w:pPr>
        <w:spacing w:after="0" w:line="3" w:lineRule="exact"/>
        <w:rPr>
          <w:rFonts w:ascii="Arial" w:cs="Arial" w:eastAsia="Arial" w:hAnsi="Arial"/>
          <w:sz w:val="19"/>
          <w:szCs w:val="19"/>
          <w:color w:val="auto"/>
        </w:rPr>
      </w:pPr>
    </w:p>
    <w:p>
      <w:pPr>
        <w:ind w:left="660" w:right="500" w:hanging="328"/>
        <w:spacing w:after="0" w:line="231" w:lineRule="auto"/>
        <w:tabs>
          <w:tab w:leader="none" w:pos="621" w:val="left"/>
        </w:tabs>
        <w:numPr>
          <w:ilvl w:val="0"/>
          <w:numId w:val="8"/>
        </w:numPr>
        <w:rPr>
          <w:rFonts w:ascii="Arial" w:cs="Arial" w:eastAsia="Arial" w:hAnsi="Arial"/>
          <w:sz w:val="20"/>
          <w:szCs w:val="20"/>
          <w:color w:val="auto"/>
        </w:rPr>
      </w:pPr>
      <w:r>
        <w:rPr>
          <w:rFonts w:ascii="Arial" w:cs="Arial" w:eastAsia="Arial" w:hAnsi="Arial"/>
          <w:sz w:val="18"/>
          <w:szCs w:val="18"/>
          <w:i w:val="1"/>
          <w:iCs w:val="1"/>
          <w:color w:val="auto"/>
        </w:rPr>
        <w:t xml:space="preserve">Inclusive: </w:t>
      </w:r>
      <w:r>
        <w:rPr>
          <w:rFonts w:ascii="Arial" w:cs="Arial" w:eastAsia="Arial" w:hAnsi="Arial"/>
          <w:sz w:val="18"/>
          <w:szCs w:val="18"/>
          <w:color w:val="auto"/>
        </w:rPr>
        <w:t>We are deeply committed to diversity, equity, and inclusion, and we strive to embody our values through our product collections,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experience, non-profit initiatives, and internal practices. We are proud that women comprise the majority of our employees, senior executive team, and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Brilliant Earth Brand</w:t>
      </w:r>
    </w:p>
    <w:p>
      <w:pPr>
        <w:spacing w:after="0" w:line="23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are a mission-driven, premium brand founded on core values of transparency, sustainability, inclusivity and giving back. These values resonate strongly with Millennial and Gen Z customers. We thoughtfully develop our brand messaging and customer experience to appeal to all genders, which is important because couples are increasingly shopping together for engagement and wedding rings.</w:t>
      </w:r>
    </w:p>
    <w:p>
      <w:pPr>
        <w:spacing w:after="0" w:line="209" w:lineRule="exact"/>
        <w:rPr>
          <w:sz w:val="20"/>
          <w:szCs w:val="20"/>
          <w:color w:val="auto"/>
        </w:rPr>
      </w:pPr>
    </w:p>
    <w:p>
      <w:pPr>
        <w:jc w:val="both"/>
        <w:ind w:right="380"/>
        <w:spacing w:after="0" w:line="294" w:lineRule="auto"/>
        <w:rPr>
          <w:sz w:val="20"/>
          <w:szCs w:val="20"/>
          <w:color w:val="auto"/>
        </w:rPr>
      </w:pPr>
      <w:r>
        <w:rPr>
          <w:rFonts w:ascii="Arial" w:cs="Arial" w:eastAsia="Arial" w:hAnsi="Arial"/>
          <w:sz w:val="16"/>
          <w:szCs w:val="16"/>
          <w:color w:val="auto"/>
        </w:rPr>
        <w:t>Alongside our mission, we believe our joyful, premium customer experience and unique, exclusive jewelry designs drive our strong brand affinity and loyalty. Since our founding, we have fostered deep connections with our highly engaged community, leading to an outsized social media presence. We believe our brand resonance, authentic content, and focus on staying ahead of social trends have contributed to our leading engagement rates.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Exceptional Customer Experience and Differentiated Omnichannel Model Drive Growth and Conversion</w:t>
      </w:r>
    </w:p>
    <w:p>
      <w:pPr>
        <w:spacing w:after="0" w:line="23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have reimagined the jewelry shopping experience. Customers have joyful, personalized, and premium experiences on both our e-commerce site and in our reimagined showrooms. We deliver a leading digital platform, dynamic product customization, innovative technology, and a seamless omnichannel experience. For customers who wish to shop in-store, we provide personalized and curated individual appointments. Customers meet with a dedicated jewelry specialist in a fun, relaxing, and educational environment that fosters lasting connections and propels strong engagement and conversion across channels. We believe our showrooms accelerate our financial performance in the markets where they are located.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Unique and Exclusive Products</w:t>
      </w:r>
    </w:p>
    <w:p>
      <w:pPr>
        <w:spacing w:after="0" w:line="23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award-winning in-house design studio creates unique, exclusive styles that are expertly crafted to be beautiful from every angle. We leverage our data to curate collections and inform new product development strategy, so our offerings are current, fresh, and reflect consumer preferences. We have a vast collection of Beyond Conflict Free natural diamonds and lab-grown diamonds that meet what we believe are rigorous standards for sourcing and quality. Our collection offers extensive coverage across quality characteristics and price points. Through our Create Your Own model, customers can customize their jewelry to reflect their individuality and personal preferences, creating one-of-a-kind jewelry pieces. In 2020, we also released one of the industry’s first gender-fluid collections.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Innovative, Data-Driven Technology</w:t>
      </w:r>
    </w:p>
    <w:p>
      <w:pPr>
        <w:spacing w:after="0" w:line="23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a digitally native company, we use technology to deliver a superior customer experience, improve marketing and operational efficiencies, curate showroom inventory and merchandising, inform real estate decisions, and develop new product designs that reflect consumer preferences. Our proprietary technology includes dynamic visualization, augmented reality try-on, and automated rapid fulfillment of our flagship Create Your Own product. We utilize leading technology for key business functions, including product design and personalization, customer relationship management (“CRM”) and data analytics, inventory and supply chain management, order fulfillment, and more.</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apply cutting-edge technology to innovate and transform our supply chain. We were among the first retail jewelers to offer blockchain diamonds at scale, defining next-generation traceability standards in the jewelry industry, and offer thousands of blockchain-enabled diamonds. This technology tracks a diamond from its origins at the mining operator, through cutting and polishing, to the customer. This provides even greater transparency into the responsible origins of these blockchain-enabled diamonds.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Efficient Operating Model</w:t>
      </w:r>
    </w:p>
    <w:p>
      <w:pPr>
        <w:spacing w:after="0" w:line="23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an asset-light operating model with attractive working capital dynamics, capital efficient showrooms, and a vast virtual inventory of premium natural and lab-grown diamonds. We are able to offer a broad selection of diamonds while keeping our balance sheet inventory low, which has driven our attractive inventory turns. Our limited owned-inventory and rapid cash cycle—where we are typically paid by our customers before we pay our suppliers— allow us to scale with limited capital outlays. Our showroom strategy generates highly favorable unit economics and avoids the inefficiencies of traditional jewelers that have too many physical stores, employees,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inventory. Our showrooms are appointment-driven with large catchment regions, so we are less reliant on high foot traffic locations—with their high rents —than traditional retailers. We curate showroom inventory for scheduled visits and need limited inventory for each location. When not in appointment, our tech-enabled team of jewelry specialists supports online customers, maximizing workforce utilization.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Founder-Led and Diverse Leadership Team Committed to Inclusion</w:t>
      </w:r>
    </w:p>
    <w:p>
      <w:pPr>
        <w:spacing w:after="0" w:line="2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care deeply about diversity, equity, and inclusion. We are led by our CEO and co-founder Beth Gerstein. Our diverse team and commitment to inclusion are integral to our company and inform our product offerings and customer experience.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4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There is a significant growth opportunity ahead. We are less than one percent penetrated in the jewelry category today. With our purpose-driven brand, digitally-driven omnichannel experience, award-winning products, and loyal customers, we believe we have significant opportunities to grow in both our existing and new markets.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Brand Awareness</w:t>
      </w:r>
    </w:p>
    <w:p>
      <w:pPr>
        <w:spacing w:after="0" w:line="23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Increasing brand awareness and growing favorable brand equity have been and remain central to our growth. We believe we will continue to drive brand awareness through marketing, earned media, showroom expansion, and word-of-mouth referrals.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Omnichannel Reach</w:t>
      </w:r>
    </w:p>
    <w:p>
      <w:pPr>
        <w:spacing w:after="0" w:line="239"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We are in the early stages of expanding our showrooms nationwide, and expect to focus in the near term on major urban markets in the U.S. where we can maximize our growth potential. Expanding our number of showrooms has uplifted our e-commerce business, accelerated growth, increased average order value, and improved conversion in the showrooms’ metro regions.</w:t>
      </w:r>
    </w:p>
    <w:p>
      <w:pPr>
        <w:spacing w:after="0" w:line="20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Because our showrooms serve as destinations with some customers traveling long distances, we believe we can achieve broad national showroom coverage with far fewer locations than many traditional retailers. We expect this highly efficient showroom model to complement our digital strategy and will continue to drive growth and profitability.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Purchase Occasions with Existing and New Customers</w:t>
      </w:r>
    </w:p>
    <w:p>
      <w:pPr>
        <w:spacing w:after="0" w:line="22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Fine jewelry, which includes earrings, necklaces, bracelets, and rings (other than engagement or wedding), represented 63% of the global jewelry market in 2020, according to The Bain Report. We believe we have significant opportunity to expand our relationship with our deeply loyal customer base beyond our current core engagement and wedding ring category into special occasions and self-purchases.</w:t>
      </w:r>
    </w:p>
    <w:p>
      <w:pPr>
        <w:spacing w:after="0" w:line="20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Our customer typically begins their Brilliant Earth journey with an engagement ring, so we are often the first significant jewelry purchase in our customer’s life, which we believe creates a lasting, emotional connection with the Brilliant Earth brand. While engagement ring purchases have historically been male-dominated, we thoughtfully built our brand messaging and customer experience to appeal to all genders. Our brand values of beauty, quality, and ethics resonate strongly with Brilliant Earth couples. For all of these reasons, we believe we are uniquely positioned in the industry to build on our brand loyalty to increase future purchases.</w:t>
      </w:r>
    </w:p>
    <w:p>
      <w:pPr>
        <w:spacing w:after="0" w:line="21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To capture these opportunities, we are investing in an expanded fine jewelry assortment, and we will continue to enhance our customer lifetime marketing and data-segmentation capabilities, which we believe will more effectively extend customer relationships beyond engagement and wedding purchases, whether customers are buying a gift or a piece for themselves. With our strong brand resonance with Millennials and Gen Z consumers, we also believe our expanded fine jewelry assortment and strategic customer acquisition will continue to drive fine jewelry orders from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Internationally</w:t>
      </w:r>
    </w:p>
    <w:p>
      <w:pPr>
        <w:spacing w:after="0" w:line="23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We are in the early stages of expanding globally and believe there is significant opportunity for expansion. Our early proof points from localizing our website for Canada, Australia, and the United Kingdom show promising growth in those markets. In addition, we have sold to customers from over 50 countries despite minimal existing language, logistics and currency support for those geographies. We believe that these are early positive signals and that there is substantial potential to launch e-commerce in new overseas markets, and new showrooms in countries where we have already established a localized digital presence.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Assortment and Merchandising</w:t>
      </w:r>
    </w:p>
    <w:p>
      <w:pPr>
        <w:spacing w:after="0" w:line="24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are passionate about beautiful and innovative product design. We are proud to offer our customers exclusive and thoughtfully curated collections of diamond engagement rings, wedding and anniversary rings, gemstone rings, and fine jewelry.</w:t>
      </w:r>
    </w:p>
    <w:p>
      <w:pPr>
        <w:spacing w:after="0" w:line="210"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Our diamond engagement rings are made-to-order through our Create Your Own ring digital tool. Customers choose their ideal ring setting, precious metal type, and ring size, and select their favorite Beyond Conflict Free natural diamond or lab-grown diamond to create their one-of-a-kind ring.</w:t>
      </w:r>
    </w:p>
    <w:p>
      <w:pPr>
        <w:spacing w:after="0" w:line="17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collection of wedding and anniversary rings includes classic precious metal bands and bands accented with diamonds or gemstones. Many of these rings are designed to complement engagement rings and may be purchased with the engagement ring to provide a perfect match. These rings can also be styled alone for everyday wear or stacked to make a distinctive statement. Our diamond bands, including eternity rings, are popular anniversary gifts. Our gemstone rings feature vibrant and distinctive center gemstones, including sapphires, emeralds, moissanites, aquamarines, and other unique colored gemstones. Through our Create Your Own ring digital tool, customers can choose their ideal ring setting, precious metal type, and ring size, and select their favorite gemstone type, shape, color, and size. We also offer pre-set gemstone rings with our most popular gemstones for customers seeking a more curated choice.</w:t>
      </w:r>
    </w:p>
    <w:p>
      <w:pPr>
        <w:spacing w:after="0" w:line="21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Our collection of fine jewelry includes earrings, necklaces, and bracelets. We offer a broad and growing assortment for gifting and self-purchase, from classic diamond stud earrings and tennis bracelets to unique pendants and distinctive gemstone styles. Our emphasis on personalization is reflected in our collection of engravable jewelry and Create Your Own earrings and necklaces set with natural or lab-grown diamonds.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Diamond Assortment</w:t>
      </w:r>
    </w:p>
    <w:p>
      <w:pPr>
        <w:spacing w:after="0" w:line="23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Customers can purchase loose diamonds or select from our vast inventory to create their own diamond ring, earrings, or necklace. Our inventory of independently graded diamonds spans a wide variety of shapes, sizes, premium qualities, and price points to cater to unique customer preferences. We offer both our Beyond Conflict Free natural diamonds with a listed origin and lab-grown diamonds to appeal to different customer preferences. Our Beyond Conflict Free natural diamonds have been selected based on their ethical and environmentally responsible origins, and we believe we are pioneers in offering diamonds with listed and transparent origins. Our lab-grown diamonds have the same physical, chemical, and optical characteristics as natural diamonds, exhibit the same sparkle and provide a mining-free alternative to naturally sourced diamonds. We were one of the first jewelers to offer lab-grown diamonds in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In-House Design Studio</w:t>
      </w:r>
    </w:p>
    <w:p>
      <w:pPr>
        <w:spacing w:after="0" w:line="23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award-winning in-house design team creates distinctive new jewelry designs and updates classic styles with fresh modern appeal. Over two-thirds of our ring collection is proprietary and available exclusively at Brilliant Earth. Our head of product development has been driving innovation at Brilliant Earth for over ten years. Our team uses state-of-the-art technology and the artistry of hand-drawn sketches to create hundreds of new designs per year. Each design is perfected using computer-aided design (“CAD”) technology to ensure beauty from all angles, high quality and manufacturability.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also release exclusive jewelry collections throughout the year to highlight our passion for design. We believe our customers love our beautiful and unique styles—using our Virtual Try On feature, they frequently visualize rings with different diamond shapes and sizes on their own hand, then share their unique creations on social media.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Data-Driven Merchandising</w:t>
      </w: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thoughtfully curate our collections to offer beautiful and differentiated designs with broad appeal. Our data-driven merchandising strategy leverages our robust dataset, strong relationships with our customers, and highly engaged social media community to continuously uncover new insights and trends. We also analyze over 50 attributes associated with our products to optimize our merchandising and inventory decisions.</w:t>
      </w:r>
    </w:p>
    <w:p>
      <w:pPr>
        <w:spacing w:after="0" w:line="19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Our in-house expertise drives an agile product development cycle, with new products typically developed within three months. This agility enables us to rapidly launch, test, and learn based on performance feedback with minimal capital outlay. We regularly refresh our product assortment and maintain a curated online collection of fresh, trend-forward styles that resonate strongly with our customers. We merchandise our showrooms with styles that have sold well online, keeping our inventory costs 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 Collections</w:t>
      </w:r>
    </w:p>
    <w:p>
      <w:pPr>
        <w:spacing w:after="0" w:line="239"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We partner with designers and organizations aligned with our mission and values to create exclusive product collections and support social causes we are passionate about. Collections allow us to broaden our assortment, reinforce our brand ethos, increase engagement with customers and feature like-minded designers.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Data</w:t>
      </w:r>
    </w:p>
    <w:p>
      <w:pPr>
        <w:spacing w:after="0" w:line="2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Since our founding, we have been a leader in incorporating technology and a data-driven approach in an industry that has historically been slow to embrace technology. Our core technologies serve as a foundation for our operating, sales, marketing, and merchandising functions. To deliver our exceptional customer experience and drive efficiencies across our company, we develop proprietary technology solutions and leverage leading third-party solutions.</w:t>
      </w:r>
    </w:p>
    <w:p>
      <w:pPr>
        <w:spacing w:after="0" w:line="17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have a customized e-commerce architecture that enables us to efficiently develop and launch new functionality, customer experiences, and content. Our agile development sprints allow for rapid innovation and testing, and we continually release new functionality to optimize the user experience. For example, our proprietary Diamond Quiz curates recommendations unique to each customer based on an analysis of thousands of diamond demand categories.</w:t>
      </w:r>
    </w:p>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offer our customers a wide variety of powerful decision-making tools, including real diamond videos, and dynamic product visualization. Our advanced Virtual Try On tool allows customers to see any ring with any gemstone size, shape, and color on their own hand, then seamlessly shop, save or share their one-of-a-kind creation. Our Find My Matching Wedding Band tool offers customers an engaging way to explore and discover rings that match their engagement rings, enables the visualization of the ring set and provides us cross-selling and upselling opportunities.</w:t>
      </w:r>
    </w:p>
    <w:p>
      <w:pPr>
        <w:spacing w:after="0" w:line="20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Our technology infrastructure, including our supply chain, inventory management, order fulfillment, sales system of record, and CRM systems, is built within a highly customized, powerful ERP platform. We leverage this technology to provide a unified data source and single view of our customer, as well as ensure quality standards and a more efficient turnaround for our flagship Create Your Own product. We also use a leading data visualization platform for real-time business intelligence across our teams to drive decision making and continuous improvement.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to Consumer, Omnichannel Sales Model</w:t>
      </w:r>
    </w:p>
    <w:p>
      <w:pPr>
        <w:spacing w:after="0" w:line="243"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We sell directly to consumers through our omnichannel sales platform, including e-commerce and showrooms. With a customer-centric and data-driven approach, we offer an elevated, personalized, and educational experience. Our omnichannel approach enhances the customer journey, provides a deeper connection with our jewelry specialists, and drives higher conversion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color w:val="auto"/>
        </w:rPr>
        <w:t>Our mobile-first design approach enables an exceptional user experience across devices. On www.brilliantearth.com, customers can engage with our experienced jewelry specialists via chat, e-mail, and virtual appointments, and can experience our products using our Virtual Try On and product visualization technology.</w:t>
      </w:r>
    </w:p>
    <w:p>
      <w:pPr>
        <w:spacing w:after="0" w:line="209"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We offer personalized individual appointments at our modern showrooms, where customers can experience Brilliant Earth in person, touch, and feel our products, and receive valuable diamond and gemstone education from our jewelry specialists. We make visiting our showrooms a seamless experience where customers can easily book their appointment and share their preferences online. We also use data from our customers’ digital interactions to personalize their appointments and curate the inventory they see in the showroom.</w:t>
      </w:r>
    </w:p>
    <w:p>
      <w:pPr>
        <w:spacing w:after="0" w:line="215" w:lineRule="exact"/>
        <w:rPr>
          <w:sz w:val="20"/>
          <w:szCs w:val="20"/>
          <w:color w:val="auto"/>
        </w:rPr>
      </w:pPr>
    </w:p>
    <w:p>
      <w:pPr>
        <w:jc w:val="both"/>
        <w:ind w:right="340"/>
        <w:spacing w:after="0" w:line="261" w:lineRule="auto"/>
        <w:rPr>
          <w:sz w:val="20"/>
          <w:szCs w:val="20"/>
          <w:color w:val="auto"/>
        </w:rPr>
      </w:pPr>
      <w:r>
        <w:rPr>
          <w:rFonts w:ascii="Arial" w:cs="Arial" w:eastAsia="Arial" w:hAnsi="Arial"/>
          <w:sz w:val="17"/>
          <w:szCs w:val="17"/>
          <w:color w:val="auto"/>
        </w:rPr>
        <w:t>As of December 31, 2022, we have 25 showrooms across the United States. Our showrooms are in prime destinations in major metro areas, including ground or upper floor locations in areas with premium retail adjacencies. We leverage data—including our own first-person customer data, revenue, e-commerce behavior, population and demographic data, and market growth—to inform our showroom real estate decisions.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Jewelry Specialists</w:t>
      </w:r>
    </w:p>
    <w:p>
      <w:pPr>
        <w:spacing w:after="0" w:line="24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have a dedicated team of jewelry specialists available to our customers through every step of their journey via chat, phone, email, virtual appointment, and in our showrooms. Our team serves customers across more than 50 countries on inquiries ranging from diamond education, style recommendations, jewelry care, and payment options.</w:t>
      </w:r>
    </w:p>
    <w:p>
      <w:pPr>
        <w:spacing w:after="0" w:line="20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maintain a flexible and high utilization staffing model in which specialists can seamlessly support online customers when not in customer appointments. We host thousands of individual consultations per month, where we provide diamond and jewelry guidance and education in a relaxing environment, and we provide personalized product recommendations and styling advice for our customers. Jewelry specialists leverage our unified view of the customer to ensure a personalized experience and create a fun, approachable, and educational environment that fosters lasting connections.</w:t>
      </w:r>
    </w:p>
    <w:p>
      <w:pPr>
        <w:spacing w:after="0" w:line="182"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We have tens of thousands of customer interactions per month on average. We respond to most inbound inquiries within 24 hours. In addition, outbound initiatives such as proactive live chats and marketing emails to visit showrooms increase customer engagement and conversion.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employ a variety of dynamic brand marketing and performance marketing strategies to broaden our customer reach, build brand awareness, and maximize lifetime customer value. We use data-driven insights to produce targeted marketing content across a variety of mediums and optimize our marketing efficiency. Our customers are deeply involved with the Brilliant Earth brand, sharing thousands of images, videos, and stories of their proposals and weddings every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Marketing</w:t>
      </w:r>
    </w:p>
    <w:p>
      <w:pPr>
        <w:spacing w:after="0" w:line="239"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Our in-house social media team prioritizes a mix of aspirational yet approachable product and lifestyle imagery, authentic user-generated content, unique educational content, and purpose-driven storytelling that aligns with our audience’s values. Our strong connection with our audience allows us to stay ahead of trends and adapt to reflect their interests.</w:t>
      </w:r>
    </w:p>
    <w:p>
      <w:pPr>
        <w:spacing w:after="0" w:line="20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 also collaborate with key influencers who are deeply passionate about our mission and products. We partner with them to create authentic and unique content, which helps to expand our reach to new and highly relevant audiences. This amplifies the effectiveness of our strategy and contributes to our outsized number of followers and engagement with our community.</w:t>
      </w:r>
    </w:p>
    <w:p>
      <w:pPr>
        <w:spacing w:after="0" w:line="20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unique product designs, strong mission and values and new market launches drive frequent press mentions in leading publications, including Forbes, Vogue, and WWD.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Marketing</w:t>
      </w:r>
    </w:p>
    <w:p>
      <w:pPr>
        <w:spacing w:after="0" w:line="23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take a data-driven and digital-centric approach to performance marketing including search engine optimization, paid search and product listing advertisements, paid and earned social, retargeting, email, display, direct mail, and more. We continuously track performance and make adjustments across channels, campaigns, and creative assets to optimize performance. Our performance marketing drives attractive customer acquisition and retention metrics.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and Supply Chain</w:t>
      </w:r>
    </w:p>
    <w:p>
      <w:pPr>
        <w:spacing w:after="0" w:line="243"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Responsible sourcing is an important aspect of our mission and values. We work with a complex, global network of trusted suppliers and manufacturers who agree to our strict Supplier Code of Conduct and with whom we have developed deep relationships, generally over many years. As part of our commitment to social and environmental responsibility, we offer Beyond Conflict Free</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Diamonds, recycled precious metals and FSC-certified wood ring boxes. We strive to offer products sourced in alignment with responsible labor and environmental practices, and continually work with our suppliers to seek to improve standards and traceability.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Beyond Conflict Free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Diamonds</w:t>
      </w:r>
    </w:p>
    <w:p>
      <w:pPr>
        <w:spacing w:after="0" w:line="18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go above and beyond current industry standards to offer Beyond Conflict Free</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Diamonds that have been selected for their ethical and environmentally responsible origins. Jewelers that offer “conflict free” diamonds meet the minimum standards of the Kimberley Process’ definition, which narrowly defines conflict diamonds as “rough diamonds used to finance wars against governments.” This minimum standards definition still allows large numbers of diamonds that are tainted by violence, human rights abuses, poverty, environmental degradation, and other issues.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 Practices and Standards</w:t>
      </w:r>
    </w:p>
    <w:p>
      <w:pPr>
        <w:spacing w:after="0" w:line="23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select group of natural diamond suppliers demonstrate a robust chain of custody protocol for their diamonds and have the ability to track and segregate diamonds by origin. These suppliers are required to source diamonds that originate from specific mine operations in specific countries that have demonstrated their commitment to follow internationally recognized labor, trade, and environmental standards. Our natural diamonds are sourced from approved mines in countries ranked low to moderate risk according to the Gemstones and Jewellery Community Platform Index for Conflict-Affected High-Risk Areas.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We are continuously improving our processes and working with our partners toward ever more rigorous procedures for diamond sourcing and handling.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goal is to work with our suppliers and industry partners to continue leading the diamond industry in traceability.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Blockchain-Enabled</w:t>
      </w:r>
    </w:p>
    <w:p>
      <w:pPr>
        <w:spacing w:after="0" w:line="23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To further our commitment to transparency and responsible sourcing, we have partnered with Everledger, a leading emerging technology enterprise that uses blockchain to securely track and trace the provenance of high-value assets, including our collection of blockchain-enabled diamonds. This technology tracks a diamond from its origins at the mining operator, through cutting and polishing, to the customer. We offer thousands of blockchain-enabled diamonds.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Lab-Grown Diamonds</w:t>
      </w: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Lab-grown diamonds are created in highly controlled laboratory environments using advanced technological processes that duplicate the conditions under which diamonds develop in nature. These diamonds have the same physical, chemical, and optical characteristics as natural diamonds, and exhibit the same fire, scintillation, and sparkle. Lab-grown diamonds provide a mining-free alternative to natural diamonds.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Recycled Precious Metals</w:t>
      </w:r>
    </w:p>
    <w:p>
      <w:pPr>
        <w:spacing w:after="0" w:line="23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 xml:space="preserve">We strive to use 100% recycled gold and silver and generate year over year increases in the use of recycled platinum for our products. </w:t>
      </w:r>
      <w:r>
        <w:rPr>
          <w:rFonts w:ascii="Arial" w:cs="Arial" w:eastAsia="Arial" w:hAnsi="Arial"/>
          <w:sz w:val="18"/>
          <w:szCs w:val="18"/>
          <w:color w:val="2C2C2C"/>
        </w:rPr>
        <w:t>Our precious metals</w:t>
      </w:r>
      <w:r>
        <w:rPr>
          <w:rFonts w:ascii="Arial" w:cs="Arial" w:eastAsia="Arial" w:hAnsi="Arial"/>
          <w:sz w:val="18"/>
          <w:szCs w:val="18"/>
          <w:color w:val="auto"/>
        </w:rPr>
        <w:t xml:space="preserve"> </w:t>
      </w:r>
      <w:r>
        <w:rPr>
          <w:rFonts w:ascii="Arial" w:cs="Arial" w:eastAsia="Arial" w:hAnsi="Arial"/>
          <w:sz w:val="18"/>
          <w:szCs w:val="18"/>
          <w:color w:val="2C2C2C"/>
        </w:rPr>
        <w:t>are sourced from certified responsible refiners who also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2C2C2C"/>
        </w:rPr>
        <w:t xml:space="preserve">recycling certifications from the Responsible Jewellery Council or third-party validation SCS. </w:t>
      </w:r>
      <w:r>
        <w:rPr>
          <w:rFonts w:ascii="Arial" w:cs="Arial" w:eastAsia="Arial" w:hAnsi="Arial"/>
          <w:sz w:val="18"/>
          <w:szCs w:val="18"/>
          <w:color w:val="000000"/>
        </w:rPr>
        <w:t>Currently our gold and silver fine jewelry is made primarily</w:t>
      </w:r>
      <w:r>
        <w:rPr>
          <w:rFonts w:ascii="Arial" w:cs="Arial" w:eastAsia="Arial" w:hAnsi="Arial"/>
          <w:sz w:val="18"/>
          <w:szCs w:val="18"/>
          <w:color w:val="2C2C2C"/>
        </w:rPr>
        <w:t xml:space="preserve"> </w:t>
      </w:r>
      <w:r>
        <w:rPr>
          <w:rFonts w:ascii="Arial" w:cs="Arial" w:eastAsia="Arial" w:hAnsi="Arial"/>
          <w:sz w:val="18"/>
          <w:szCs w:val="18"/>
          <w:color w:val="000000"/>
        </w:rPr>
        <w:t>of recycled materials, and we continue to work with our suppliers to increase the usage of recycled metal in our products.</w:t>
      </w:r>
    </w:p>
    <w:p>
      <w:pPr>
        <w:spacing w:after="0" w:line="198"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Metal mining, and gold mining in particular, is one of the most environmentally destructive types of mining, and gold miners often earn low wages in dangerous working conditions. Our objective is to help diminish the negative impacts of dirty gold and other metals by reducing our demand for newly mined metals, focusing on recycled precious metals, and contributing to programs dedicated to improving mining practices.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Colored Gemstones</w:t>
      </w:r>
    </w:p>
    <w:p>
      <w:pPr>
        <w:spacing w:after="0" w:line="23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Our colored gemstone offerings include sapphires, emeralds, moissanites, and aquamarines. We strive to offer gemstones sourced in alignment with safe working conditions and environmentally responsible principles. By working with our colored gemstone suppliers to improve standards and traceability, we strive to promote higher standards for gemstone sourcing and encourage responsible practices. In 2021, we launched our Moyo Gems Collection, which empowers female artisanal miners in Tanzania through safer work environments, better mining practices, and improved equity in fair trade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Recycled Diamonds</w:t>
      </w:r>
    </w:p>
    <w:p>
      <w:pPr>
        <w:spacing w:after="0" w:line="23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Recycled diamonds consist of existing polished diamonds that were previously sold, and are either in original condition or were re-polished and re-graded. Our recycled diamonds have been graded by an independent gemological lab and can be compared to newly mined diamonds for their quality characteristics. This product category is still nascent in the industry.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Manufacturing and Fulfillment</w:t>
      </w:r>
    </w:p>
    <w:p>
      <w:pPr>
        <w:spacing w:after="0" w:line="24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manage complex global operations, manufacturing, and logistics networks to enable rapid turnaround times without compromising our commitment to quality, craftsmanship, and ethical sourcing. We have built a sophisticated technology platform to manage our supplier network, resulting in high-quality, customized jewelry produced at scale.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Management</w:t>
      </w:r>
    </w:p>
    <w:p>
      <w:pPr>
        <w:spacing w:after="0" w:line="23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able to offer a vast virtual inventory of diamonds while keeping our asset inventory low. Our sophisticated inventory management system and deep integration with our suppliers allow us to rapidly bring in inventory for appointments. Using our customer data, we curate the inventory for our in-person appointments, ensuring showroom visitors see a personalized and relevant selection. Pricing with our suppliers is determined based on product specifications, market conditions, and other variables. For example, diamond prices are determined based on market conditions, competition, and other factors, including the diamond’s attributes.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39"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We have deep relationships with long-term manufacturing partners, who demonstrate their ability to meet our commitments for ethical sourcing, high quality, fast turnarounds and scalability. Pricing with our manufacturing partners is established and renegotiated based on product specifications, market conditions, and other variables. Our partners, who we consider part of the Brilliant Earth family, go through a rigorous onboarding process to ensure they meet our strict compliance and quality standards, including recycled metal content. Because we own the designs created by our in-house studio, we have flexibility to determine where the jewelry is manufactured to optimize cost, manufacturing capabilities and turnaround times.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Fulfillment and Logistics</w:t>
      </w:r>
    </w:p>
    <w:p>
      <w:pPr>
        <w:spacing w:after="0" w:line="2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majority of our products are made-to-order, and delivered in as little as six to twelve business days. For products that sell in higher, more consistent volumes, such as certain rings and finished jewelry, we batch produce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and stock items to enable even faster customer delivery, typically in just two to five business days. Orders are shipped to customers directly from our fulfillment centers or from our manufacturing partners.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w:t>
      </w:r>
    </w:p>
    <w:p>
      <w:pPr>
        <w:spacing w:after="0" w:line="239" w:lineRule="exact"/>
        <w:rPr>
          <w:sz w:val="20"/>
          <w:szCs w:val="20"/>
          <w:color w:val="auto"/>
        </w:rPr>
      </w:pPr>
    </w:p>
    <w:p>
      <w:pPr>
        <w:jc w:val="both"/>
        <w:ind w:right="300"/>
        <w:spacing w:after="0" w:line="248" w:lineRule="auto"/>
        <w:rPr>
          <w:sz w:val="20"/>
          <w:szCs w:val="20"/>
          <w:color w:val="auto"/>
        </w:rPr>
      </w:pPr>
      <w:r>
        <w:rPr>
          <w:rFonts w:ascii="Arial" w:cs="Arial" w:eastAsia="Arial" w:hAnsi="Arial"/>
          <w:sz w:val="18"/>
          <w:szCs w:val="18"/>
          <w:color w:val="auto"/>
        </w:rPr>
        <w:t>Our responsibly sourced wood ring boxes are designed to be as iconic as the jewelry they hold. They are crafted with wood sourced from FSC certified forests, which are responsibly managed to protect the forests for future generations. Our paper-based shipping boxes are FSC Recycled and made from 100% post-consumer or pre-consumer recycled content.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w:t>
      </w:r>
    </w:p>
    <w:p>
      <w:pPr>
        <w:spacing w:after="0" w:line="2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extremely proud of our team who embody our culture of diversity, equity and inclusion. As of December 31, 2022, we employed 591 full-time employees and 15 part-time employees in the U.S. We are deeply committed to diversity, equity, and inclusion, and we strive to embody our values through our internal practices. We are proud that women comprise majorities of our employees, senior executive team, and board of directors. We believe that diversity makes us a stronger company, and we are proud to be a DEI leader in our industry.</w:t>
      </w:r>
    </w:p>
    <w:p>
      <w:pPr>
        <w:spacing w:after="0" w:line="21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None of our employees are currently represented by a labor union or are party to a collective bargaining agreement, and we have had no labor-related work stoppages. We believe that we have good relationships with our employees.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Culture</w:t>
      </w:r>
    </w:p>
    <w:p>
      <w:pPr>
        <w:spacing w:after="0" w:line="24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 defining part of working at Brilliant Earth is our culture, and it is a key ingredient of our success. It attracts talent, and we evaluate, celebrate, and promote team members based on our Pillars of Culture. Our Pillars of Culture are:</w:t>
      </w:r>
    </w:p>
    <w:p>
      <w:pPr>
        <w:spacing w:after="0" w:line="225" w:lineRule="exact"/>
        <w:rPr>
          <w:sz w:val="20"/>
          <w:szCs w:val="20"/>
          <w:color w:val="auto"/>
        </w:rPr>
      </w:pPr>
    </w:p>
    <w:p>
      <w:pPr>
        <w:ind w:left="620" w:hanging="288"/>
        <w:spacing w:after="0"/>
        <w:tabs>
          <w:tab w:leader="none" w:pos="620" w:val="left"/>
        </w:tabs>
        <w:numPr>
          <w:ilvl w:val="0"/>
          <w:numId w:val="9"/>
        </w:numPr>
        <w:rPr>
          <w:rFonts w:ascii="Arial" w:cs="Arial" w:eastAsia="Arial" w:hAnsi="Arial"/>
          <w:sz w:val="20"/>
          <w:szCs w:val="20"/>
          <w:color w:val="auto"/>
        </w:rPr>
      </w:pPr>
      <w:r>
        <w:rPr>
          <w:rFonts w:ascii="Arial" w:cs="Arial" w:eastAsia="Arial" w:hAnsi="Arial"/>
          <w:sz w:val="18"/>
          <w:szCs w:val="18"/>
          <w:i w:val="1"/>
          <w:iCs w:val="1"/>
          <w:color w:val="auto"/>
        </w:rPr>
        <w:t>Commitment to the Customer</w:t>
      </w:r>
      <w:r>
        <w:rPr>
          <w:rFonts w:ascii="Arial" w:cs="Arial" w:eastAsia="Arial" w:hAnsi="Arial"/>
          <w:sz w:val="18"/>
          <w:szCs w:val="18"/>
          <w:color w:val="auto"/>
        </w:rPr>
        <w:t>: Providing an exceptional customer experience is always our top priority.</w:t>
      </w:r>
    </w:p>
    <w:p>
      <w:pPr>
        <w:spacing w:after="0" w:line="4" w:lineRule="exact"/>
        <w:rPr>
          <w:rFonts w:ascii="Arial" w:cs="Arial" w:eastAsia="Arial" w:hAnsi="Arial"/>
          <w:sz w:val="20"/>
          <w:szCs w:val="20"/>
          <w:color w:val="auto"/>
        </w:rPr>
      </w:pPr>
    </w:p>
    <w:p>
      <w:pPr>
        <w:ind w:left="660" w:right="180" w:hanging="328"/>
        <w:spacing w:after="0" w:line="235" w:lineRule="auto"/>
        <w:tabs>
          <w:tab w:leader="none" w:pos="621" w:val="left"/>
        </w:tabs>
        <w:numPr>
          <w:ilvl w:val="0"/>
          <w:numId w:val="9"/>
        </w:numPr>
        <w:rPr>
          <w:rFonts w:ascii="Arial" w:cs="Arial" w:eastAsia="Arial" w:hAnsi="Arial"/>
          <w:sz w:val="20"/>
          <w:szCs w:val="20"/>
          <w:color w:val="auto"/>
        </w:rPr>
      </w:pPr>
      <w:r>
        <w:rPr>
          <w:rFonts w:ascii="Arial" w:cs="Arial" w:eastAsia="Arial" w:hAnsi="Arial"/>
          <w:sz w:val="18"/>
          <w:szCs w:val="18"/>
          <w:i w:val="1"/>
          <w:iCs w:val="1"/>
          <w:color w:val="auto"/>
        </w:rPr>
        <w:t>Partnership and Positivity</w:t>
      </w:r>
      <w:r>
        <w:rPr>
          <w:rFonts w:ascii="Arial" w:cs="Arial" w:eastAsia="Arial" w:hAnsi="Arial"/>
          <w:sz w:val="18"/>
          <w:szCs w:val="18"/>
          <w:color w:val="auto"/>
        </w:rPr>
        <w:t>: Foster a community of collaboration, inclusivity, respect, and encouragement. Celebrate each other’s differences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each other's victories, big, and small.</w:t>
      </w:r>
    </w:p>
    <w:p>
      <w:pPr>
        <w:ind w:left="620" w:hanging="288"/>
        <w:spacing w:after="0"/>
        <w:tabs>
          <w:tab w:leader="none" w:pos="620" w:val="left"/>
        </w:tabs>
        <w:numPr>
          <w:ilvl w:val="0"/>
          <w:numId w:val="9"/>
        </w:numPr>
        <w:rPr>
          <w:rFonts w:ascii="Arial" w:cs="Arial" w:eastAsia="Arial" w:hAnsi="Arial"/>
          <w:sz w:val="20"/>
          <w:szCs w:val="20"/>
          <w:color w:val="auto"/>
        </w:rPr>
      </w:pPr>
      <w:r>
        <w:rPr>
          <w:rFonts w:ascii="Arial" w:cs="Arial" w:eastAsia="Arial" w:hAnsi="Arial"/>
          <w:sz w:val="18"/>
          <w:szCs w:val="18"/>
          <w:i w:val="1"/>
          <w:iCs w:val="1"/>
          <w:color w:val="auto"/>
        </w:rPr>
        <w:t>Bias toward Action</w:t>
      </w:r>
      <w:r>
        <w:rPr>
          <w:rFonts w:ascii="Arial" w:cs="Arial" w:eastAsia="Arial" w:hAnsi="Arial"/>
          <w:sz w:val="18"/>
          <w:szCs w:val="18"/>
          <w:color w:val="auto"/>
        </w:rPr>
        <w:t>: When you see a need, step up rather than stand by. Discuss, test efficiently, and take action.</w:t>
      </w:r>
    </w:p>
    <w:p>
      <w:pPr>
        <w:spacing w:after="0" w:line="3" w:lineRule="exact"/>
        <w:rPr>
          <w:rFonts w:ascii="Arial" w:cs="Arial" w:eastAsia="Arial" w:hAnsi="Arial"/>
          <w:sz w:val="20"/>
          <w:szCs w:val="20"/>
          <w:color w:val="auto"/>
        </w:rPr>
      </w:pPr>
    </w:p>
    <w:p>
      <w:pPr>
        <w:ind w:left="620" w:hanging="288"/>
        <w:spacing w:after="0" w:line="235" w:lineRule="auto"/>
        <w:tabs>
          <w:tab w:leader="none" w:pos="620" w:val="left"/>
        </w:tabs>
        <w:numPr>
          <w:ilvl w:val="0"/>
          <w:numId w:val="9"/>
        </w:numPr>
        <w:rPr>
          <w:rFonts w:ascii="Arial" w:cs="Arial" w:eastAsia="Arial" w:hAnsi="Arial"/>
          <w:sz w:val="20"/>
          <w:szCs w:val="20"/>
          <w:color w:val="auto"/>
        </w:rPr>
      </w:pPr>
      <w:r>
        <w:rPr>
          <w:rFonts w:ascii="Arial" w:cs="Arial" w:eastAsia="Arial" w:hAnsi="Arial"/>
          <w:sz w:val="18"/>
          <w:szCs w:val="18"/>
          <w:i w:val="1"/>
          <w:iCs w:val="1"/>
          <w:color w:val="auto"/>
        </w:rPr>
        <w:t>Embrace Growth and Change</w:t>
      </w:r>
      <w:r>
        <w:rPr>
          <w:rFonts w:ascii="Arial" w:cs="Arial" w:eastAsia="Arial" w:hAnsi="Arial"/>
          <w:sz w:val="18"/>
          <w:szCs w:val="18"/>
          <w:color w:val="auto"/>
        </w:rPr>
        <w:t>: Be a champion of continuous improvement. Look for new opportunities to support business goals.</w:t>
      </w:r>
    </w:p>
    <w:p>
      <w:pPr>
        <w:spacing w:after="0" w:line="1" w:lineRule="exact"/>
        <w:rPr>
          <w:rFonts w:ascii="Arial" w:cs="Arial" w:eastAsia="Arial" w:hAnsi="Arial"/>
          <w:sz w:val="20"/>
          <w:szCs w:val="20"/>
          <w:color w:val="auto"/>
        </w:rPr>
      </w:pPr>
    </w:p>
    <w:p>
      <w:pPr>
        <w:ind w:left="620" w:hanging="288"/>
        <w:spacing w:after="0" w:line="223" w:lineRule="auto"/>
        <w:tabs>
          <w:tab w:leader="none" w:pos="620" w:val="left"/>
        </w:tabs>
        <w:numPr>
          <w:ilvl w:val="0"/>
          <w:numId w:val="9"/>
        </w:numPr>
        <w:rPr>
          <w:rFonts w:ascii="Arial" w:cs="Arial" w:eastAsia="Arial" w:hAnsi="Arial"/>
          <w:sz w:val="20"/>
          <w:szCs w:val="20"/>
          <w:color w:val="auto"/>
        </w:rPr>
      </w:pPr>
      <w:r>
        <w:rPr>
          <w:rFonts w:ascii="Arial" w:cs="Arial" w:eastAsia="Arial" w:hAnsi="Arial"/>
          <w:sz w:val="18"/>
          <w:szCs w:val="18"/>
          <w:i w:val="1"/>
          <w:iCs w:val="1"/>
          <w:color w:val="auto"/>
        </w:rPr>
        <w:t>Mission Mindset</w:t>
      </w:r>
      <w:r>
        <w:rPr>
          <w:rFonts w:ascii="Arial" w:cs="Arial" w:eastAsia="Arial" w:hAnsi="Arial"/>
          <w:sz w:val="18"/>
          <w:szCs w:val="18"/>
          <w:color w:val="auto"/>
        </w:rPr>
        <w:t>: Be an educated, passionate advocate of our mission in your role and beyond.</w:t>
      </w:r>
    </w:p>
    <w:p>
      <w:pPr>
        <w:spacing w:after="0" w:line="4" w:lineRule="exact"/>
        <w:rPr>
          <w:rFonts w:ascii="Arial" w:cs="Arial" w:eastAsia="Arial" w:hAnsi="Arial"/>
          <w:sz w:val="20"/>
          <w:szCs w:val="20"/>
          <w:color w:val="auto"/>
        </w:rPr>
      </w:pPr>
    </w:p>
    <w:p>
      <w:pPr>
        <w:ind w:left="620" w:hanging="288"/>
        <w:spacing w:after="0" w:line="235" w:lineRule="auto"/>
        <w:tabs>
          <w:tab w:leader="none" w:pos="620" w:val="left"/>
        </w:tabs>
        <w:numPr>
          <w:ilvl w:val="0"/>
          <w:numId w:val="9"/>
        </w:numPr>
        <w:rPr>
          <w:rFonts w:ascii="Arial" w:cs="Arial" w:eastAsia="Arial" w:hAnsi="Arial"/>
          <w:sz w:val="20"/>
          <w:szCs w:val="20"/>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Be accountable for your actions, take pride in your work and inspire others with your example.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global jewelry industry is highly fragmented. We operate in a competitive industry with other global jewelry retailers and brands, department stores, and independent stores, many of which have an online presence. Our primary competitors include:</w:t>
      </w:r>
    </w:p>
    <w:p>
      <w:pPr>
        <w:spacing w:after="0" w:line="225"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20"/>
          <w:szCs w:val="20"/>
          <w:color w:val="auto"/>
        </w:rPr>
      </w:pPr>
      <w:r>
        <w:rPr>
          <w:rFonts w:ascii="Arial" w:cs="Arial" w:eastAsia="Arial" w:hAnsi="Arial"/>
          <w:sz w:val="18"/>
          <w:szCs w:val="18"/>
          <w:i w:val="1"/>
          <w:iCs w:val="1"/>
          <w:color w:val="auto"/>
        </w:rPr>
        <w:t xml:space="preserve">Jewelry retailers and brands, </w:t>
      </w:r>
      <w:r>
        <w:rPr>
          <w:rFonts w:ascii="Arial" w:cs="Arial" w:eastAsia="Arial" w:hAnsi="Arial"/>
          <w:sz w:val="18"/>
          <w:szCs w:val="18"/>
          <w:color w:val="auto"/>
        </w:rPr>
        <w:t>which sell directly to consumers through their own retail stores and online sites;</w:t>
      </w:r>
    </w:p>
    <w:p>
      <w:pPr>
        <w:spacing w:after="0" w:line="4" w:lineRule="exact"/>
        <w:rPr>
          <w:rFonts w:ascii="Arial" w:cs="Arial" w:eastAsia="Arial" w:hAnsi="Arial"/>
          <w:sz w:val="20"/>
          <w:szCs w:val="20"/>
          <w:color w:val="auto"/>
        </w:rPr>
      </w:pPr>
    </w:p>
    <w:p>
      <w:pPr>
        <w:ind w:left="620" w:hanging="288"/>
        <w:spacing w:after="0"/>
        <w:tabs>
          <w:tab w:leader="none" w:pos="620" w:val="left"/>
        </w:tabs>
        <w:numPr>
          <w:ilvl w:val="0"/>
          <w:numId w:val="10"/>
        </w:numPr>
        <w:rPr>
          <w:rFonts w:ascii="Arial" w:cs="Arial" w:eastAsia="Arial" w:hAnsi="Arial"/>
          <w:sz w:val="19"/>
          <w:szCs w:val="19"/>
          <w:color w:val="auto"/>
        </w:rPr>
      </w:pPr>
      <w:r>
        <w:rPr>
          <w:rFonts w:ascii="Arial" w:cs="Arial" w:eastAsia="Arial" w:hAnsi="Arial"/>
          <w:sz w:val="17"/>
          <w:szCs w:val="17"/>
          <w:i w:val="1"/>
          <w:iCs w:val="1"/>
          <w:color w:val="auto"/>
        </w:rPr>
        <w:t xml:space="preserve">Department stores, </w:t>
      </w:r>
      <w:r>
        <w:rPr>
          <w:rFonts w:ascii="Arial" w:cs="Arial" w:eastAsia="Arial" w:hAnsi="Arial"/>
          <w:sz w:val="17"/>
          <w:szCs w:val="17"/>
          <w:color w:val="auto"/>
        </w:rPr>
        <w:t>which sell an assortment of jewelry brands, and in some cases their own products, through stores and online sites; and</w:t>
      </w:r>
    </w:p>
    <w:p>
      <w:pPr>
        <w:spacing w:after="0" w:line="11" w:lineRule="exact"/>
        <w:rPr>
          <w:rFonts w:ascii="Arial" w:cs="Arial" w:eastAsia="Arial" w:hAnsi="Arial"/>
          <w:sz w:val="19"/>
          <w:szCs w:val="19"/>
          <w:color w:val="auto"/>
        </w:rPr>
      </w:pPr>
    </w:p>
    <w:p>
      <w:pPr>
        <w:ind w:left="620" w:hanging="288"/>
        <w:spacing w:after="0" w:line="235" w:lineRule="auto"/>
        <w:tabs>
          <w:tab w:leader="none" w:pos="620" w:val="left"/>
        </w:tabs>
        <w:numPr>
          <w:ilvl w:val="0"/>
          <w:numId w:val="10"/>
        </w:numPr>
        <w:rPr>
          <w:rFonts w:ascii="Arial" w:cs="Arial" w:eastAsia="Arial" w:hAnsi="Arial"/>
          <w:sz w:val="20"/>
          <w:szCs w:val="20"/>
          <w:color w:val="auto"/>
        </w:rPr>
      </w:pPr>
      <w:r>
        <w:rPr>
          <w:rFonts w:ascii="Arial" w:cs="Arial" w:eastAsia="Arial" w:hAnsi="Arial"/>
          <w:sz w:val="18"/>
          <w:szCs w:val="18"/>
          <w:i w:val="1"/>
          <w:iCs w:val="1"/>
          <w:color w:val="auto"/>
        </w:rPr>
        <w:t xml:space="preserve">Independent stores, </w:t>
      </w:r>
      <w:r>
        <w:rPr>
          <w:rFonts w:ascii="Arial" w:cs="Arial" w:eastAsia="Arial" w:hAnsi="Arial"/>
          <w:sz w:val="18"/>
          <w:szCs w:val="18"/>
          <w:color w:val="auto"/>
        </w:rPr>
        <w:t>including boutiques and “mom and pop” shops, who sell primarily through one or more local stores.</w:t>
      </w:r>
    </w:p>
    <w:p>
      <w:pPr>
        <w:spacing w:after="0" w:line="21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addition, other retail categories and forms of expenditure, such as electronics and travel, also compete for consumers’ discretionary spending. The price of fine jewelry relative to other products also influences consumer spending on fine jewelry.</w:t>
      </w:r>
    </w:p>
    <w:p>
      <w:pPr>
        <w:spacing w:after="0" w:line="19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compete based on brand differentiation, including our mission and values, product selection and quality, customization, price, consumer experience, and turnaround time. We believe that we compete favorably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market for bridal and other fine jewelry products by focusing on these factors as well as our core values of transparency, sustainability, inclusivity, and giving back.</w:t>
      </w:r>
    </w:p>
    <w:p>
      <w:pPr>
        <w:spacing w:after="0" w:line="19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believe our premium omnichannel customer experience, unique and exclusive designs, and purpose-driven brand create limited overlap with other industry participants.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43"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Our long-term commercial success is connected to our ability to obtain and maintain intellectual property protection for our brand, products, and technology; defend and enforce our intellectual property rights; preserve the confidentiality of our trade secrets; operate our business without infringing, misappropriating, or otherwise violating the intellectual property or proprietary rights of third parties; and prevent third parties from infringing, misappropriating, or otherwise violating our intellectual property rights. We seek to protect our investments made into the development of our products, technologies, brand, and design by relying on a combination of copyrights, trademarks, domain names, and trade secrets, as well as confidentiality procedures and contractual provisions.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Our principal trademark assets include the registered trademark “Brilliant Earth” and our tagline and logos. Our trademarks are valuable assets that support our brand and consumers’ perception of our services and merchandise. The current registrations of these trademarks are effective for varying periods of time and may be renewed periodically, provided that we, as the registered owner, or our licensees where applicable, comply with all applicable renewal requirements, including, where necessary, the continued use of the trademarks in connection with the relevant goods or services. We expect to pursue additional trademark registrations to the extent we believe they would be beneficial and cost-effective. In addition to trademark protection, we also hold the registration to the “brilliantearth.com” internet domain name and various related domain names.</w:t>
      </w:r>
    </w:p>
    <w:p>
      <w:pPr>
        <w:spacing w:after="0" w:line="20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primarily rely on copyright and trade secret laws to protect our proprietary technologies and processes, including the algorithms we use throughout our business. Trade secrets can be difficult to protect, however. Although we take steps to protect and preserve our trade secrets and our know-how, unpatented technology and other proprietary information, including by entering into intellectual property assignment agreements, non-compete agreements, and non-disclosure and confidentiality agreements and by maintaining physical security of our premises and physical and electronic security of our information technology systems, such measures can be breached, and we may not have adequate remedies for any such breach. In addition, our trade secrets may otherwise become known or be independently discovered by competitors. As a result, we may not be able to meaningfully protect our trade secrets. For more information regarding the risks related to our intellectual property, see “Risk Factors—Risks related to Our Legal and Regulatory Environment— Failure to adequately obtain, maintain, protect and enforce our intellectual property and proprietary rights or prevent third parties from making unauthorized use of such rights could harm our brand, devalue our proprietary content and technology, and adversely affect our ability to compete effectively.”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43"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We are required to comply with numerous laws and regulations covering areas such as consumer protection, consumer privacy, data protection, consumer credit, payment processing, marketing and advertising, insurance, health and safety, waste disposal, supply chain integrity, truth in advertising and employment. We monitor changes in these laws to maintain compliance with applicable requirements.</w:t>
      </w:r>
    </w:p>
    <w:p>
      <w:pPr>
        <w:spacing w:after="0" w:line="20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are subject to numerous local, state, federal and foreign laws and regulations regarding privacy and data protection. Regulators throughout the United States and around the world have adopted or proposed and continue to adopt and propose limitations on, or requirements regarding, the collection, disclosure, distribution, use, security and storage of personal information, payment card information or other confidential information of individuals and the FTC and many state attorneys general are applying federal and state consumer protection laws to impose standards on the online collection, use and dissemination of data. In the event of a security breach, these laws may subject us to incident response, notice and remediation costs. Failure to safeguard data adequately or to destroy data securely could subject us to regulatory investigations or enforcement actions under applicable data protection, data security, unfair practices or consumer protection laws. The scope and interpretation of these laws could change and the associated burdens and our compliance costs could increase in the future. For more information regarding the risks related to our privacy, data security and data protection practices, see “Risk Factors—Risks Related to Our Legal and Regulatory Environment—We are subject to rapidly changing and increasingly stringent laws and industry standards relating to privacy, data security, and data protection. The restrictions and costs imposed by these laws,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80"/>
        <w:spacing w:after="0" w:line="261" w:lineRule="auto"/>
        <w:rPr>
          <w:sz w:val="20"/>
          <w:szCs w:val="20"/>
          <w:color w:val="auto"/>
        </w:rPr>
      </w:pPr>
      <w:r>
        <w:rPr>
          <w:rFonts w:ascii="Arial" w:cs="Arial" w:eastAsia="Arial" w:hAnsi="Arial"/>
          <w:sz w:val="18"/>
          <w:szCs w:val="18"/>
          <w:color w:val="auto"/>
        </w:rPr>
        <w:t>our actual or perceived failure to comply with them, could subject us to liabilities that adversely affect our business, operations, and financial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 larger share of annual revenues traditionally occurs in the fourth quarter because it includes the November and December holiday sales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243"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Our internet website address is www.brilliantearth.com. In addition to the information about us and our subsidiaries contained in this Annual Report on Form 10-K, information about us can be found on our website. The information on our website is not, and will not be deemed to be, a part of this Annual Report on Form 10-K or incorporated into any of our other filings with the SEC, except where we expressly incorporate such information.</w:t>
      </w:r>
    </w:p>
    <w:p>
      <w:pPr>
        <w:spacing w:after="0" w:line="16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annual reports on Form 10-K, quarterly reports on Form 10-Q, current reports on Form 8-K and amendments to those reports filed or furnished pursuant to Section 13(a) or 15(d) of the Exchange Act are available free of charge through our website at www.brilliantearth.com as soon as reasonably practicable after they are electronically filed with or furnished to the Securities and Exchange Commission (the "SEC"). Additionally, the SEC maintains an internet site that contains reports, proxy and information statements and other information. The address of the SEC's website is www.sec.gov.</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i w:val="1"/>
          <w:iCs w:val="1"/>
          <w:color w:val="auto"/>
        </w:rPr>
        <w:t xml:space="preserve">Our business involves significant risk. Stockholders should consider and read carefully all of the risks and uncertainties described below, together with all of the other information included in this Annual Report on Form 10-K, including our audited consolidated financial statements and the related notes and </w:t>
      </w:r>
      <w:r>
        <w:rPr>
          <w:rFonts w:ascii="Arial" w:cs="Arial" w:eastAsia="Arial" w:hAnsi="Arial"/>
          <w:sz w:val="18"/>
          <w:szCs w:val="18"/>
          <w:color w:val="auto"/>
        </w:rPr>
        <w:t>“</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The realization of any of these risks and uncertainties could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materially and adversely affect our business, financial condition, results of operations, reputation and future prospects. In such case, the market price of our Class A common stock could decline, and you may lose some or all of your investment. This Annual Report on Form 10-K also contains forward-looking statements that involve risks and uncertainties. See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Our actual results could differ materially and adversely from those anticipated in these forward-looking statements as a result of certain important factors, including those set forth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grown rapidly over the last several years, and our recent growth rates and financial performance should not necessarily be considered indicative of our future performance. We were founded in 2005 and since then, we have grown to 25 showrooms across the U.S. as of December 31, 2022. To effectively manage and capitalize on our growth, we must continue to expand our sales and marketing, continue to open showrooms in strategic locations, focus on innovative product and website development, and upgrade our management information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w:t>
      </w:r>
    </w:p>
    <w:p>
      <w:pPr>
        <w:spacing w:after="0" w:line="207"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Moreover, the vertically integrated nature of our business, where we create our designs, source natural and lab-grown diamonds as well as other gemstones, customize our IT systems, and sell our products exclusively through our own showrooms and custom e-commerce site, exposes us to risk and disruption at many points that are critical to successfully operating our business and may make it more difficult for us to scale our business. If we do not adapt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meet these evolving challenges, or if our management team does not effectively scale with our growth, we may experience erosion to our brand, the quality of our products and services may suffer, and our company culture may be harmed.</w:t>
      </w:r>
    </w:p>
    <w:p>
      <w:pPr>
        <w:spacing w:after="0" w:line="19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Our growth strategy contemplates a significant increase in our advertising and other marketing spending, expanding our product offerings, and expanding our showroom presence. Many of our existing showrooms are relatively new, and we cannot assure you that these showrooms or that future showrooms will generate net sales and cash flow comparable with those generated by our more mature showrooms, especially as we move to new geographic markets. We also cannot assure you that there will not be delays in the development of our planned new showrooms. Moreover, certain occurrences outside of our control such as the COVID-19 pandemic have in the past and may again result in the closure of our showrooms or delay the development of new showrooms. Further, many of our showrooms are leased pursuant to multi-year short-term leases, and our ability to negotiate favorable terms on an expiring lease or for a lease renewal option may depend on factors that are not within our control. In addition, our ability to expand our showroom presence depends on our ability to find suitable showroom locations and negotiate acceptable lease terms. Successful implementation of our growth strategy will require significant expenditures before any substantial associated revenue is generated, and we cannot guarantee that these increased investments will result in corresponding and offsetting revenue growth. Failure to manage our future growth effectively could have an adverse effect on our business, financial condition, and operating results.</w:t>
      </w:r>
    </w:p>
    <w:p>
      <w:pPr>
        <w:spacing w:after="0" w:line="208"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industry for design-driven, responsibly-sourced fine jewelry is rapidly evolving and may not develop as we expect. Even if our net sales continue to increase, our net sales growth rates may decline in the future as a result of a variety of factors, including macroeconomic factors, changes in supply and in the supply chain, changes in consumer preferences, increased competition, and the maturation of our business. As a result, you should not rely on our net sales growth rate for any prior period as an indication of our future performance. Overall growth of our net sales will depend on a number of factors, including our ability to:</w:t>
      </w:r>
    </w:p>
    <w:p>
      <w:pPr>
        <w:spacing w:after="0" w:line="257" w:lineRule="exact"/>
        <w:rPr>
          <w:sz w:val="20"/>
          <w:szCs w:val="20"/>
          <w:color w:val="auto"/>
        </w:rPr>
      </w:pPr>
    </w:p>
    <w:p>
      <w:pPr>
        <w:ind w:left="660" w:right="380" w:hanging="328"/>
        <w:spacing w:after="0" w:line="225"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price our products and services effectively so that we are able to attract new customers, expand our relationships with existing customers, and maintain or grow our gross profit margins;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accurately forecast our net sales and plan our operating expenses;</w:t>
      </w:r>
    </w:p>
    <w:p>
      <w:pPr>
        <w:spacing w:after="0" w:line="10" w:lineRule="exact"/>
        <w:rPr>
          <w:rFonts w:ascii="Arial" w:cs="Arial" w:eastAsia="Arial" w:hAnsi="Arial"/>
          <w:sz w:val="22"/>
          <w:szCs w:val="22"/>
          <w:color w:val="auto"/>
        </w:rPr>
      </w:pPr>
    </w:p>
    <w:p>
      <w:pPr>
        <w:ind w:left="660" w:right="420" w:hanging="328"/>
        <w:spacing w:after="0" w:line="231" w:lineRule="auto"/>
        <w:tabs>
          <w:tab w:leader="none" w:pos="655" w:val="left"/>
        </w:tabs>
        <w:numPr>
          <w:ilvl w:val="0"/>
          <w:numId w:val="11"/>
        </w:numPr>
        <w:rPr>
          <w:rFonts w:ascii="Arial" w:cs="Arial" w:eastAsia="Arial" w:hAnsi="Arial"/>
          <w:sz w:val="21"/>
          <w:szCs w:val="21"/>
          <w:color w:val="auto"/>
        </w:rPr>
      </w:pPr>
      <w:r>
        <w:rPr>
          <w:rFonts w:ascii="Arial" w:cs="Arial" w:eastAsia="Arial" w:hAnsi="Arial"/>
          <w:sz w:val="17"/>
          <w:szCs w:val="17"/>
          <w:color w:val="auto"/>
        </w:rPr>
        <w:t>successfully compete with other companies that are currently in, or may in the future enter, the markets in which we compete, and respond to developments from these competitors such as pricing changes and the introduction of new products and services;</w:t>
      </w:r>
    </w:p>
    <w:p>
      <w:pPr>
        <w:spacing w:after="0" w:line="1" w:lineRule="exact"/>
        <w:rPr>
          <w:rFonts w:ascii="Arial" w:cs="Arial" w:eastAsia="Arial" w:hAnsi="Arial"/>
          <w:sz w:val="21"/>
          <w:szCs w:val="21"/>
          <w:color w:val="auto"/>
        </w:rPr>
      </w:pPr>
    </w:p>
    <w:p>
      <w:pPr>
        <w:ind w:left="660" w:hanging="328"/>
        <w:spacing w:after="0" w:line="230"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comply with existing and new laws and regulations applicable to our business;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successfully expand in existing markets and enter new markets, including new geographies and categories;</w:t>
      </w:r>
    </w:p>
    <w:p>
      <w:pPr>
        <w:spacing w:after="0" w:line="12" w:lineRule="exact"/>
        <w:rPr>
          <w:rFonts w:ascii="Arial" w:cs="Arial" w:eastAsia="Arial" w:hAnsi="Arial"/>
          <w:sz w:val="22"/>
          <w:szCs w:val="22"/>
          <w:color w:val="auto"/>
        </w:rPr>
      </w:pPr>
    </w:p>
    <w:p>
      <w:pPr>
        <w:ind w:left="660" w:right="280" w:hanging="328"/>
        <w:spacing w:after="0" w:line="225"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successfully launch new offerings and enhance our products and services and their features, including in response to new trends or competitive dynamics or the needs or preferences of customers;</w:t>
      </w:r>
    </w:p>
    <w:p>
      <w:pPr>
        <w:spacing w:after="0" w:line="14"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19"/>
          <w:szCs w:val="19"/>
          <w:color w:val="auto"/>
        </w:rPr>
      </w:pPr>
      <w:r>
        <w:rPr>
          <w:rFonts w:ascii="Arial" w:cs="Arial" w:eastAsia="Arial" w:hAnsi="Arial"/>
          <w:sz w:val="16"/>
          <w:szCs w:val="16"/>
          <w:color w:val="auto"/>
        </w:rPr>
        <w:t>successfully identify and acquire or invest in businesses, products, or technologies that we believe could complement or expand our business;</w:t>
      </w:r>
    </w:p>
    <w:p>
      <w:pPr>
        <w:spacing w:after="0" w:line="21" w:lineRule="exact"/>
        <w:rPr>
          <w:rFonts w:ascii="Arial" w:cs="Arial" w:eastAsia="Arial" w:hAnsi="Arial"/>
          <w:sz w:val="19"/>
          <w:szCs w:val="19"/>
          <w:color w:val="auto"/>
        </w:rPr>
      </w:pPr>
    </w:p>
    <w:p>
      <w:pPr>
        <w:ind w:left="660" w:hanging="328"/>
        <w:spacing w:after="0" w:line="221"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avoid interruptions or disruptions in distributing our products and services;</w:t>
      </w:r>
    </w:p>
    <w:p>
      <w:pPr>
        <w:spacing w:after="0" w:line="12" w:lineRule="exact"/>
        <w:rPr>
          <w:rFonts w:ascii="Arial" w:cs="Arial" w:eastAsia="Arial" w:hAnsi="Arial"/>
          <w:sz w:val="22"/>
          <w:szCs w:val="22"/>
          <w:color w:val="auto"/>
        </w:rPr>
      </w:pPr>
    </w:p>
    <w:p>
      <w:pPr>
        <w:ind w:left="660" w:right="820" w:hanging="328"/>
        <w:spacing w:after="0" w:line="225"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manage potential fluctuations in the supply or market conditions for natural or lab-grown diamonds and other inputs that could result in fluctuations in diamond prices and other input costs;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provide customers with high-quality support that meets their needs;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hire, integrate, and retain talented sales, customer service, and other personnel;</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effectively manage growth of our business, personnel, and operations, including new showroom openings;</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effectively manage our costs related to our business and operations; and</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maintain and enhance our reputation and the value of our brand.</w:t>
      </w:r>
    </w:p>
    <w:p>
      <w:pPr>
        <w:spacing w:after="0" w:line="21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Because we have a limited history operating our business at its current scale, it is difficult to evaluate our current business and future prospects, including our ability to plan for and model future growth. We also expect to continue to expend substantial financial and other resources to ready our business for growth, and we may fail to allocate our resources in a manner that results in increased net sales growth in our business. Additionally, we may encounter unforeseen operating expenses, challenges, complications, delays, and other unknown factors that may result in losses in future periods. Our limited operating experience at this scale, combined with the rapidly evolving nature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the market in which we sell our products and services, substantial uncertainty concerning how these markets may develop, and other economic factors beyond our control, reduces our ability to accurately forecast quarterly or annual revenue and profitability. Failure to manage our future growth effectively could have an adverse effect on our business, financial condition, and operating results. If our net sales growth does not meet our expectations in future periods, our business, financial condition, and results of operations may be harmed, and we may not sustain or increase profitability in the future.</w:t>
      </w:r>
    </w:p>
    <w:p>
      <w:pPr>
        <w:spacing w:after="0" w:line="18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Changes in the costs of diamonds, other gemstones and precious metals, increased lead times, supply shortages, and supply changes could disrupt our business and have an adverse effect on our operations, financial condition, and results.</w:t>
      </w:r>
    </w:p>
    <w:p>
      <w:pPr>
        <w:spacing w:after="0" w:line="19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Meeting customer demand partially depends on our ability to obtain timely and adequate delivery of materials for our products and services. The materials that go into the manufacturing of our products and services are sourced from a limited number of suppliers that are expected to adhere to our strict Supplier Code of Conduct and compliance requirements. Additionally, our natural diamonds in particular are subject to our Beyond Conflict Free</w:t>
      </w:r>
      <w:r>
        <w:rPr>
          <w:rFonts w:ascii="Arial" w:cs="Arial" w:eastAsia="Arial" w:hAnsi="Arial"/>
          <w:sz w:val="15"/>
          <w:szCs w:val="15"/>
          <w:color w:val="333333"/>
        </w:rPr>
        <w:t>™</w:t>
      </w:r>
      <w:r>
        <w:rPr>
          <w:rFonts w:ascii="Arial" w:cs="Arial" w:eastAsia="Arial" w:hAnsi="Arial"/>
          <w:sz w:val="17"/>
          <w:szCs w:val="17"/>
          <w:color w:val="auto"/>
        </w:rPr>
        <w:t xml:space="preserve"> Diamonds standards and Chain of Custody Protocol, requiring our suppliers to source diamonds that originate from specific mine operators that follow internationally recognized labor, trade, and environmental standards. Similarly, our gold and silver fine jewelry is crafted from recycled precious metals. Limited supply in the market poses a challenge to source recycled platinum, so we work with our suppliers to source recycled platinum when available and from refiners that are known to use recycled materials in their platinum products. We do not have long-term arrangements with most of our materials suppliers, and disruptions in the supply chain, have affected, and may in the future affect the availability and cost of recycled precious metal, Beyond Conflict Free</w:t>
      </w:r>
      <w:r>
        <w:rPr>
          <w:rFonts w:ascii="Arial" w:cs="Arial" w:eastAsia="Arial" w:hAnsi="Arial"/>
          <w:sz w:val="15"/>
          <w:szCs w:val="15"/>
          <w:color w:val="333333"/>
        </w:rPr>
        <w:t>™</w:t>
      </w:r>
      <w:r>
        <w:rPr>
          <w:rFonts w:ascii="Arial" w:cs="Arial" w:eastAsia="Arial" w:hAnsi="Arial"/>
          <w:sz w:val="17"/>
          <w:szCs w:val="17"/>
          <w:color w:val="auto"/>
        </w:rPr>
        <w:t xml:space="preserve"> Diamonds, and other materials used in our products. Additionally, our Beyond Conflict Free</w:t>
      </w:r>
      <w:r>
        <w:rPr>
          <w:rFonts w:ascii="Arial" w:cs="Arial" w:eastAsia="Arial" w:hAnsi="Arial"/>
          <w:sz w:val="15"/>
          <w:szCs w:val="15"/>
          <w:color w:val="333333"/>
        </w:rPr>
        <w:t>™</w:t>
      </w:r>
      <w:r>
        <w:rPr>
          <w:rFonts w:ascii="Arial" w:cs="Arial" w:eastAsia="Arial" w:hAnsi="Arial"/>
          <w:sz w:val="17"/>
          <w:szCs w:val="17"/>
          <w:color w:val="auto"/>
        </w:rPr>
        <w:t xml:space="preserve"> Diamonds standards go beyond the Kimberly Process definition of “conflict free” diamonds, which limits our supply of ethically and environmentally sourced diamonds more than other fine jewelers. We are therefore subject to the risk of shortages and long lead times in the supply of these materials, and the risk that our suppliers discontinue or modify materials used in our products.</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 addition, the lead times associated with certain materials are lengthy and may impede or preclude rapid changes in design, quantities, and delivery schedules. Our ability to meet increases in demand has been, and may in the future be, impacted by our reliance on the availability of materials. We have in the past and may in the future experience supply shortages, and the predictability of the availability of these materials may be limited. In the event of a shortage or interruption of supply of these materials, we may not be able to develop alternate sources in a timely or cost-effective manner. Developing alternate sources of supply for these materials may be time-consuming, difficult, and costly, and we may not be able to source these materials on terms that are acceptable to us, or at all, which may undermine our ability to fill orders in a timely manner. Any interruption or delay in the supply of any of these parts or materials, or the inability to obtain these materials from alternate sources at acceptable prices and within a reasonable amount of time, would harm our ability to timely ship products to our customers.</w:t>
      </w:r>
    </w:p>
    <w:p>
      <w:pPr>
        <w:spacing w:after="0" w:line="208"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Moreover, volatile economic conditions may make it more likely that our suppliers and logistics providers may be unable to timely deliver supplies, or at all, and there is no guarantee that we will be able to timely locate alternative suppliers of comparable quality who meet our compliance standards at an acceptable price. In addition, international supply chains may be impacted by events outside of our control and limit our ability to procure timely delivery of supplies or finished goods and services. Importing and exporting has involved more risk as since at least the beginning of 2018, there has been increasing rhetoric, in some cases coupled with legislative or executive action, from several U.S. and foreign leaders regarding tariffs against foreign imports of certain materials. Several of the materials that go into the manufacturing of our products are sourced internationally. These issues have been</w:t>
      </w:r>
    </w:p>
    <w:p>
      <w:pPr>
        <w:spacing w:after="0" w:line="4"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further exacerbated by the COVID-19 pandemic: we have seen, and may continue to see, increased congestion and/or new import/export restrictions implemented at ports that we rely on for our business. These tariffs have an impact on our materials costs and have the potential to have an even greater impact depending on the outcome of the current trade negotiations. Increases in our materials costs could have a material effect on our gross margins. The loss of a significant supplier, an increase in materials costs, or delays or disruptions in the delivery of materials, could adversely impact our ability to generate future net sales and earnings and have an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b w:val="1"/>
          <w:bCs w:val="1"/>
          <w:i w:val="1"/>
          <w:iCs w:val="1"/>
          <w:color w:val="auto"/>
        </w:rPr>
        <w:t>Our business model relies on maintaining a low cost of production and distribution. Fluctuations in the pricing and supply of diamonds, other gemstones, and precious metals, particularly responsibly sourced natural and lab-grown diamonds and recycled precious metals such as gold, which account for the majority of our merchandise costs, increases in labor costs for manufacturing such as wage rate increases, as well as inflation, and energy prices could adversely impact our earnings and cash availability.</w:t>
      </w:r>
    </w:p>
    <w:p>
      <w:pPr>
        <w:spacing w:after="0" w:line="19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jewelry industry generally is affected by fluctuations in the price and supply of responsibly sourced natural diamonds, lab-grown diamonds, gold, and other precious and semi-precious metals and gemstones.</w:t>
      </w:r>
    </w:p>
    <w:p>
      <w:pPr>
        <w:spacing w:after="0" w:line="19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mining, production, and inventory policies followed by major producers of rough diamonds can have a significant impact on natural diamond prices and demand, as can the inventory and buying patterns of jewelry retailers and other parties in the supply chain. The availability of diamonds is significantly influenced by the political situation in diamond producing countries and by the Kimberley Process, an inter-governmental agreement for the international trading of rough diamonds. Until acceptable alternative sources of diamonds can be developed, any sustained interruption in the supply of diamonds from significant producing countries, or to the trading in rough and polished diamonds, which could occur as a result of disruption to the Kimberley Process, could adversely affect our business, as well as the retail jewelry market as a whole. In addition, the current Kimberley Process decision-making procedure is dependent on reaching a consensus among member governments, which can result in the protracted resolution of issues, and there is little expectation of significant reform over the long-term. The impact of this review process on the supply of diamonds, and consumers’ perception of the diamond supply chain, is unknown. The possibility of constraints in the supply of diamonds we require to meet our Beyond Conflict Free</w:t>
      </w:r>
      <w:r>
        <w:rPr>
          <w:rFonts w:ascii="Arial" w:cs="Arial" w:eastAsia="Arial" w:hAnsi="Arial"/>
          <w:sz w:val="9"/>
          <w:szCs w:val="9"/>
          <w:color w:val="auto"/>
        </w:rPr>
        <w:t>TM</w:t>
      </w:r>
      <w:r>
        <w:rPr>
          <w:rFonts w:ascii="Arial" w:cs="Arial" w:eastAsia="Arial" w:hAnsi="Arial"/>
          <w:sz w:val="17"/>
          <w:szCs w:val="17"/>
          <w:color w:val="auto"/>
        </w:rPr>
        <w:t xml:space="preserve"> Diamonds requirements or our recycled or lab-grown diamonds requirements may result in changes in our supply chain practices. Additionally, a substantial increase in the supply of natural or lab-grown diamonds could result in a change in consumer perception of the value of diamonds as well as a decrease in the price of diamonds, which generally depend on the attributes of the diamond.</w:t>
      </w:r>
    </w:p>
    <w:p>
      <w:pPr>
        <w:spacing w:after="0" w:line="206"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Similarly, we use primarily recycled precious metals in our gold and silver fine jewelry. There is a limited supply of recycled platinum, so we work with our suppliers to source recycled platinum when available and from refiners that are known to use recycled materials in their platinum products. In addition, we may from time to time choose to hold more inventory, purchase raw materials at an earlier stage in the supply chain, or enter into commercial agreements of a nature that we currently do not use. Such actions could require the investment of cash and/or additional management skills, and may not resolve supply issues or result in the expected returns and other projected benefits anticipated by management.</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An inability to increase retail prices to reflect higher diamond, gemstone, or precious metal costs would result in lower profitability. There could also be a lag time before particularly sharp increases or other volatility in diamond, gemstones, and precious metal costs can be reflected in retail prices. Even if price changes are implemented, there is no certainty that these changes will be sustainable or sufficient. These factors may cause decreases in gross margins and earnings. In addition, any sustained increases in the cost of diamonds, other gemstones, and precious metals could increase costs, disrupt sales, or require higher inventory levels or changes in the merchandise available to customers.</w:t>
      </w:r>
    </w:p>
    <w:p>
      <w:pPr>
        <w:spacing w:after="0" w:line="20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In addition, increases in labor costs for manufacturing due to compensation, wage pressure, and other expenses may adversely affect our profitability. Increases in minimum wages and other wage and hour regulations can exacerbate this risk. Additional tariffs or other future cost increases, such as increases in the cost of merchandise, shipping rates, raw material prices, freight costs, and store occupancy costs, may reduce our profitability. Inflationary pressures have and could continue to further reduce our sales or profitability. Increases in other operating costs, including changes in energy prices and lease and utility costs, may increase our cost of products sold or selling, general, and administrative expenses. Our model and competitive pressures in the fine jewelry industry may inhibit our ability to reflect these increased costs in the prices of our products, in which case such increased costs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If we fail to cost-effectively turn existing customers into repeat customers or to acquire new customers, our business, financial condition, and results of operations would be harmed.</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growth of our business is dependent upon our ability to continue to grow by cost-effectively turn existing customers into repeat customers and adding new customers. Although we believe that many of our customers originate from word-of-mouth and other non-paid referrals, we have expended and expect to continue to expend resources and run marketing campaigns to acquire additional customers, all of which could impact our overall profitability. If we are not able to continue to expand our customer base or fail to retain customers, our net sales may grow more slowly than expected or decline.</w:t>
      </w:r>
    </w:p>
    <w:p>
      <w:pPr>
        <w:spacing w:after="0" w:line="18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Gaining market acceptance of the e-commerce and omnichannel approach to shopping for fine jewelry is critical to our continued customer retention and growth. Historically, consumers have been slower to adopt online shopping for fine jewelry than e-commerce offerings in other industries like consumer electronics and apparel. Transitioning the consumer in-store experience to an online platform for fine jewelry is difficult because jewelry tends to be a considered and high-value purchase that consumers like to physically see and touch before making a purchase. Changing traditional fine jewelry retail habits is difficult, and if consumers and retailers do not embrace the transition to an e-commerce and omnichannel fine jewelry retail experience as we expect, our business and operations could be harmed. Moreover, even if more consumers begin to shop for fine jewelry online, if we are unable to address their changing needs and anticipate or respond to market trends and new technologies in a timely and cost-efficient manner, we could experience increased customer churn and other negative impacts on our business and results of operations.</w:t>
      </w:r>
    </w:p>
    <w:p>
      <w:pPr>
        <w:spacing w:after="0" w:line="20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Our ability to attract new customers and increase net sales from existing customers also depends in large part on our ability to enhance and improve our existing products and to introduce new products and services, in each case, in a timely manner. We also must be able to identify and originate trends, as well as anticipate and react to changing consumer demands in a timely manner. The success of new products and services depends on several factors, including their timely introduction and completion, sufficient demand, and cost effectiveness. We are building and improving machine learning models and other technological capabilities to drive improved customer experience, as well as efficiencies in our operations, such as virtual try-ons, virtual appointments with jewelry specialists, optimized payment processing and customer service, and automated key support workflows. The continuous development, maintenance and operation of our machine learning models is complex, and may involve significant expense and unforeseen difficulties including material performance problems, and undetected defects or errors, for example, with new capabilities incorporating artificial intelligence. While we expect these technologies to lead to improvements in the performance of our business and operations, including inventory prediction and customer</w:t>
      </w:r>
    </w:p>
    <w:p>
      <w:pPr>
        <w:ind w:right="140"/>
        <w:spacing w:after="0" w:line="248" w:lineRule="auto"/>
        <w:rPr>
          <w:sz w:val="20"/>
          <w:szCs w:val="20"/>
          <w:color w:val="auto"/>
        </w:rPr>
      </w:pPr>
      <w:r>
        <w:rPr>
          <w:rFonts w:ascii="Arial" w:cs="Arial" w:eastAsia="Arial" w:hAnsi="Arial"/>
          <w:sz w:val="18"/>
          <w:szCs w:val="18"/>
          <w:color w:val="auto"/>
        </w:rPr>
        <w:t>traffic prediction and management, any flaws or failures of such technologies could cause interruptions or delays in our service, which could result in customer dissatisfaction with us and could impair our ability to grow our customer base, which may harm our business, financial condition, and results of operations.</w:t>
      </w:r>
    </w:p>
    <w:p>
      <w:pPr>
        <w:spacing w:after="0" w:line="209" w:lineRule="exact"/>
        <w:rPr>
          <w:sz w:val="20"/>
          <w:szCs w:val="20"/>
          <w:color w:val="auto"/>
        </w:rPr>
      </w:pPr>
    </w:p>
    <w:p>
      <w:pPr>
        <w:ind w:right="4040"/>
        <w:spacing w:after="0" w:line="261" w:lineRule="auto"/>
        <w:rPr>
          <w:sz w:val="20"/>
          <w:szCs w:val="20"/>
          <w:color w:val="auto"/>
        </w:rPr>
      </w:pPr>
      <w:r>
        <w:rPr>
          <w:rFonts w:ascii="Arial" w:cs="Arial" w:eastAsia="Arial" w:hAnsi="Arial"/>
          <w:sz w:val="18"/>
          <w:szCs w:val="18"/>
          <w:color w:val="auto"/>
        </w:rPr>
        <w:t>Our number of customers may decline materially or fluctuate as a result of many factors, including, among other things:</w:t>
      </w:r>
    </w:p>
    <w:p>
      <w:pPr>
        <w:spacing w:after="0" w:line="21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dissatisfaction with the quality, pricing of, or changes we make to our products and services;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quality, consumer appeal and price of products and services offered by us;</w:t>
      </w:r>
    </w:p>
    <w:p>
      <w:pPr>
        <w:spacing w:after="0" w:line="10" w:lineRule="exact"/>
        <w:rPr>
          <w:rFonts w:ascii="Arial" w:cs="Arial" w:eastAsia="Arial" w:hAnsi="Arial"/>
          <w:sz w:val="22"/>
          <w:szCs w:val="22"/>
          <w:color w:val="auto"/>
        </w:rPr>
      </w:pPr>
    </w:p>
    <w:p>
      <w:pPr>
        <w:ind w:left="660" w:hanging="328"/>
        <w:spacing w:after="0" w:line="231" w:lineRule="auto"/>
        <w:tabs>
          <w:tab w:leader="none" w:pos="6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intense competition in the fine jewelry retail industry, including certain competitors ability to offer lower prices by not charging sales tax;</w:t>
      </w:r>
    </w:p>
    <w:p>
      <w:pPr>
        <w:spacing w:after="0" w:line="10" w:lineRule="exact"/>
        <w:rPr>
          <w:rFonts w:ascii="Arial" w:cs="Arial" w:eastAsia="Arial" w:hAnsi="Arial"/>
          <w:sz w:val="21"/>
          <w:szCs w:val="21"/>
          <w:color w:val="auto"/>
        </w:rPr>
      </w:pPr>
    </w:p>
    <w:p>
      <w:pPr>
        <w:ind w:left="660" w:hanging="328"/>
        <w:spacing w:after="0" w:line="221"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negative publicity related to our brand;</w:t>
      </w:r>
    </w:p>
    <w:p>
      <w:pPr>
        <w:spacing w:after="0" w:line="10" w:lineRule="exact"/>
        <w:rPr>
          <w:rFonts w:ascii="Arial" w:cs="Arial" w:eastAsia="Arial" w:hAnsi="Arial"/>
          <w:sz w:val="22"/>
          <w:szCs w:val="22"/>
          <w:color w:val="auto"/>
        </w:rPr>
      </w:pPr>
    </w:p>
    <w:p>
      <w:pPr>
        <w:ind w:left="660" w:hanging="328"/>
        <w:spacing w:after="0" w:line="209"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lack of market acceptance of our business model, particularly in new geographies where we seek to expand; or</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future outbreak of disease or similar public health concern.</w:t>
      </w:r>
    </w:p>
    <w:p>
      <w:pPr>
        <w:spacing w:after="0" w:line="20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 addition, if we are unable to provide high-quality support to customers or help resolve issues in a timely and acceptable manner, our ability to attract and retain customers could be adversely affected. If our number of customers declines or fluctuates for any of these or other reasons, our business would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plan to expand showrooms in the U.S., which may expose us to significant risks.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growth strategy includes opening new showrooms throughout the U.S. There can be no assurance that we will be able to successfully expand or</w:t>
      </w:r>
    </w:p>
    <w:p>
      <w:pPr>
        <w:spacing w:after="0" w:line="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acquire critical market presence for our brand in new geographical markets in the U.S</w:t>
      </w:r>
      <w:r>
        <w:rPr>
          <w:rFonts w:ascii="Arial" w:cs="Arial" w:eastAsia="Arial" w:hAnsi="Arial"/>
          <w:sz w:val="21"/>
          <w:szCs w:val="21"/>
          <w:i w:val="1"/>
          <w:iCs w:val="1"/>
          <w:color w:val="auto"/>
        </w:rPr>
        <w:t>.</w:t>
      </w:r>
      <w:r>
        <w:rPr>
          <w:rFonts w:ascii="Arial" w:cs="Arial" w:eastAsia="Arial" w:hAnsi="Arial"/>
          <w:sz w:val="18"/>
          <w:szCs w:val="18"/>
          <w:color w:val="auto"/>
        </w:rPr>
        <w:t xml:space="preserve"> Consumer characteristics and competition in new markets may differ substantially from those in the markets where we currently operate. Additionally, we may be unable to develop brand recognition, successfully market our products, or attract new customers in such markets, and we may be unable to identify appropriate locations in such markets. We face many other challenges in opening additional showrooms in the U.S., including:</w:t>
      </w:r>
    </w:p>
    <w:p>
      <w:pPr>
        <w:spacing w:after="0" w:line="22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selection and availability of and competition for suitable showroom locations;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the opening of new showrooms upon our prior showrooms in nearby geographies;</w:t>
      </w:r>
    </w:p>
    <w:p>
      <w:pPr>
        <w:spacing w:after="0" w:line="7" w:lineRule="exact"/>
        <w:rPr>
          <w:rFonts w:ascii="Arial" w:cs="Arial" w:eastAsia="Arial" w:hAnsi="Arial"/>
          <w:sz w:val="18"/>
          <w:szCs w:val="18"/>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negotiation of acceptable lease terms;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securing required applicable governmental permits and approvals;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impact of natural disasters and other acts of nature and terrorist acts or political instability;</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employment, training, and retention of qualified personnel;</w:t>
      </w:r>
    </w:p>
    <w:p>
      <w:pPr>
        <w:spacing w:after="0" w:line="10" w:lineRule="exact"/>
        <w:rPr>
          <w:rFonts w:ascii="Arial" w:cs="Arial" w:eastAsia="Arial" w:hAnsi="Arial"/>
          <w:sz w:val="22"/>
          <w:szCs w:val="22"/>
          <w:color w:val="auto"/>
        </w:rPr>
      </w:pPr>
    </w:p>
    <w:p>
      <w:pPr>
        <w:ind w:left="660" w:hanging="328"/>
        <w:spacing w:after="0" w:line="231" w:lineRule="auto"/>
        <w:tabs>
          <w:tab w:leader="none" w:pos="660" w:val="left"/>
        </w:tabs>
        <w:numPr>
          <w:ilvl w:val="0"/>
          <w:numId w:val="13"/>
        </w:numPr>
        <w:rPr>
          <w:rFonts w:ascii="Arial" w:cs="Arial" w:eastAsia="Arial" w:hAnsi="Arial"/>
          <w:sz w:val="21"/>
          <w:szCs w:val="21"/>
          <w:color w:val="auto"/>
        </w:rPr>
      </w:pPr>
      <w:r>
        <w:rPr>
          <w:rFonts w:ascii="Arial" w:cs="Arial" w:eastAsia="Arial" w:hAnsi="Arial"/>
          <w:sz w:val="17"/>
          <w:szCs w:val="17"/>
          <w:color w:val="auto"/>
        </w:rPr>
        <w:t>incurrence or assumption of debt to finance acquisitions or improvements and/or the assumption of long-term, non-cancelable leases;</w:t>
      </w:r>
    </w:p>
    <w:p>
      <w:pPr>
        <w:spacing w:after="0" w:line="10" w:lineRule="exact"/>
        <w:rPr>
          <w:rFonts w:ascii="Arial" w:cs="Arial" w:eastAsia="Arial" w:hAnsi="Arial"/>
          <w:sz w:val="21"/>
          <w:szCs w:val="21"/>
          <w:color w:val="auto"/>
        </w:rPr>
      </w:pPr>
    </w:p>
    <w:p>
      <w:pPr>
        <w:ind w:left="660" w:hanging="328"/>
        <w:spacing w:after="0" w:line="208"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availability of financing on acceptable terms; and</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general economic and business conditions.</w:t>
      </w:r>
    </w:p>
    <w:p>
      <w:pPr>
        <w:spacing w:after="0" w:line="21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Should we not succeed in opening additional showrooms, there may be adverse impacts to our growth strategy and to our ability to generate additional profits, which in turn could materially and adversely affect our business and results of operations.</w:t>
      </w:r>
    </w:p>
    <w:p>
      <w:pPr>
        <w:spacing w:after="0" w:line="21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i w:val="1"/>
          <w:iCs w:val="1"/>
          <w:color w:val="auto"/>
        </w:rPr>
        <w:t>An overall decline in the health of the economy and other factors impacting consumer spending, such as recessionary or inflationary conditions, governmental instability, wars and fears of war, and natural disasters, may affect consumer purchases, which could reduce demand for our products and harm our business, financial conditions, and results of operations.</w:t>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war such as the conflict between Russia and Ukraine and fears of war, political and geopolitical instability, inclement weather, natural disasters, terrorism, outbreak of viruses or widespread illness, and consumer perceptions of personal well-being and security. Unfavorable economic conditions may lead consumers to delay or reduce purchases of our products and services and consumer demand for our products and services may not grow as we expect. Prolonged or pervasive economic downturns could also slow the pace of new showroom openings or cause current locations to close.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be unable to sustain profitability.</w:t>
      </w:r>
    </w:p>
    <w:p>
      <w:pPr>
        <w:spacing w:after="0" w:line="22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have a history of incurring net losses. Although we earned net income of $19.0 million, $26.3 million and $21.6 million for the years ended December 31, 2022, December 31, 2021 and December 31, 2020, respectively, because we have a short operating history at scale, it is difficult for us to predict our future operating results. We will need to generate and sustain increased revenue and manage our costs to sustain profitability. Even if we do, we may not be able to sustain or increase our profitability.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While we have experienced significant revenue growth in recent periods, it is possible that this growth rate will decline or reverse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Our ability to generate profit depends on our ability to grow our number of customers and drive operational efficiencies in our business to generate better margins. We expect to incur increased operating costs in the near term in order to:</w:t>
      </w:r>
    </w:p>
    <w:p>
      <w:pPr>
        <w:spacing w:after="0" w:line="21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increase the engagement of customers;</w:t>
      </w:r>
    </w:p>
    <w:p>
      <w:pPr>
        <w:spacing w:after="0" w:line="10" w:lineRule="exact"/>
        <w:rPr>
          <w:rFonts w:ascii="Arial" w:cs="Arial" w:eastAsia="Arial" w:hAnsi="Arial"/>
          <w:sz w:val="22"/>
          <w:szCs w:val="22"/>
          <w:color w:val="auto"/>
        </w:rPr>
      </w:pPr>
    </w:p>
    <w:p>
      <w:pPr>
        <w:ind w:left="660" w:hanging="328"/>
        <w:spacing w:after="0" w:line="209"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drive adoption of our products and services, and increase awareness of our brand, through marketing and other campaigns;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and retain qualified personnel to support the expansion of our business;</w:t>
      </w:r>
    </w:p>
    <w:p>
      <w:pPr>
        <w:spacing w:after="0" w:line="7" w:lineRule="exact"/>
        <w:rPr>
          <w:rFonts w:ascii="Arial" w:cs="Arial" w:eastAsia="Arial" w:hAnsi="Arial"/>
          <w:sz w:val="18"/>
          <w:szCs w:val="18"/>
          <w:color w:val="auto"/>
        </w:rPr>
      </w:pPr>
    </w:p>
    <w:p>
      <w:pPr>
        <w:ind w:left="660" w:hanging="328"/>
        <w:spacing w:after="0" w:line="230"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enhance our products and services with new designs and offerings; and</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invest in our operations to support the growth in our business, including by opening additional showrooms.</w:t>
      </w:r>
    </w:p>
    <w:p>
      <w:pPr>
        <w:spacing w:after="0" w:line="215"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We may discover that these initiatives are more expensive than we currently anticipate, and we may not succeed in increasing our net sales sufficiently to offset these expenses or realize the benefits we anticipate. We will also face greater compliance costs associated with the increased scope of our business and being a public company. Any failure to adequately increase net sales or manage operating costs could prevent us from sustaining or increasing profitability. As we expand our offerings and our showroom presence, we may be less profitable than we are now. Additionally, we may not realize the operating efficiencies we expect to achieve through our efforts to scale the business, reduce friction in the shopping experience, and optimize costs such as payments to raw material suppliers, payment processing, and customer support. As such, due to these factors and others, we may not be able to sustain or increase profitability in the near term or at all. If we are unable to sustain or increase profitability, the value of our business and the trading price of our Class A common stock may be negatively impacted.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fine jewelry retail industry is highly competitive, and if we do not compete successfully, our business may be adversely impacted.</w:t>
      </w:r>
    </w:p>
    <w:p>
      <w:pPr>
        <w:spacing w:after="0" w:line="25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operate in a competitive industry. Our primary competitors include global jewelry retailers and brands, department stores, and independent retailers, many of which have an online presence and/or physical stores. In addition, other retail categories and forms of expenditure, such as electronics and travel, also compete for consumers’ discretionary spending, particularly during the holiday gift giving season. The price of fine jewelry relative to other products also influences consumer spending habits for fine jewelry.</w:t>
      </w:r>
    </w:p>
    <w:p>
      <w:pPr>
        <w:spacing w:after="0" w:line="21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Many of our competitors have greater financial and operational resources, longer operating histories, greater brand recognition, and broader geographic presence than we do. As a result, they may be able to engage in extensive and prolonged price promotions or otherwise offer competitive prices, which may adversely affect our business. They may also be able to spend more than we do for advertising. We may be at a substantial disadvantage to larger competitors with greater economies of scale. If our costs are greater compared to those of our competitors, the pricing of our products and services may not be as attractive, thus depressing sales or the profitability of our products and services. Our competitors may expand into markets in which we currently operate, and we remain vulnerable to the marketing power and high level of customer recognition of these larger competitors and to the risk that these competitors or others could attract our customer base. Some of our competitors are vertically integrated and are also engaged in the manufacture and distribution of responsible fine jewelry. These competitors can advantageously leverage this structure to better compete with us, and certain vertically-integrated organizations with significant market power could potentially utilize this power to make it more difficult for us to compete. We purchase some of our products from suppliers who are affiliates of our competitors. In addition, if any of our competitors were to consolidate operations, such consolidation could exacerbate these risks.</w:t>
      </w:r>
    </w:p>
    <w:p>
      <w:pPr>
        <w:spacing w:after="0" w:line="208"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We may not be able to continue to successfully compete against existing or future competitors. Our inability to respond effectively to competitive pressures, improved performance by our competitors, and changes in the retail markets could result in lost market share and have material adverse effects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profitability and cash flows may be negatively affected if we are not successful in managing our inventory balances and inventory shrinkage.</w:t>
      </w:r>
    </w:p>
    <w:p>
      <w:pPr>
        <w:spacing w:after="0" w:line="26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Efficient inventory management is a key component of our business success and profitability. Our inventory management requires us to maintain the optimal mix of products to meet customer demand. To be successful, we keep our inventory low while still maintaining sufficient inventory levels, both in store and virtually, to meet our customers’ demands without allowing those levels to increase to such an extent that the costs to hold the goods unduly impacts our financial results. We must balance the need to maintain inventory levels that are sufficient to ensure competitive lead times against the risk of inventory obsolescence because of changing customer requirements, fluctuating commodity prices, changes to our products, product transfers or the life cycle of our products.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Conversely, if we underestimate future demand for a particular product or do not respond quickly enough to replenish our best performing products, we may have a shortfall in inventory of such products, likely leading to unfulfilled orders, reduced net sales, and customer dissatisfaction.</w:t>
      </w:r>
    </w:p>
    <w:p>
      <w:pPr>
        <w:spacing w:after="0" w:line="21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damage, or theft and we may experience higher rates of inventory shrinkage or incur increased security costs to combat inventory theft. In addition, any casualty or disruption to our facilities or those of our third-party suppliers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216"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We derive a significant portion of our revenue from sales of our Create Your Own rings. A decline in sales of our Create Your Own rings would negatively affect our business, financial condition, and results of operations.</w:t>
      </w:r>
    </w:p>
    <w:p>
      <w:pPr>
        <w:spacing w:after="0" w:line="198"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We derive a significant portion of our revenue from the sale of our Create Your Own rings. Our fine jewelry is sold in highly competitive markets with limited barriers to entry. Introduction by competitors of comparable products at lower price points, a maturing product lifecycle, a decline in consumer spending, or other factors could result in a material decline in our revenue. Because we derive a significant amount of our revenue from the sale of our Create Your Own rings, any material decline in sales of our Create Your Own rings would have a material adverse impact on our business, financial condition, and operating results.</w:t>
      </w:r>
    </w:p>
    <w:p>
      <w:pPr>
        <w:spacing w:after="0" w:line="21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engage or expand our base of customers may be impaired and our business, financial condition, and results of operations may suffer.</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Maintaining and enhancing our reputation as an authentic, socially conscious, inclusive, and innovative company is critical to attracting and expanding our relationships with customers. The successful promotion of our brand and the market’s awareness of our products and services will depend on a number of factors, including our marketing efforts, ability to continue to develop our products and services, and ability to successfully differentiate our offerings and customer experiences from those of our competitors. We expect to invest substantial resources to promote and maintain our brand, but there is no guarantee that our brand development strategies will enhance the recognition of our brand or lead to increased sales. The strength of our brand will depend largely on our ability to provide quality products, services, and customer experiences. Brand promotion activities may not yield increased net sales, and even if they do, the increased net sales may not offset the expenses we incur in promoting and maintaining our brand and reputation. In order to protect our brand, we also expend substantial resources to register and defend our trademarks, and to prevent others from using the same or substantially similar marks. Despite these efforts, we may not always be successful in protecting our trademarks, and we may suffer dilution, loss of reputation, or other harm to our brand. If our efforts to cost-effectively promote and maintain our brand are not successful, our results of operations and our ability to attract and engage customers, partners, and employees may be adversely affected.</w:t>
      </w:r>
    </w:p>
    <w:p>
      <w:pPr>
        <w:spacing w:after="0" w:line="19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Unfavorable publicity about our brand or products, including perceived quality and safety, customer service, or privacy practices, whether or not true or untrue, could also harm our reputation and diminish confidence in,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popularity of, our products and services. In addition, negative publicity related to key brands with which we have partnered or with our third-party suppliers, including any reputational issues arising from their failure to comply with applicable law, including environmental law, may damage our reputation, even if the publicity is not directly related to us. Our brand or reputation could also be adversely impacted if industry organizations were to find we did not or no longer meet their standards or membership criteria. 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results of operations may suffer.</w:t>
      </w:r>
    </w:p>
    <w:p>
      <w:pPr>
        <w:spacing w:after="0" w:line="202"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Our marketing efforts to help grow our business may not be effective, and failure to effectively develop and expand our sales and marketing capabilities could harm our ability to increase our customer base and achieve broader market acceptance of our e-commerce and omnichannel approach to shopping for fine jewelry.</w:t>
      </w:r>
    </w:p>
    <w:p>
      <w:pPr>
        <w:spacing w:after="0" w:line="216"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color w:val="auto"/>
        </w:rPr>
        <w:t>Promoting awareness of our products and services is important to our ability to grow our business, and attracting new customers can be costly. Our marketing efforts include traditional media and online advertising, as well as third-party social media platforms as marketing tools. As traditional advertising, online, and social media platforms continue to rapidly evolve or grow more competitive, we must continue to maintain a presence on these platforms and establish a presence on new or emerging popular social media and advertising and marketing platforms.</w:t>
      </w:r>
    </w:p>
    <w:p>
      <w:pPr>
        <w:spacing w:after="0" w:line="19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Many customers locate our platform through internet search engines, such as Google, and advertisements on social networking sites such as Facebook and online streaming services. If we are listed less prominently or fail to appear in search results for any reason, visits to our website could decline significantly, and we may not be able to replace this traffic. Search engines revise their algorithms from time to time in an attempt to optimize their search results. If the search engines on which we rely for algorithmic listings modify their algorithms, we may appear less prominently or not at all in search results, which could result in reduced traffic to our website that we may not be able to replace. Additionally, if the costs of search engine marketing services, such as Google AdWords, increase, we may incur additional marketing expenses, we may be required to allocate a larger portion of our marketing spend to this channel or we may be forced to attempt to replace it with another channel (which may not be available at reasonable prices, if at all), and our business, financial condition, and results of operations could be adversely affected. Furthermore, social media platforms, search engines, and video streaming services may change their advertising policies from time to time. If any change to these policies delays or prevents us from advertising through these channels, it could result in reduced traffic to our website and sales. If we cannot cost effectively use these marketing tools, if we fail to promote our products and services efficiently and effectively, or if our marketing campaigns attract negative media attention, our business, financial condition, and results of operations may be adversely affected.</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net sales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 In addition, governmental entities may enact restrictions on the use or reach of certain platforms that are material to our marketing efforts, which may limit our ability to utilize these channels and may adversely affect our business and operating results.</w:t>
      </w:r>
    </w:p>
    <w:p>
      <w:pPr>
        <w:spacing w:after="0" w:line="19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ability to grow our marketing efforts depends to a significant extent on our ability to expand our sales and marketing organization. We plan to continue expanding our sales force, both in the U.S. and in Canada, and may further expand internationally in the future. We also plan to dedicate significant resources to sales and marketing programs. All of these efforts will require us to invest significant financial and other resources, including in channels and locations in which we have limited experience to date. We may not achieve anticipated net sales growth from expanding our sales force if we are unable to hire, develop, integrate, and retain talented and effective sales personnel, or if our new and existing sales personnel are unable to achieve desired productivity levels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reasonable period of time. In addition, our efforts to acquire customers through direct marketing may subject us to increased regulatory scrutiny by state regulators pursuant to unfair methods of competition or unfair or deceptive acts or practices laws, which may impact our ability to achieve anticipated net sales growth from increased direct marketing.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matters may impact our business and reputation.</w:t>
      </w:r>
    </w:p>
    <w:p>
      <w:pPr>
        <w:spacing w:after="0" w:line="239"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Increasingly, in addition to the importance of their financial performance, their investors, employees, customers, governmental and regulatory bodies and other stakeholders are increasingly judging companies’ performance on a variety of environmental, social, and governance (“ESG”) matters, which are considered to contribute to the long-term sustainability of companies’ performance.</w:t>
      </w:r>
    </w:p>
    <w:p>
      <w:pPr>
        <w:spacing w:after="0" w:line="209"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A variety of organizations measure the performance of companies on ESG topics, and the results of these assessments are widely publicized. In addition, investment in funds that specialize in companies that perform well in such assessments are increasingly popular, and major institutional investors have publicly emphasized the importance of ESG measures to their investment decisions with some relying on proprietary or third party ESG</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ratings to measure the performance of companies on ESG topics. Topics taken into account in such assessments include, among others, the company’s efforts and impacts, including impacts associated with our suppliers or other partners, on climate change and human rights, ethics and compliance with law, diversity, and the role of the company’s board of directors in supervising various ESG issues.</w:t>
      </w:r>
    </w:p>
    <w:p>
      <w:pPr>
        <w:spacing w:after="0" w:line="216"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 light of investors’ increased focus on ESG matters, there can be no certainty that we will manage such issues successfully, or that we will successfully meet society’s expectations as to our proper role or our own ESG goals and values, including in respect of our diamond sourcing standards. This could lead to risk of litigation or reputational damage relating to our ESG policies or performance. As we continue to focus on developing ESG practices, and as investor and other stakeholder expectations, voluntary and regulatory ESG disclosure standards and policies continue to evolve, we have made disclosures in these areas. Such disclosures may reflect aspirational goals, targets, and other expectations and assumptions, which are necessarily uncertain and may not be realized. Failure to realize (or timely achieve progress on) such aspirational goals and targets could adversely affect our third party ESG ratings, our reputation or otherwise adversely affect our business and operating results.</w:t>
      </w:r>
    </w:p>
    <w:p>
      <w:pPr>
        <w:spacing w:after="0" w:line="20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Further, our emphasis on ESG issues may not maximize short-term financial results and may yield financial results that conflict with the market’s expectations. We have and may in the future make business decisions that may reduce our short-term financial results if we believe that the decisions are consistent with our ESG goals, which we believe will improve our financial results over the long-term. These decisions may not be consistent with the short-term expectations of our stockholders and may not produce the long-term benefits that we expect, in which case our business, financial condition, and operating results could be harmed.</w:t>
      </w: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Our e-commerce and omnichannel business faces distinct risks, and our failure to successfully manage those risks could have a negative impact on our profitability.</w:t>
      </w:r>
    </w:p>
    <w:p>
      <w:pPr>
        <w:spacing w:after="0" w:line="198"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As an e-commerce and omnichannel retailer, we encounter risks and difficulties frequently experienced by internet-based businesses. The successful operation of our business as well as our ability to provide a positive shopping experience that will generate orders and drive subsequent visits depends on efficient and uninterrupted operation of our order-taking and fulfillment operations. Risks associated with our e-commerce and omnichannel business include:</w:t>
      </w:r>
    </w:p>
    <w:p>
      <w:pPr>
        <w:spacing w:after="0" w:line="242" w:lineRule="exact"/>
        <w:rPr>
          <w:sz w:val="20"/>
          <w:szCs w:val="20"/>
          <w:color w:val="auto"/>
        </w:rPr>
      </w:pPr>
    </w:p>
    <w:p>
      <w:pPr>
        <w:ind w:left="660" w:right="240" w:hanging="328"/>
        <w:spacing w:after="0" w:line="228"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uncertainties associated with our websites,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disruptions in internet service or power outages;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reliance on third parties for computer hardware and software, as well as delivery of merchandise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rapid technology changes;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credit or debit card fraud and other payment processing related issues;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changes in applicable federal, state, and international regulations;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liability for online content;</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cybersecurity and data privacy concerns and regulations; and</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natural disasters or adverse weather conditions.</w:t>
      </w:r>
    </w:p>
    <w:p>
      <w:pPr>
        <w:spacing w:after="0" w:line="21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 addition, we must keep up to date with competitive technology trends, including the use of new or improved technology, creative user interfaces, virtual and augmented reality, and other e-commerce marketing tools such as paid search and mobile applications (“apps”), among others, which may increase our costs and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210" w:lineRule="exact"/>
        <w:rPr>
          <w:sz w:val="20"/>
          <w:szCs w:val="20"/>
          <w:color w:val="auto"/>
        </w:rPr>
      </w:pPr>
    </w:p>
    <w:p>
      <w:pPr>
        <w:ind w:right="480"/>
        <w:spacing w:after="0" w:line="324" w:lineRule="auto"/>
        <w:rPr>
          <w:sz w:val="20"/>
          <w:szCs w:val="20"/>
          <w:color w:val="auto"/>
        </w:rPr>
      </w:pPr>
      <w:r>
        <w:rPr>
          <w:rFonts w:ascii="Arial" w:cs="Arial" w:eastAsia="Arial" w:hAnsi="Arial"/>
          <w:sz w:val="16"/>
          <w:szCs w:val="16"/>
          <w:b w:val="1"/>
          <w:bCs w:val="1"/>
          <w:i w:val="1"/>
          <w:iCs w:val="1"/>
          <w:color w:val="auto"/>
        </w:rPr>
        <w:t>If we are unable to effectively anticipate and respond to changes in consumer preferences and shopping patterns, or are unable to introduce new products or programs that appeal to new or existing customers, our sales and profitability could be adversely affected.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Our continued success depends on our ability to anticipate and respond in a timely and cost-effective manner to changes in consumer preferences for jewelry, natural and lab-grown diamonds and gemstones in particular, and other luxury goods, as well as attitudes towards the global jewelry industry as a whole, and the manner and locations in which consumers purchase such goods. Our business is subject to rapidly changing consumer preferences and future sales may suffer if the consumer preferences shift away from our product offerings or styles. Changes in fashion could also affect the popularity and, therefore, the value of engagement ring and fine jewelry designs and products as well as diamonds and gemstone. Any event or circumstance resulting in reduced market acceptance of one or more of our designs or offerings could reduce our sales. Unanticipated shifts in consumer preferences may also result in excess inventory. We recognize that consumer tastes cannot be predicted with certainty and are subject to change, which is compounded by the expanding use of digital and social media by consumers and the speed by which information and opinions are shared. Our product development strategy is to introduce new design collections, primarily jewelry, and/or expand certain existing collections regularly. If we are unable to anticipate and respond in a timely and cost-effective manner to changes in consumer preferences and shopping patterns, including the development of an engaging omnichannel experience for our customers, our sales and profitability could be adversely affected.</w:t>
      </w:r>
    </w:p>
    <w:p>
      <w:pPr>
        <w:spacing w:after="0" w:line="19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expect a number of factors to cause our results of operations and operating cash flows to fluctuate on a quarterly and annual basis, which may make it difficult to predict our future performance.</w:t>
      </w:r>
    </w:p>
    <w:p>
      <w:pPr>
        <w:spacing w:after="0" w:line="19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Our results of operations could vary significantly from quarter to quarter and year to year because of a variety of factors, many of which are outside of our control. As a result, comparing our results of operations on a period-to-period basis may not be meaningful. In addition to other risk factors discussed in this section, factors that may contribute to the variability of our quarterly and annual results include:</w:t>
      </w:r>
    </w:p>
    <w:p>
      <w:pPr>
        <w:spacing w:after="0" w:line="22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ability to accurately forecast net sales and appropriately plan our expenses, capital expenditures and expenditures on inventory;</w:t>
      </w:r>
    </w:p>
    <w:p>
      <w:pPr>
        <w:spacing w:after="0" w:line="12" w:lineRule="exact"/>
        <w:rPr>
          <w:rFonts w:ascii="Arial" w:cs="Arial" w:eastAsia="Arial" w:hAnsi="Arial"/>
          <w:sz w:val="22"/>
          <w:szCs w:val="22"/>
          <w:color w:val="auto"/>
        </w:rPr>
      </w:pPr>
    </w:p>
    <w:p>
      <w:pPr>
        <w:ind w:left="660" w:right="620" w:hanging="328"/>
        <w:spacing w:after="0" w:line="225"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to financial accounting standards and the interpretation of those standards, which may affect the way we recognize and report our financial results;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effectiveness of our internal controls;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seasonality of our business; and</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ability to collect payments from customers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The impact of one or more of the foregoing and other factors may cause our results of operations to vary significantly. As such, quarter-to-quarter and year-over-year comparisons of our results of operations may not be meaningful and should not be relied upon as an indication of future performance.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strategically expand our showroom footprint could negatively impact on our growth and profitability.</w:t>
      </w:r>
    </w:p>
    <w:p>
      <w:pPr>
        <w:spacing w:after="0" w:line="23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plan to continue to strategically open showrooms across the U.S. and, eventually, internationally, as part of our omnichannel expansion, is dependent upon a number of factors. These includes strategically picking new markets to expand into, the availability of desirable property, placement of showrooms in easily accessible locations with high visibility, the demographic characteristics of the area around the showroom, the design and maintenance of the showrooms, the availability of attractive locations within the markets that also meet the operational and financial criteria of management, and the ability to negotiate attractive lease terms. If we are unable to effectively expand our showroom footprint to satisfy our operational, and financial strategies, our growth and profitability could be negatively impacted.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Refunds, cancellations, and warranty claims could harm our business.</w:t>
      </w:r>
    </w:p>
    <w:p>
      <w:pPr>
        <w:spacing w:after="0" w:line="23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allow our customers to return our products, subject to our refund policy, which generally allows customers to return our products within the first 30 days of when a purchase is available for shipment or pickup and receive a full refund or an exchange. At the time of sale, we establish a reserve for returns, based on historical experience and expected future returns, which is recorded as a reduction of sales. If we experience a substantial increase in refunds, our cancellation reserve levels might not be sufficient and our business, financial condition, and results of operations could be harmed.</w:t>
      </w:r>
    </w:p>
    <w:p>
      <w:pPr>
        <w:spacing w:after="0" w:line="182" w:lineRule="exact"/>
        <w:rPr>
          <w:sz w:val="20"/>
          <w:szCs w:val="20"/>
          <w:color w:val="auto"/>
        </w:rPr>
      </w:pPr>
    </w:p>
    <w:p>
      <w:pPr>
        <w:ind w:right="680"/>
        <w:spacing w:after="0" w:line="248" w:lineRule="auto"/>
        <w:rPr>
          <w:sz w:val="20"/>
          <w:szCs w:val="20"/>
          <w:color w:val="auto"/>
        </w:rPr>
      </w:pPr>
      <w:r>
        <w:rPr>
          <w:rFonts w:ascii="Arial" w:cs="Arial" w:eastAsia="Arial" w:hAnsi="Arial"/>
          <w:sz w:val="18"/>
          <w:szCs w:val="18"/>
          <w:color w:val="auto"/>
        </w:rPr>
        <w:t>In addition, we generally offer one complimentary resizing within 60 days of when a purchase is available for shipment or pickup. We could incur significant costs to honor this guarantee. Outside of the 60 day complimentary resize period, rings can be resized for a fee when within jeweler’s recommended sizing range.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theft, loss, or damage to our products from inventory or during shipment.</w:t>
      </w:r>
    </w:p>
    <w:p>
      <w:pPr>
        <w:spacing w:after="0" w:line="239"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We have experienced and may continue to experience theft, loss, or damage to our products during the course of shipment to our customers by third-party shipping carriers or from our inventory. Additionally, as of December 31, 2022, we had 25 showrooms across the U.S. While these showrooms differ from traditional retailers in that they do not stock significant amounts of inventory to sell to consumers, they do have some products on display, and we allow customers to pick-up and return products purchased online to the store. We have taken steps to prevent loss of, damage to and theft of our products. However, if operational or security measures fail, losses exceed our insurance coverage or we are not able to maintain insurance at a reasonable cost, we could incur significant losses from theft, loss or damage which would substantially harm our business and results of operations.</w:t>
      </w:r>
    </w:p>
    <w:p>
      <w:pPr>
        <w:spacing w:after="0" w:line="207"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b w:val="1"/>
          <w:bCs w:val="1"/>
          <w:i w:val="1"/>
          <w:iCs w:val="1"/>
          <w:color w:val="auto"/>
        </w:rPr>
        <w:t>We rely heavily on our information technology systems, as well as those of our third-party vendors and service providers, for our business to effectively operate and to safeguard confidential information and any significant failure, inadequacy or interruption of these systems, security breaches or loss of data could materially adversely affect our business, financial condition and operations.</w:t>
      </w:r>
    </w:p>
    <w:p>
      <w:pPr>
        <w:spacing w:after="0" w:line="17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rely heavily on our information technology systems for many functions across our operations, including managing our supply chain and inventory, processing customer transactions, our financial accounting and reporting, compensating our employees, and operating our websites. Our ability to effectively manage our business and coordinate the sourcing, distribution, and sale of our products depends significantly on the reliability and capacity of these systems. We also collect, process, and store sensitive and confidential information, including our proprietary business information and personally identifiable information and that of our customers, employees, suppliers, and business partners. The secure processing, maintenance, and transmission of this information is critical to our operations.</w:t>
      </w:r>
    </w:p>
    <w:p>
      <w:pPr>
        <w:spacing w:after="0" w:line="21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Our systems may be subject to damage or interruption from power outages or damages, telecommunications problems, data corruption, software errors, network failures, physical or electronic break-ins, acts of war or terrorist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attacks, fire, flood and natural disasters, and our existing safety systems, data backup, access protection, user management, and information technology emergency planning may not be sufficient to prevent data loss or long-term network outages. In addition, we may have to upgrade our existing information technology systems or choose to incorporate new technology systems from time to time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20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Our systems and those of our third-party service providers and business partners may be vulnerable to security breaches, attacks by hackers, acts of vandalism, computer viruses, misplaced or lost data, human errors, or other similar events. If unauthorized parties gain access to our networks or databases, or those of our third-party service providers or business partners, they may be able to steal, publish, delete, use inappropriately, or modify our private and sensitive third-party information, including credit card information and personal identification information. In addition, employees may intentionally or inadvertently cause data or security breaches that result in unauthorized release of personal or confidential information. Because the techniques used to circumvent security systems can be highly sophisticated, change frequently, are often not recognized until launched against a target, can originate from a wide variety of sources (including outside groups such as external service providers, organized crime affiliates, terrorist organizations, or hostile foreign governments or agencies), and may originate from less regulated and remote areas around the world, we may be unable to proactively address all possible techniques or implement adequate preventive measures for all situations.</w:t>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Security incidents compromising the confidentiality, integrity, and availability of this information and our systems could result from cyber-attacks, computer malware, viruses, denial-of-service attacks, social engineering (including spear phishing and ransomware attacks), credential stuffing, efforts by individuals or groups of hackers and sophisticated organizations, including state-sponsored organizations, errors or malfeasance of our personnel, and security vulnerabilities in the software or systems on which we rely. Such incidents may occur in the future, resulting in unauthorized, unlawful, or inappropriate access to, inability to access, disclosure of, or loss of the sensitive, proprietary, and confidential information that we handle. While we employ security measures to prevent, detect, and mitigate potential for harm to our users from the misuse of user credentials on our network, these measures may not be effective in every instance. Moreover, while we maintain cybersecurity insurance that may help provide coverage for these types of incidents, we cannot assure you that our insurance will be adequate to cover costs and liabilities related to these incidents. Any such breach, attack, virus, or other event could result in costly investigations, litigation, and remediation expenses exceeding applicable insurance coverage or contractual rights available to us, civil or criminal penalties, operational changes or other response measures, loss of consumer confidence in our security measures, and negative publicity that could adversely affect our business, financial condition, and results of operations.</w:t>
      </w:r>
    </w:p>
    <w:p>
      <w:pPr>
        <w:spacing w:after="0" w:line="19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also rely on a number of third-party service providers to operate our critical business systems and process confidential and personal information, such as the payment processors that process customer credit card payments. These service providers may not have adequate security measures and could experience a security incident that compromises the confidentiality, integrity, or availability of the systems they operate for us or the information they process on our behalf. Cybercrime and hacking techniques are constantly evolving, and we or our third-party service providers may be unable to anticipate attempted security breaches, react in a timely manner, or implement adequate preventative measures, particularly given increasing use of hacking techniques designed to circumvent controls, avoid detection, and remove or obfuscate forensic artifacts. While we have taken measures designed to protect the security of the confidential and personal information under our control, we cannot assure you that any security measures that we or our third-party service providers have implemented will be effective against current or future security threats. Moreover, we or our third-party service providers may be more vulnerable to such attacks in remote work environments, which have increased in response to the COVID-19 pandemic. If the information technology systems of our third-party service providers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206"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color w:val="auto"/>
        </w:rPr>
        <w:t>We also rely on third-party providers for website services. Although alternative website providers could support our business on a substantially similar basis to our current third-party provider, transitioning our current website infrastructure to alternative providers could potentially be disruptive, and we could incur significant one-time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If we are unable to renew our agreements with our third-party providers on commercially acceptable terms, our agreements are prematurely terminated, or we add additional website providers, we may experience costs or downtime in connection with the transfer to, or the addition of, new website providers. If our website providers increase the costs of their services, our business, financial condition, or results of operations could be materially and adversely affected.</w:t>
      </w:r>
    </w:p>
    <w:p>
      <w:pPr>
        <w:spacing w:after="0" w:line="215"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regulatory environment surrounding information security and privacy is increasingly demanding, with the frequent imposition of new and changing requirements across our business. For example, if we are unable to comply with the security standards established by banks and the payment card industry, we may be subject to fines, restrictions, and expulsion from card acceptance programs, which could adversely affect our retail operations. Our business partners may have contractual rights of indemnification against us or seek to terminate our contracts with them in the event that their customer or proprietary business information is released as a result of a breach of our information technology. Security breaches could also expose us to liability under various laws and regulations across jurisdictions and increase the risk of litigation and governmental investigation. Due to concerns about data security and integrity, a growing number of legislative and regulatory bodies have adopted breach notification and other requirements in the event that information subject to such laws is accessed by unauthorized persons and</w:t>
      </w:r>
    </w:p>
    <w:p>
      <w:pPr>
        <w:spacing w:after="0" w:line="260" w:lineRule="auto"/>
        <w:rPr>
          <w:sz w:val="20"/>
          <w:szCs w:val="20"/>
          <w:color w:val="auto"/>
        </w:rPr>
      </w:pPr>
      <w:r>
        <w:rPr>
          <w:rFonts w:ascii="Arial" w:cs="Arial" w:eastAsia="Arial" w:hAnsi="Arial"/>
          <w:sz w:val="17"/>
          <w:szCs w:val="17"/>
          <w:color w:val="auto"/>
        </w:rPr>
        <w:t>additional regulations regarding the use, access, accuracy and security of such data are possible. In the United States, we are subject to laws in all states and numerous territories that require notification. Complying with such numerous and complex regulations in the event of unauthorized access would be expensive and difficult, and failure to comply with these regulations could subject us to regulatory scrutiny and additional liability.</w:t>
      </w:r>
    </w:p>
    <w:p>
      <w:pPr>
        <w:spacing w:after="0" w:line="19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Additionally, under certain regulatory schemes, such as the California Consumer Privacy Act (“CCPA”), as subsequently amended by the California Privacy Rights Act (“CPRA”), we may be liable for statutory damages on a per breached record basis, irrespective of any actual damages or harm to the individual or significant administrative fines. This means that in the event of a security breach we could face government scrutiny, regulatory fines, remediation costs, or consumer class actions alleging statutory damages amounting to hundreds of millions, and possibly billions of U.S. dollars. And we may also be subject to civil claims under the General Data Protection Regulation (“GDPR”) and U.K. data protection laws, including representative actions and other class action type litigation. The successful assertion of one or more large claims against us that exceed available insurance coverage, denial of coverage as to any specific claim, or any change or cessation in our insurance policies and coverages, including premium increases or the imposition of large deductible requirements, could have a material adverse effect on our business, results of operations, and financial condition. Any of these events could have a significant effect on our business and financial condition. As privacy and information security laws and regulations change, we may incur additional compliance costs.</w:t>
      </w:r>
    </w:p>
    <w:p>
      <w:pPr>
        <w:spacing w:after="0" w:line="21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Any material disruption or slowdown of our systems or those of our third-party service providers and business partners, could have a material adverse effect on our business, financial condition, and results of operations.</w:t>
      </w:r>
    </w:p>
    <w:p>
      <w:pPr>
        <w:spacing w:after="0" w:line="19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201F1E"/>
        </w:rPr>
        <w:t>Russia’s invasion of Ukraine, and the military, political, and economic impacts of the conflict there, could have a material adverse effect on our operations and financial condition.</w:t>
      </w:r>
    </w:p>
    <w:p>
      <w:pPr>
        <w:spacing w:after="0" w:line="19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February 2022, Russian military forces launched a major assault against Ukraine, and sustained conflict, instability, and disruption in the region is continuing. In response to the Russian military action, the U.S., Canada, the United Kingdom, the European Union, and others imposed sanctions against government officials, companies, individuals, regions, and industries in Russia, Ukraine, and Belarus. On March 11, 2022, the U.S. announced sanctions on</w:t>
      </w:r>
    </w:p>
    <w:p>
      <w:pPr>
        <w:spacing w:after="0" w:line="2"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multiple products of Russian origin, including diamonds. Because approximately 30% of the world’s rough diamonds are of Russian origin, sanctions by the U.S. or other governments limiting or prohibiting the importation of Russian diamonds could negatively affect the worldwide supply of diamonds. A</w:t>
      </w:r>
    </w:p>
    <w:p>
      <w:pPr>
        <w:ind w:right="100"/>
        <w:spacing w:after="0" w:line="241" w:lineRule="auto"/>
        <w:rPr>
          <w:sz w:val="20"/>
          <w:szCs w:val="20"/>
          <w:color w:val="auto"/>
        </w:rPr>
      </w:pPr>
      <w:r>
        <w:rPr>
          <w:rFonts w:ascii="Arial" w:cs="Arial" w:eastAsia="Arial" w:hAnsi="Arial"/>
          <w:sz w:val="18"/>
          <w:szCs w:val="18"/>
          <w:color w:val="auto"/>
        </w:rPr>
        <w:t>reduction in the supply of diamonds may result in increased prices for diamonds, which, in turn, could have a material adverse effect on our operations in the form of increased costs for us and potentially lower margins. It remains unclear what impact the conflict and sanctions may have on consumer demand for diamond jewelry. We have no way to predict the outcome of the situation in Ukraine, as the conflict and governmental responses are evolving rapidly and are beyond our control. Further escalation of the military conflict, more extensive sanctions, and instability impacting the region each could have a material adverse effect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In addition, as a result of the ongoing conflict between Russia and Ukraine, we may experience other risks, difficulties and challenges in the way we conduct our business and operations generally. For example, there may be an increased risk of cybersecurity attacks due to the current conflict between Russia and Ukraine, including cybersecurity attacks perpetrated by Russia or others at its direction in response to economic sanctions and other actions taken against Russia as a result of its invasion of Ukraine. Any increase in such attacks on us or our third-party providers or other systems could adversely affect our network systems or other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plan to expand into international markets, which will expose us to significant risks.</w:t>
      </w:r>
    </w:p>
    <w:p>
      <w:pPr>
        <w:spacing w:after="0" w:line="23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As we expand our operations to other countries, significant resources and management attention is required and doing so subjects us to regulatory, economic, and political risks in addition to those we already face in the U.S., Canada, Australia, and the United Kingdom. There are significant risks and costs inherent in doing business in international markets, including:</w:t>
      </w:r>
    </w:p>
    <w:p>
      <w:pPr>
        <w:spacing w:after="0" w:line="257" w:lineRule="exact"/>
        <w:rPr>
          <w:sz w:val="20"/>
          <w:szCs w:val="20"/>
          <w:color w:val="auto"/>
        </w:rPr>
      </w:pPr>
    </w:p>
    <w:p>
      <w:pPr>
        <w:ind w:left="660" w:right="560" w:hanging="328"/>
        <w:spacing w:after="0" w:line="258" w:lineRule="auto"/>
        <w:tabs>
          <w:tab w:leader="none" w:pos="655" w:val="left"/>
        </w:tabs>
        <w:numPr>
          <w:ilvl w:val="0"/>
          <w:numId w:val="18"/>
        </w:numPr>
        <w:rPr>
          <w:rFonts w:ascii="Arial" w:cs="Arial" w:eastAsia="Arial" w:hAnsi="Arial"/>
          <w:sz w:val="19"/>
          <w:szCs w:val="19"/>
          <w:color w:val="auto"/>
        </w:rPr>
      </w:pPr>
      <w:r>
        <w:rPr>
          <w:rFonts w:ascii="Arial" w:cs="Arial" w:eastAsia="Arial" w:hAnsi="Arial"/>
          <w:sz w:val="16"/>
          <w:szCs w:val="16"/>
          <w:color w:val="auto"/>
        </w:rPr>
        <w:t>difficulty establishing and managing international operations and the increased operations, travel, infrastructure, including establishment of showrooms and customer service operations, and legal compliance costs associated with locations in different countries or regions;</w:t>
      </w:r>
    </w:p>
    <w:p>
      <w:pPr>
        <w:ind w:left="660" w:hanging="328"/>
        <w:spacing w:after="0" w:line="230"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need to vary pricing and margins to effectively compete in international markets;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need to adapt and localize products for specific countries;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increased competition from local providers of similar products and services;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varying degrees of consumer acceptance of e-commerce and omnichannel business, specifically of fine jewelry;</w:t>
      </w:r>
    </w:p>
    <w:p>
      <w:pPr>
        <w:spacing w:after="0" w:line="10" w:lineRule="exact"/>
        <w:rPr>
          <w:rFonts w:ascii="Arial" w:cs="Arial" w:eastAsia="Arial" w:hAnsi="Arial"/>
          <w:sz w:val="22"/>
          <w:szCs w:val="22"/>
          <w:color w:val="auto"/>
        </w:rPr>
      </w:pPr>
    </w:p>
    <w:p>
      <w:pPr>
        <w:ind w:left="660" w:hanging="328"/>
        <w:spacing w:after="0" w:line="209"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challenges in obtaining, maintaining, protecting, and enforcing intellectual property rights abroad;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higher marketing customer support, payment processing, order fulfillment and other operational costs;</w:t>
      </w:r>
    </w:p>
    <w:p>
      <w:pPr>
        <w:spacing w:after="0" w:line="7"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need to offer content and customer support in various languages;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costs for fraud mitigation;</w:t>
      </w:r>
    </w:p>
    <w:p>
      <w:pPr>
        <w:spacing w:after="0" w:line="7" w:lineRule="exact"/>
        <w:rPr>
          <w:rFonts w:ascii="Arial" w:cs="Arial" w:eastAsia="Arial" w:hAnsi="Arial"/>
          <w:sz w:val="18"/>
          <w:szCs w:val="18"/>
          <w:color w:val="auto"/>
        </w:rPr>
      </w:pPr>
    </w:p>
    <w:p>
      <w:pPr>
        <w:ind w:left="660" w:hanging="328"/>
        <w:spacing w:after="0" w:line="230"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difficulties in understanding and complying with local laws, regulations, and customs in other jurisdictions;</w:t>
      </w:r>
    </w:p>
    <w:p>
      <w:pPr>
        <w:spacing w:after="0" w:line="13" w:lineRule="exact"/>
        <w:rPr>
          <w:rFonts w:ascii="Arial" w:cs="Arial" w:eastAsia="Arial" w:hAnsi="Arial"/>
          <w:sz w:val="22"/>
          <w:szCs w:val="22"/>
          <w:color w:val="auto"/>
        </w:rPr>
      </w:pPr>
    </w:p>
    <w:p>
      <w:pPr>
        <w:ind w:left="660" w:right="480" w:hanging="328"/>
        <w:spacing w:after="0" w:line="218"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compliance with anti-bribery laws, such as the U.S. Foreign Corrupt Practices Act (“FCPA”), and the U.K. Bribery Act 2010 (“U.K. Bribery Act”), by us, our employees, and our business partners;</w:t>
      </w:r>
    </w:p>
    <w:p>
      <w:pPr>
        <w:spacing w:after="0" w:line="14" w:lineRule="exact"/>
        <w:rPr>
          <w:rFonts w:ascii="Arial" w:cs="Arial" w:eastAsia="Arial" w:hAnsi="Arial"/>
          <w:sz w:val="22"/>
          <w:szCs w:val="22"/>
          <w:color w:val="auto"/>
        </w:rPr>
      </w:pPr>
    </w:p>
    <w:p>
      <w:pPr>
        <w:ind w:left="660" w:right="640" w:hanging="328"/>
        <w:spacing w:after="0" w:line="260" w:lineRule="auto"/>
        <w:tabs>
          <w:tab w:leader="none" w:pos="655" w:val="left"/>
        </w:tabs>
        <w:numPr>
          <w:ilvl w:val="0"/>
          <w:numId w:val="18"/>
        </w:numPr>
        <w:rPr>
          <w:rFonts w:ascii="Arial" w:cs="Arial" w:eastAsia="Arial" w:hAnsi="Arial"/>
          <w:sz w:val="19"/>
          <w:szCs w:val="19"/>
          <w:color w:val="auto"/>
        </w:rPr>
      </w:pPr>
      <w:r>
        <w:rPr>
          <w:rFonts w:ascii="Arial" w:cs="Arial" w:eastAsia="Arial" w:hAnsi="Arial"/>
          <w:sz w:val="16"/>
          <w:szCs w:val="16"/>
          <w:color w:val="auto"/>
        </w:rPr>
        <w:t>complexity and other risks associated with current and future legal requirements in other countries, including legal requirements related to consumer protection, consumer product safety, and data privacy frameworks, such as the Personal Information Protection and Electronic Documents Act (“PIPEDA”), the U.K. Data Protection Act, and the U.K. and E.U. General Data Protection Regulations;</w:t>
      </w:r>
    </w:p>
    <w:p>
      <w:pPr>
        <w:spacing w:after="0" w:line="1" w:lineRule="exact"/>
        <w:rPr>
          <w:rFonts w:ascii="Arial" w:cs="Arial" w:eastAsia="Arial" w:hAnsi="Arial"/>
          <w:sz w:val="19"/>
          <w:szCs w:val="19"/>
          <w:color w:val="auto"/>
        </w:rPr>
      </w:pPr>
    </w:p>
    <w:p>
      <w:pPr>
        <w:ind w:left="660" w:hanging="328"/>
        <w:spacing w:after="0"/>
        <w:tabs>
          <w:tab w:leader="none" w:pos="660" w:val="left"/>
        </w:tabs>
        <w:numPr>
          <w:ilvl w:val="0"/>
          <w:numId w:val="18"/>
        </w:numPr>
        <w:rPr>
          <w:rFonts w:ascii="Arial" w:cs="Arial" w:eastAsia="Arial" w:hAnsi="Arial"/>
          <w:sz w:val="21"/>
          <w:szCs w:val="21"/>
          <w:color w:val="auto"/>
        </w:rPr>
      </w:pPr>
      <w:r>
        <w:rPr>
          <w:rFonts w:ascii="Arial" w:cs="Arial" w:eastAsia="Arial" w:hAnsi="Arial"/>
          <w:sz w:val="17"/>
          <w:szCs w:val="17"/>
          <w:color w:val="auto"/>
        </w:rPr>
        <w:t>varying levels of internet technology adoption and infrastructure, and increased or varying network and hosting service provider costs;</w:t>
      </w:r>
    </w:p>
    <w:p>
      <w:pPr>
        <w:spacing w:after="0" w:line="10" w:lineRule="exact"/>
        <w:rPr>
          <w:rFonts w:ascii="Arial" w:cs="Arial" w:eastAsia="Arial" w:hAnsi="Arial"/>
          <w:sz w:val="21"/>
          <w:szCs w:val="21"/>
          <w:color w:val="auto"/>
        </w:rPr>
      </w:pPr>
    </w:p>
    <w:p>
      <w:pPr>
        <w:ind w:left="660" w:hanging="328"/>
        <w:spacing w:after="0" w:line="221"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tariffs and other non-tariff barriers, such as quotas and local content rules, as well as tax consequences;</w:t>
      </w:r>
    </w:p>
    <w:p>
      <w:pPr>
        <w:spacing w:after="0" w:line="12" w:lineRule="exact"/>
        <w:rPr>
          <w:rFonts w:ascii="Arial" w:cs="Arial" w:eastAsia="Arial" w:hAnsi="Arial"/>
          <w:sz w:val="22"/>
          <w:szCs w:val="22"/>
          <w:color w:val="auto"/>
        </w:rPr>
      </w:pPr>
    </w:p>
    <w:p>
      <w:pPr>
        <w:ind w:left="660" w:right="160" w:hanging="328"/>
        <w:spacing w:after="0" w:line="225"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fluctuations in currency exchange rates and the requirements of currency control regulations, which might restrict or prohibit conversion of other currencies into U.S. dollars; and</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political or social unrest or economic instability in a specific country or region in which we operate.</w:t>
      </w:r>
    </w:p>
    <w:p>
      <w:pPr>
        <w:spacing w:after="0" w:line="21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limited experience with international regulatory and business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Our failure to successfully manage these risks could harm our international operations and have an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could decline due to changes in credit markets and decisions made by credit providers.</w:t>
      </w:r>
    </w:p>
    <w:p>
      <w:pPr>
        <w:spacing w:after="0" w:line="225"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Historically, some of our customers have financed their purchase of our products through third-party financing providers. If we are unable to maintain our relationships with our third-party financing providers, there is no guarantee that we will be able to find replacement partners who will provide our customers with financing on similar terms, and our ability to sell our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We also offer layaway payments for both U.S. and international customers. After an initial deposit, our layaway plan allows customers to make monthly payments on any purchase. There is a risk that if credit is extended to consumers during times when economic conditions are strong, and then economic conditions subsequently deteriorate, consumers may not meet their then-current payment obligations.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seasonality.</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 larger share of annual revenues traditionally occurs in the fourth quarter because it includes the November and December holiday sales period. Any adverse changes in the economy and other negative impacts on discretionary spending by consumers during peak shopping quarters could unfavorably impact sales and earnings. A number of factors, such as higher unemployment, the level of consumers’ disposable income, the availability of credit, interest rates, consumer debt, and asset values, delays in the issuance of tax refunds, or deteriorating economic conditions can impact consumer spending decisions. Jewelry purchases are discretionary and are dependent on many factors relating to discretionary consumer spending, particularly as jewelry is often perceived to be a luxury purchase. In addition, in order to prepare for our peak shopping quarters, we must increase the staffing at our showrooms and order and keep in stock more merchandise than we carry during other parts of the year. This staffing increase and inventory build-up may require us to expend cash faster than is generated by our operations during these periods. We may be unable to increase staffing levels to meet our requirements, and additional staff may not perform at the levels required to support our business. Any unanticipated decrease in demand for our products during such a period could require us to sell excess inventory at a substantial markdown, which could have a material adverse effect on our business, financial condition, and results of operations.</w:t>
      </w:r>
    </w:p>
    <w:p>
      <w:pPr>
        <w:spacing w:after="0" w:line="20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w:t>
      </w:r>
    </w:p>
    <w:p>
      <w:pPr>
        <w:spacing w:after="0" w:line="20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depend on highly skilled personnel to grow and operate our business, and if we are unable to hire, retain, and motivate our personnel, we may not be able to grow effectively.</w:t>
      </w:r>
    </w:p>
    <w:p>
      <w:pPr>
        <w:spacing w:after="0" w:line="198"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Our success and future growth depend largely upon the continued services of our management team, including our Co-Founders, Beth Gerstein and Eric Grossberg. From time to time, there may be changes in our executive management team resulting from the hiring or departure of these personnel.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w:t>
      </w:r>
    </w:p>
    <w:p>
      <w:pPr>
        <w:spacing w:after="0" w:line="18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addition, our future success will depend, in part, upon our continued ability to identify and hire skilled personnel with the skills and technical knowledge that we require, including engineering, software design and programming, jewelry design, marketing, sales, and other key management personnel. Such efforts will require significant time, expense, and attention as there is intense competition for such individuals, particularly in the Denver and San Francisco areas, and new hires require significant training and time before they achieve full productivity, particularly in new sales segments and territories. In addition to hiring new employees, we must continue to focus on developing, motivating, and retaining our best employees, all of whom are at-will employees. If we fail to identify,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recruit, and integrate strategic personnel hires, our business, financial condition, and results of operations could be adversely affected. We may need to invest significant amounts of cash and equity to attract and retain new employees, and we may never realize returns on these investments. If we hire employees from competitors or other companies, their former employers may attempt to assert that these employees or we have breached various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are not able to effectively add and retain employees, our ability to achieve our strategic objectives will be adversely impacted, and our business and future growth prospects will be harmed.</w:t>
      </w:r>
    </w:p>
    <w:p>
      <w:pPr>
        <w:spacing w:after="0" w:line="194" w:lineRule="exact"/>
        <w:rPr>
          <w:sz w:val="20"/>
          <w:szCs w:val="20"/>
          <w:color w:val="auto"/>
        </w:rPr>
      </w:pPr>
    </w:p>
    <w:p>
      <w:pPr>
        <w:jc w:val="both"/>
        <w:ind w:right="800"/>
        <w:spacing w:after="0" w:line="362" w:lineRule="auto"/>
        <w:rPr>
          <w:sz w:val="20"/>
          <w:szCs w:val="20"/>
          <w:color w:val="auto"/>
        </w:rPr>
      </w:pPr>
      <w:r>
        <w:rPr>
          <w:rFonts w:ascii="Arial" w:cs="Arial" w:eastAsia="Arial" w:hAnsi="Arial"/>
          <w:sz w:val="15"/>
          <w:szCs w:val="15"/>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2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Our success will depend, in part, on our ability to expand our services and grow our business in response to changing technologies, customer demands, and competitive pressures. In some circumstances, we may choose to expand our services and grow our business through the acquisition of complementary businesses and technologies rather than through internal development. The identification of suitable acquisition candidates can be difficult, time-consuming, and costly, and we may not be able to successfully complete identified acquisitions. In addition, once we have completed an acquisition, we may not be able to successfully integrate the acquired business. The risks we face in connection with acquisitions include:</w:t>
      </w:r>
    </w:p>
    <w:p>
      <w:pPr>
        <w:spacing w:after="0" w:line="241" w:lineRule="exact"/>
        <w:rPr>
          <w:sz w:val="20"/>
          <w:szCs w:val="20"/>
          <w:color w:val="auto"/>
        </w:rPr>
      </w:pPr>
    </w:p>
    <w:p>
      <w:pPr>
        <w:ind w:left="660" w:right="60" w:hanging="328"/>
        <w:spacing w:after="0" w:line="230"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may not generate sufficient financial return to offset additional costs and expenses related to the acquisition, or may not perform as well financially as expected;</w:t>
      </w:r>
    </w:p>
    <w:p>
      <w:pPr>
        <w:spacing w:after="0" w:line="12" w:lineRule="exact"/>
        <w:rPr>
          <w:rFonts w:ascii="Arial" w:cs="Arial" w:eastAsia="Arial" w:hAnsi="Arial"/>
          <w:sz w:val="22"/>
          <w:szCs w:val="22"/>
          <w:color w:val="auto"/>
        </w:rPr>
      </w:pPr>
    </w:p>
    <w:p>
      <w:pPr>
        <w:ind w:left="660" w:right="460" w:hanging="328"/>
        <w:spacing w:after="0" w:line="225"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we may encounter difficulties or unforeseen expenditures in integrating the business, offerings, technologies, personnel, or operations of any company that we acquire, particularly if key personnel of the acquired company decide not to work for us;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13" w:lineRule="exact"/>
        <w:rPr>
          <w:rFonts w:ascii="Arial" w:cs="Arial" w:eastAsia="Arial" w:hAnsi="Arial"/>
          <w:sz w:val="22"/>
          <w:szCs w:val="22"/>
          <w:color w:val="auto"/>
        </w:rPr>
      </w:pPr>
    </w:p>
    <w:p>
      <w:pPr>
        <w:ind w:left="660" w:right="220" w:hanging="328"/>
        <w:spacing w:after="0" w:line="225"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we may encounter difficulties in, or may be unable to, successfully sell any acquired products;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use of cash to pay for an acquisition would limit other potential uses for our cash;</w:t>
      </w:r>
    </w:p>
    <w:p>
      <w:pPr>
        <w:spacing w:after="0" w:line="12" w:lineRule="exact"/>
        <w:rPr>
          <w:rFonts w:ascii="Arial" w:cs="Arial" w:eastAsia="Arial" w:hAnsi="Arial"/>
          <w:sz w:val="22"/>
          <w:szCs w:val="22"/>
          <w:color w:val="auto"/>
        </w:rPr>
      </w:pPr>
    </w:p>
    <w:p>
      <w:pPr>
        <w:ind w:left="660" w:right="600" w:hanging="328"/>
        <w:spacing w:after="0" w:line="225"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 and</w:t>
      </w:r>
    </w:p>
    <w:p>
      <w:pPr>
        <w:spacing w:after="0" w:line="14" w:lineRule="exact"/>
        <w:rPr>
          <w:rFonts w:ascii="Arial" w:cs="Arial" w:eastAsia="Arial" w:hAnsi="Arial"/>
          <w:sz w:val="22"/>
          <w:szCs w:val="22"/>
          <w:color w:val="auto"/>
        </w:rPr>
      </w:pPr>
    </w:p>
    <w:p>
      <w:pPr>
        <w:ind w:left="660" w:right="160" w:hanging="328"/>
        <w:spacing w:after="0" w:line="225"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if we issue a significant amount of equity securities in connection with future acquisitions, existing stockholders may be diluted and earnings per share may decrease.</w:t>
      </w:r>
    </w:p>
    <w:p>
      <w:pPr>
        <w:spacing w:after="0" w:line="2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occurrence of any of these foregoing risks could adversely affect our business, financial condition, and results of operations, and expose us to unknown risks or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6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have funded our operations since inception primarily through equity financings, revenue generated from our products and services, and, borrowings under the Runway Term Loan Agreement and borrowings under our SVB Term Loan Facility (as defined herein). We cannot be certain that our operations will continue to generate sufficient cash to fully fund our ongoing operations and the growth of our business. We intend to continue to make investments to support the development of our products and services and will require additional funds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development. We may need additional funding for marketing expenses and to develop and expand sales resources, develop new features or enhance our products and services, improve our operating infrastructure, support our operations, or acquire complementary businesses and technologies. Accordingly, we might need or may want to engage in future equity or debt financings to secure additional funds.</w:t>
      </w:r>
    </w:p>
    <w:p>
      <w:pPr>
        <w:spacing w:after="0" w:line="22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Our current debt holders and potential future debt holders have or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Additional financing may not be available on terms favorable to us, if at all and, due to market conditions, we may be unable to access or experience delays in accessing our existing credit facilities. If adequate funds are not available on acceptable terms, we may be unable to invest in future growth opportunities, which could harm our business, financial condition, and results of operations. If we are unable to obtain adequate financing or financing on terms satisfactory to us or access our existing credit facilities, our ability to develop our products and services, support our business growth, and respond to business challenges could be significantly impaired, and our business may be adversely affected.</w:t>
      </w:r>
    </w:p>
    <w:p>
      <w:pPr>
        <w:spacing w:after="0" w:line="194"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I</w:t>
      </w:r>
      <w:r>
        <w:rPr>
          <w:rFonts w:ascii="Arial" w:cs="Arial" w:eastAsia="Arial" w:hAnsi="Arial"/>
          <w:sz w:val="17"/>
          <w:szCs w:val="17"/>
          <w:color w:val="auto"/>
        </w:rPr>
        <w:t>n addition, the Company maintains the majority of its cash and cash equivalents in accounts with major financial institutions, and our deposits at certain of</w:t>
      </w:r>
      <w:r>
        <w:rPr>
          <w:rFonts w:ascii="Arial" w:cs="Arial" w:eastAsia="Arial" w:hAnsi="Arial"/>
          <w:sz w:val="22"/>
          <w:szCs w:val="22"/>
          <w:color w:val="auto"/>
        </w:rPr>
        <w:t xml:space="preserve"> </w:t>
      </w:r>
      <w:r>
        <w:rPr>
          <w:rFonts w:ascii="Arial" w:cs="Arial" w:eastAsia="Arial" w:hAnsi="Arial"/>
          <w:sz w:val="17"/>
          <w:szCs w:val="17"/>
          <w:color w:val="auto"/>
        </w:rPr>
        <w:t>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16" w:lineRule="exact"/>
        <w:rPr>
          <w:sz w:val="20"/>
          <w:szCs w:val="20"/>
          <w:color w:val="auto"/>
        </w:rPr>
      </w:pPr>
    </w:p>
    <w:p>
      <w:pPr>
        <w:ind w:right="940"/>
        <w:spacing w:after="0" w:line="291"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 our obligations under such indebtedness, to react to changes in our business, and to incur additional indebtedness to fund future needs.</w:t>
      </w:r>
    </w:p>
    <w:p>
      <w:pPr>
        <w:spacing w:after="0" w:line="17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 of December 31, 2022, we had outstanding $63.4 million aggregate principal amount of borrowings under our SVB Term Loan Facility.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Any failure to make payments of interest and principal on our outstanding indebtedness on a timely basis or failure to comply with certain restrictions in our debt instruments would result in a default under our debt instruments. In the event of a default under any of our current or future debt instruments, the lenders could elect to declare all amounts outstanding under such debt instruments to be due and payable.</w:t>
      </w:r>
    </w:p>
    <w:p>
      <w:pPr>
        <w:spacing w:after="0" w:line="22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addition, our indebtedness under our Term Loan Agreement bears interest at variable rates. Because we have variable rate debt, fluctuations in interest rates may affect our cash flows or business, financial condition, and results of operations.</w:t>
      </w:r>
    </w:p>
    <w:p>
      <w:pPr>
        <w:spacing w:after="0" w:line="19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SVB Term Loan Facility contains financial covenants and other restrictions on our actions that may limit our operational flexibility or otherwise adversely affect our business, financial condition, and results of operations.</w:t>
      </w:r>
    </w:p>
    <w:p>
      <w:pPr>
        <w:spacing w:after="0" w:line="198"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The terms of our SVB Term Loan Facility include a number of covenants that limit our ability to (subject to negotiated exceptions), among other things, incur additional indebtedness, incur liens on any of our property, enter into agreements related to mergers and acquisitions, dispose of property, or pay dividends and make distributions.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addition, we are required to comply with a minimum fixed charge coverage ratio and maximum leverage ratios, tested on a quarterly basis. The terms of our SVB Term Loan Facility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that are not subject to such restrictions.</w:t>
      </w:r>
    </w:p>
    <w:p>
      <w:pPr>
        <w:spacing w:after="0" w:line="21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failure by us to comply with the covenants specified in the SVB Term Loan Facility could result in an event of default under the agreement, which would give the lenders the right to stop advancing money or extending credit and to declare all obligations to pay the loans when due, together with principal interest, fees, and expenses, to be immediately due and payable. If the debt under the SVB Term Loan Facility were to be accelerated, we may not have sufficient cash or be able to borrow sufficient funds to refinance the debt or sell sufficient assets to repay the debt, and the lenders may foreclose on collateral, which could adversely affect our business,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4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We are subject to numerous federal, state, local, and foreign laws and governmental regulations, including those relating to environmental protection, personal injury, intellectual property, consumer product safety, building, land use and zoning requirements, workplace regulations, wage and hour, privacy and information security, consumer protection laws, immigration, and employment law matters. If we fail to 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202"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Further, the Federal Trade Commission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w:t>
      </w:r>
    </w:p>
    <w:p>
      <w:pPr>
        <w:spacing w:after="0" w:line="218"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Our transactions with suppliers and other parties outside the U.S. may subject us to FCPA, U.S. export controls, including the Export Administration Regulations, and trade sanction laws, and similar anti-corruption, anti-bribery, and international trade laws, any violation of which could create substantial liability for us and also harm our reputation. Our operations may subject us to various federal, state, and local laws, regulations, and other requirements pertaining to protection of the environment, public health, and employee safety, including regulations governing the management of hazardous substances and the maintenance of safe working conditions, such as the Occupational Safety and Health Act of 1970, as amended. These laws also apply generally to all our properties. Our failure to comply with these laws can subject us to criminal and civil liabilities. In connection with our philanthropic endeavors, we must also comply with additional federal, state, and local tax and other laws and regulations.</w:t>
      </w:r>
    </w:p>
    <w:p>
      <w:pPr>
        <w:spacing w:after="0" w:line="190"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b w:val="1"/>
          <w:bCs w:val="1"/>
          <w:i w:val="1"/>
          <w:iCs w:val="1"/>
          <w:color w:val="auto"/>
        </w:rPr>
        <w:t>Failure to adequately obtain, maintain, protect and enforce our intellectual property and proprietary rights or prevent third parties from making unauthorized use of such rights could harm our brand, devalue our proprietary content and technology, and adversely affect our ability to compete effectively.</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success depends to a significant degree on our ability to obtain, maintain, protect, and enforce our intellectual property rights, including our brand, proprietary designs, technology, and know-how. We rely on a variety of mechanisms to protect our intellectual property rights, including trademark and copyright laws, trade secret protection, domain name registration, confidentiality agreements, and other contractual arrangements with our employees, affiliates, clients, strategic partners, and others. However, the protective steps we have taken and plan to take may be inadequate to deter infringement, misappropriation or other violations of our intellectual property, proprietary designs, technology, know-how, and our brand. We may not learn of, or may be unable to detect, the unauthorized use of, or take appropriate steps to enforce, our intellectual property rights. Effective intellectual property protection may not be available to us or available in every jurisdiction in which we offer or may offer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products and services. Failure to adequately protect our intellectual property could harm our brand, devalue our proprietary designs, technology, and other intellectual property, and adversely affect our ability to compete effectively. Further, defending our intellectual property rights could result in the expenditure of significant financial resources and divert attention of management, which could adversely affect our business, financial condition, and results of operations.</w:t>
      </w:r>
    </w:p>
    <w:p>
      <w:pPr>
        <w:spacing w:after="0" w:line="21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If we fail to protect our intellectual property rights adequately, our competitors may exploit our intellectual property and develop and commercialize substantially identical products and we may lose an important advantage in the markets in which we compete. In addition, defending our intellectual property rights might entail significant expense. Any trademarks, copyrights, patents, or other intellectual property rights that we have or may obtain may be challenged or circumvented by others or invalidated or held unenforceable through administrative processes,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Any challenge to our intellectual property rights could result in them being narrowed in scope or declared invalid or unenforceable. We do not currently own any issued patents, and even if we seek patent protection in the future, we may be unable to obtain or maintain such protection. In addition, any patents issued from future patent applications or licensed to us in the future may not provide us with competitive advantages or may be successfully challenged by third parties. Further, the laws of some foreign countries may not be as protective of intellectual property rights as those in the U.S., and mechanisms for enforcement of intellectual property rights in those countries may be inadequate. Moreover, policing unauthorized use of our technologies, trade secrets, and intellectual property may be difficult, expensive, and time-consuming. Despite our precautions, it may be possible for unauthorized third parties to copy our offerings and capabilities and use information that we regard as proprietary to create offerings that compete with ours. If our trademarks and trade names are not adequately protected, then we may not be able to build name recognition in our markets of interest and our business may be adversely affected.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w:t>
      </w:r>
    </w:p>
    <w:p>
      <w:pPr>
        <w:spacing w:after="0" w:line="19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or may have developed intellectual property on our behalf. Moreover, no assurance can be given that these agreements will be effective in controlling access to our proprietary information or the distribution, use, misuse, misappropriation, reverse engineering, or disclosure of our proprietary information, know-how, and trade secrets. These agreements may not be self-executing or they may be breached, and we may not have adequate remedies for any such breach. Additionally, we may be subject to claims that our employees misappropriated relevant rights from their previous employers. Further, these agreements may not prevent our competitors from independently developing technologies that are substantially equivalent or superior to our offerings and capabilities.</w:t>
      </w:r>
    </w:p>
    <w:p>
      <w:pPr>
        <w:spacing w:after="0" w:line="208"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intellectual property against unauthorized copying or use, as well as any costly litigation or diversion of our management’s attention and resources, could delay further sales or the implementation of our offerings and capabilities, impair the functionality of our offerings and capabilities, delay introductions of new offerings, or injure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b w:val="1"/>
          <w:bCs w:val="1"/>
          <w:i w:val="1"/>
          <w:iCs w:val="1"/>
          <w:color w:val="auto"/>
        </w:rPr>
        <w:t>Third parties may assert rights in or ownership of our trademarks and other intellectual property rights, or trademarks that are similar to our trademarks, or claim that we are infringing, misappropriating or otherwise violating their intellectual property rights. Intellectual property-related litigations and proceedings are expensive and time consuming to defend, and, if resolved adversely, could materially adversely impact our business, financial condition and results of operations.</w:t>
      </w:r>
    </w:p>
    <w:p>
      <w:pPr>
        <w:spacing w:after="0" w:line="21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Our commercial success depends in part on avoiding infringement, misappropriation or other violations of the intellectual property and proprietary rights of third parties and other intellectual property-related disputes. Our registered or unregistered trademarks or trade names may be challenged, infringed, circumvented, diluted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Further,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Similarly, not every variation of a domain name may be available or be registered, even if available. The occurrence of any of these events could result in the erosion of our brand and limit our ability to market our brand using our various domain names, as well as impede our ability to effectively compete against competitors with similar products or technologies.</w:t>
      </w:r>
    </w:p>
    <w:p>
      <w:pPr>
        <w:spacing w:after="0" w:line="208"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In addition to fighting intellectual property infringement from third parties, we may need to defend claims against us related to our intellectual property rights. Some third-party intellectual property rights may prove to be extremely broad, and it may not be possible for us to conduct our operations in such a way as to avoid violating those intellectual property rights. As we face increasing competition, the possibility of intellectual property rights claims against us grows. Such claims and litigation may involve adverse intellectual property rights holders who have no relevant product revenue, and, therefore, our own issued and pending copyrights, trademarks, and other intellectual property rights may provide little or no deterrence to these rights holders in bringing intellectual property rights claims against us. There may be intellectual property rights held by others that cover significant aspects of our offerings and we cannot assure that we are not infringing or violating, and have not infringed or violated, any third-party intellectual property rights, or that we will not be held to have done so or be accused of doing so in the future. In addition, any disputes with third parties with respect to any third-party intellectual property agreements could narrow what we believe to be the scope of our rights to the relevant intellectual property or increase our obligations under such agreements, either of which could have a material adverse effect on our business, financial condition, results of operations, and cash flows.</w:t>
      </w:r>
    </w:p>
    <w:p>
      <w:pPr>
        <w:spacing w:after="0" w:line="20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Any claim that we have violated intellectual property or other proprietary rights of third parties, with or without merit, and whether or not it results in litigation, is settled out of court or is determined in our favor, could be expensive and time-consuming to address and resolve, and could divert the time and attention of management and technical personnel from our business. The litigation process is subject to inherent uncertainties, and we may not prevail in litigation matters regardless of the merits of our position. Intellectual property lawsuits or claims may become extremely disruptive if plaintiffs were to succeed in blocking the trade of our products and services. An adverse outcome of a dispute may result in an injunction and could require us to pay substantial monetary damages, including treble damages and attorneys’ fees, if we are found to have willfully infringed a party’s intellectual property rights. Further, our liability insurance may not cover potential claims of this type adequately or at all. We may be unable to successfully resolve these types of conflicts to our satisfaction and may be required to enter into costly license agreements, if available at all; be required to pay significant royalty, settlements costs, or damages; be required to rebrand our products; and/or be prevented from selling some of our products. The terms of such a settlement or judgment may require us to cease some or all of our operations or pay substantial amounts to the other party. Even if we have an agreement to indemnify us against such costs, the indemnifying party may be unable or unwilling to uphold its contractual obligations. In addition,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use the same intellectual property to compete with us. We may also have to redesign our products so they do not infringe, misappropriate, or otherwise violate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intellectual property rights, which may not be possible or may require substantial monetary expenditures and time, during which our products may not be available for commercialization or use. Such outcomes would increase our operating expenses, and if we cannot redesign our products in a non-infringing manner or obtain a license for any allegedly infringing aspect of our business, we may be forced to limit our product offerings, which could adversely affect our ability to compete effectively.</w:t>
      </w:r>
    </w:p>
    <w:p>
      <w:pPr>
        <w:spacing w:after="0" w:line="215"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laws and industry standards relating to privacy, data security, and data protection. The restrictions and costs imposed by these laws, or our actual or perceived failure to comply with them, could subject us to liabilities that adversely affect our business, operations, and financial performance.</w:t>
      </w:r>
    </w:p>
    <w:p>
      <w:pPr>
        <w:spacing w:after="0" w:line="20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collect, process, store, and use a wide variety of data from current and prospective customers, including personal information, such as home addresses and geolocation. These activities are regulated by a variety of federal, state, local, and foreign privacy, data security, and data protection laws and regulations, which have become increasingly stringent in recent years.</w:t>
      </w:r>
    </w:p>
    <w:p>
      <w:pPr>
        <w:spacing w:after="0" w:line="216"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Domestic privacy and data security laws are complex and changing rapidly. In the U.S., we are subject to a variety of laws and regulations, including regulation by federal government agencies, including the FTC, and state and local agencies. In addition to federal laws such as Section 5 of the Federal Trade Commission Act, the Gramm-Leach-Bliley Act, and the Fair Credit Reporting Act, many states have enacted laws regulating the collection, use, and disclosure of personal information and requiring that companies implement reasonable data security measures. Laws in all states and U.S. territories also require businesses to notify affected individuals, governmental entities, and/or credit reporting agencies of certain security breaches affecting personal information. These laws are not consistent, and compliance with them in the event of a widespread data breach is complex and costly.</w:t>
      </w:r>
    </w:p>
    <w:p>
      <w:pPr>
        <w:spacing w:after="0" w:line="188"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For example, CPRA, which went into effect on January 1, 2023, and becomes enforceable on July 1, 2023, substantially amends CCPA and further expands the rights of California residents related to covered businesses’ use, retention, and disclosure of their of their personal information. Building on CCPA’s establishment of consumers’ rights to know and request deletion of personal information that businesses collect about them, CPRA grants consumers the right to restrict uses of certain categories of sensitive personal information that we handle; further restricts our use of cross-contextual behavioral advertising techniques by allowing consumers to opt out of both the sale and sharing of their personal information for such use; establishes restrictions on the retention of personal information; expands the types of data breaches subject to the private right of action established by CCPA; and establishes the California Privacy Protection Agency to implement and enforce the new law, as well as impose administrative fines. Additionally, comprehensive privacy statutes that share similarities with CCPA have been enacted in Virginia (effective January 1, 2023 ), Colorado (effective July 1, 2023), Connecticut (effective July 1, 2023), and Utah (effective December 31, 2023). These comprehensive state privacy laws may increase our compliance costs and potential liability, particularly in the event of a data breach, and could have a material adverse effect on our business, including how we use personal information for advertising and other purposes, our financial condition, and the results of our operations or prospects. Similar laws have been proposed in other states and at the federal level, reflecting a trend toward more stringent privacy legislation in the U.S. The enactment of such laws could have potentially conflicting requirements that would increase the challenge of compliance.</w:t>
      </w:r>
    </w:p>
    <w:p>
      <w:pPr>
        <w:spacing w:after="0" w:line="21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addition, 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 In particular, the TCPA imposes significant restrictions on the ability to make telephone calls or send text messages to mobile telephone numbers without the prior consent of the person being contacted. Claims that we have violated the TCPA could be costly to litigate, and if successful, expose us to substantial statutory damages.</w:t>
      </w:r>
    </w:p>
    <w:p>
      <w:pPr>
        <w:spacing w:after="0" w:line="21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Foreign privacy laws are also undergoing a period of rapid change, have become more stringent in recent years, and may increase the costs and complexity of offering our products in new geographies. In Canada, where we operate, PIPEDA, and various provincial laws require that companies give detailed privacy notices to consumers,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consent to use personal information, with limited exceptions, allow individuals to access and correct their personal information, and report certain data breaches. In addition, Canada’s Anti-Spam Legislation (“CASL”) prohibits email marketing without the recipient’s consent, with limited exceptions. Failure to comply with PIPEDA, CASL, or provincial privacy or data protection laws could result in significant fines and penalties or possible damage awards.</w:t>
      </w:r>
    </w:p>
    <w:p>
      <w:pPr>
        <w:spacing w:after="0" w:line="21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We operate in the European Union which has adopted strict data privacy and security regulations in its General Data Protection Regulations (the "E.U. GDPR") and the U.K. which has adopted the U.K. General Data Protection Regulation and Data Protection Act 2018 (the “U.K. GDPR” and together with the EU GDPR, the “GDPR”). The GDPR imposes strict requirements on controllers and processors of personal data, including, for example, higher standards for obtaining consent from individuals to process their personal data, more robust disclosures to individuals, shortened timelines for data breach notifications, and restrictions on the transfer of personal data outside of the EU and U.K. The GDPR also provides individuals with various rights in respect of their personal data, including rights of access, erasure, portability, rectification, restriction, and objection.</w:t>
      </w:r>
    </w:p>
    <w:p>
      <w:pPr>
        <w:spacing w:after="0" w:line="20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In addition the E.U. GDPR and U.K. GDPR each regulate cross-border transfers of personal data out of the EEA and the U.K. Recent legal developments in Europe have created complexity and uncertainty regarding such transfers, in particular in relation to transfers to the United States. On July 16, 2020, the Court of Justice of the European Union (“CJEU”) invalidated the EU-US Privacy Shield Framework, or Privacy Shield, under which personal information could be transferred from the EEA (and the U.K.)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European court and regulatory decisions subsequent to the CJEU decision of July 16, 2020 have taken a restrictive approach to international data transfers. We generally rely on standard contractual clauses in our contracts involving transfers of personal information outside the EEA and the U.K., including to the United States. As the enforcement landscape further develops, and supervisory authorities issue further guidance on international data transfers, we could incur additional costs, complaints and/or regulatory investigations or fines; we may have to stop using certain tools and vendors and make other operational changes; and/or it could otherwise affect the manner in which we provide our services, and could adversely affect our business, operations and financial condition.</w:t>
      </w:r>
    </w:p>
    <w:p>
      <w:pPr>
        <w:spacing w:after="0" w:line="20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Companies that violate the GDPR can face private litigation, prohibitions on data processing, and fines of up to the greater of 4% of their worldwide annual revenue or 20 million Euros (for the EU) or £17.5 million (for the U.K.). In addition to fines, a breach of the GDPR may result in regulatory investigations, reputational damage, orders to cease/ change our data processing activities, enforcement notices, assessment notices (for a compulsory audit) and/ or civil claims (including class actions).</w:t>
      </w:r>
    </w:p>
    <w:p>
      <w:pPr>
        <w:spacing w:after="0" w:line="21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GDPR, other EU and other U.K. data protection laws restrict the ability of companies to market electronically, including through the use of cookies, tracking technologies, e-marketing, and similar technologies on which we rely for our marketing. In addition, recent European court and regulator decisions are driving increased attention to cookies and tracking technologies. If the trend of increasing enforcement by regulators of the strict approach to opt-in consent for all but essential use cases continues, and further requirements advocated by privacy advocates is enforced (e.g. restricting visual differences in opt-in and opt-out options offered in cookie-consent banners, requiring individual cookie opt outs, and requiring reject all buttons), this could lead to substantial costs, require significant systems changes, limit the effectiveness of our marketing activities, divert the attention of our technology personnel, adversely affect our margins, and subject us to additional liabilities. In light of the complex and evolving nature of EU, EU Member State and U.K. privacy laws on cookies and tracking technologies, there can be no assurances that we will be successful in our efforts to comply with such laws; violations of such laws could result in regulatory investigations, fines, orders to cease/ change our use of such technologies, as well as civil claims including class actions, and reputational damage.</w:t>
      </w:r>
    </w:p>
    <w:p>
      <w:pPr>
        <w:spacing w:after="0" w:line="21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Further, because we accept debit and credit cards for payment,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Compliance with PCI-DSS and implementing related procedures, technology, and information security measures requires significant resources and ongoing attention. Costs and potential problems and interruptions associated with the implementation of new or upgraded systems and technology such as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necessary to achieve compliance with PCI-DSS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 If there are amendments to PCI-DSS, the cost of re-compliance could also be substantial and we may suffer loss of critical data and interruptions or delays in our operations as a result. We also rely on vendors to handle certain PCI-DSS matters and to ensure PCI-DSS compliance. Despite our compliance efforts, we may become subject to claims that we have violated PCI-DSS, based on past, present, and future business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practices, which could have an adverse impact on our business and reputation</w:t>
      </w:r>
      <w:r>
        <w:rPr>
          <w:rFonts w:ascii="Arial" w:cs="Arial" w:eastAsia="Arial" w:hAnsi="Arial"/>
          <w:sz w:val="21"/>
          <w:szCs w:val="21"/>
          <w:i w:val="1"/>
          <w:iCs w:val="1"/>
          <w:color w:val="auto"/>
        </w:rPr>
        <w:t>.</w:t>
      </w:r>
    </w:p>
    <w:p>
      <w:pPr>
        <w:spacing w:after="0" w:line="220"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or</w:t>
      </w:r>
    </w:p>
    <w:p>
      <w:pPr>
        <w:spacing w:after="0" w:line="2"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color w:val="auto"/>
        </w:rPr>
        <w:t>opt-out preference signals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Despite our efforts to comply with all applicable data protection laws and regulations, our interpretations of such laws and regulations and such measures to comply therewith may have been or may prove to be insufficient or incorrect, and we may not be successful in achieving compliance with the rapidly evolving privacy, data security, and data protection requirements discussed above.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services. Such occurrences could adversely affect our business, financial condition, and results of operations. Our general liability insurance may not cover all potential claims to which we are exposed and may not be adequate to indemnify us for the full extent of our potential liabilities.</w:t>
      </w:r>
    </w:p>
    <w:p>
      <w:pPr>
        <w:spacing w:after="0" w:line="221" w:lineRule="exact"/>
        <w:rPr>
          <w:sz w:val="20"/>
          <w:szCs w:val="20"/>
          <w:color w:val="auto"/>
        </w:rPr>
      </w:pPr>
    </w:p>
    <w:p>
      <w:pPr>
        <w:ind w:right="220"/>
        <w:spacing w:after="0"/>
        <w:rPr>
          <w:sz w:val="20"/>
          <w:szCs w:val="20"/>
          <w:color w:val="auto"/>
        </w:rPr>
      </w:pPr>
      <w:r>
        <w:rPr>
          <w:rFonts w:ascii="Arial" w:cs="Arial" w:eastAsia="Arial" w:hAnsi="Arial"/>
          <w:sz w:val="18"/>
          <w:szCs w:val="18"/>
          <w:b w:val="1"/>
          <w:bCs w:val="1"/>
          <w:i w:val="1"/>
          <w:iCs w:val="1"/>
          <w:color w:val="auto"/>
        </w:rPr>
        <w:t>Our business could be adversely impacted by changes in the internet and mobile device accessibility of users. Companies and governmental agencies may restrict access to our products and services, our mobile apps, website, app stores, or the internet generally, which could negatively impact our operations.</w:t>
      </w:r>
    </w:p>
    <w:p>
      <w:pPr>
        <w:spacing w:after="0" w:line="216"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Our business depends on customers accessing our products and services via a mobile device or a personal computer, and the internet. We may operate in jurisdictions that provide limited internet connectivity, particularly as we expand internationally. Internet access and access to a mobile device or personal computer are frequently provided by companies with significant market power that could take actions that degrade, disrupt, or increase the cost of consumers’ ability to access our products and services. In addition, the internet infrastructure that we and our customers rely on in any particular geographic area may be unable to support the demands placed upon it and could interfere with the speed and availability of our products and services. Any such failure in internet or mobile device or computer accessibility, even for a short period of time, could adversely affect our results of operations. Governmental agencies in any of the countries in which we or our customers are located could block access to or require a license for our mobile apps, website, or the internet generally for a number of reasons, including security, confidentiality, or regulatory concerns. In addition, companies may adopt policies that prohibit their employees from using our products and services. If companies or governmental entities block, limit, or otherwise restrict customers from accessing our products and services, our business could be negatively impacted, the number of customers could decline or grow more slowly, and our results of operations could be adversely affected.</w:t>
      </w:r>
    </w:p>
    <w:p>
      <w:pPr>
        <w:spacing w:after="0" w:line="19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98"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We are subject to the FCPA,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benefits to recipients in the public or private sector. As we increase our international sales and business, we may engage with business partners and third-party intermediaries to market our offerings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21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cannot assure you that all of our employees and agents will not take actions in violation of any of the above laws, for which we may be ultimately held responsible. As we increase our international sales and business, our risks under these laws may increase.</w:t>
      </w:r>
    </w:p>
    <w:p>
      <w:pPr>
        <w:spacing w:after="0" w:line="19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Detecting, investigating, and resolving actual or alleged violations of any of the above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93" w:lineRule="exact"/>
        <w:rPr>
          <w:sz w:val="20"/>
          <w:szCs w:val="20"/>
          <w:color w:val="auto"/>
        </w:rPr>
      </w:pPr>
    </w:p>
    <w:p>
      <w:pPr>
        <w:ind w:right="340"/>
        <w:spacing w:after="0" w:line="324" w:lineRule="auto"/>
        <w:rPr>
          <w:sz w:val="20"/>
          <w:szCs w:val="20"/>
          <w:color w:val="auto"/>
        </w:rPr>
      </w:pPr>
      <w:r>
        <w:rPr>
          <w:rFonts w:ascii="Arial" w:cs="Arial" w:eastAsia="Arial" w:hAnsi="Arial"/>
          <w:sz w:val="16"/>
          <w:szCs w:val="16"/>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From time to time, we may be subject to claims, lawsuits, government investigations, and other proceedings involving products liability, competition and antitrust, intellectual property, data privacy and protection, consumer protection, securities, tax, labor and employment, commercial disputes, and other matters that could adversely affect our business operations and financial condition. As we have grown, we have seen a rise in the number and significance of these disputes and inquiries.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or services,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suppliers from whom our products are sourced and are dependent on a limited number of suppliers.</w:t>
      </w:r>
    </w:p>
    <w:p>
      <w:pPr>
        <w:spacing w:after="0" w:line="239"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We purchase substantially all of the resources for our products including diamonds, gemstones, precious metals, parts, packaging, and raw materials from domestic and international suppliers. For our business to be successful, our suppliers must be willing and able to provide us with resources in substantial quantities, in compliance with regulatory requirements, and further in compliance with our ethical, quality and sourcing, and environmentally responsible standards, at acceptable costs and on a timely basis. Our ability to obtain a sufficient selection or volume of resources on a timely basis at competitive prices could suffer as a result of any deterioration or change in our supplier relationships or events that adversely affect our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typically do not enter into long-term contracts with our suppliers, and in some cases do not have formal written contracts, and, as such, we operate without significant contractual assurances of continued supply, pricing or access to resources. Pricing with suppliers is typically established and renegotiated based on product specifications, market conditions, and other variables. Any of our suppliers could discontinue supplying us with desired inputs in sufficient quantities or offer us less favorable terms on future transactions for a variety of reasons. The benefits we currently experience from our supplier relationships could be adversely affected if our suppliers:</w:t>
      </w:r>
    </w:p>
    <w:p>
      <w:pPr>
        <w:spacing w:after="0" w:line="23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discontinue selling resources to us;</w:t>
      </w:r>
    </w:p>
    <w:p>
      <w:pPr>
        <w:spacing w:after="0" w:line="12" w:lineRule="exact"/>
        <w:rPr>
          <w:rFonts w:ascii="Arial" w:cs="Arial" w:eastAsia="Arial" w:hAnsi="Arial"/>
          <w:sz w:val="22"/>
          <w:szCs w:val="22"/>
          <w:color w:val="auto"/>
        </w:rPr>
      </w:pPr>
    </w:p>
    <w:p>
      <w:pPr>
        <w:ind w:left="660" w:right="300" w:hanging="328"/>
        <w:spacing w:after="0" w:line="225" w:lineRule="auto"/>
        <w:tabs>
          <w:tab w:leader="none" w:pos="655" w:val="left"/>
        </w:tabs>
        <w:numPr>
          <w:ilvl w:val="0"/>
          <w:numId w:val="20"/>
        </w:numPr>
        <w:rPr>
          <w:rFonts w:ascii="Arial" w:cs="Arial" w:eastAsia="Arial" w:hAnsi="Arial"/>
          <w:sz w:val="22"/>
          <w:szCs w:val="22"/>
          <w:color w:val="auto"/>
        </w:rPr>
      </w:pPr>
      <w:r>
        <w:rPr>
          <w:rFonts w:ascii="Arial" w:cs="Arial" w:eastAsia="Arial" w:hAnsi="Arial"/>
          <w:sz w:val="18"/>
          <w:szCs w:val="18"/>
          <w:color w:val="auto"/>
        </w:rPr>
        <w:t>enter into arrangements with competitors that could impair our ability to source their products, including by giving our competitors exclusivity arrangements or limiting our access to certain resources;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raise the prices they charge us;</w:t>
      </w:r>
    </w:p>
    <w:p>
      <w:pPr>
        <w:spacing w:after="0" w:line="13" w:lineRule="exact"/>
        <w:rPr>
          <w:rFonts w:ascii="Arial" w:cs="Arial" w:eastAsia="Arial" w:hAnsi="Arial"/>
          <w:sz w:val="22"/>
          <w:szCs w:val="22"/>
          <w:color w:val="auto"/>
        </w:rPr>
      </w:pPr>
    </w:p>
    <w:p>
      <w:pPr>
        <w:ind w:left="660" w:right="180" w:hanging="328"/>
        <w:spacing w:after="0" w:line="225" w:lineRule="auto"/>
        <w:tabs>
          <w:tab w:leader="none" w:pos="655" w:val="left"/>
        </w:tabs>
        <w:numPr>
          <w:ilvl w:val="0"/>
          <w:numId w:val="20"/>
        </w:numPr>
        <w:rPr>
          <w:rFonts w:ascii="Arial" w:cs="Arial" w:eastAsia="Arial" w:hAnsi="Arial"/>
          <w:sz w:val="22"/>
          <w:szCs w:val="22"/>
          <w:color w:val="auto"/>
        </w:rPr>
      </w:pPr>
      <w:r>
        <w:rPr>
          <w:rFonts w:ascii="Arial" w:cs="Arial" w:eastAsia="Arial" w:hAnsi="Arial"/>
          <w:sz w:val="18"/>
          <w:szCs w:val="18"/>
          <w:color w:val="auto"/>
        </w:rPr>
        <w:t>change pricing terms to require us to pay on delivery or upfront, including as a result of changes in the credit relationships some of our suppliers have with their various lending institutions; or</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lengthen their lead times.</w:t>
      </w:r>
    </w:p>
    <w:p>
      <w:pPr>
        <w:spacing w:after="0" w:line="21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Events that adversely impact our suppliers could impair our ability to obtain adequate and timely supplies. Such events include, among others, difficulties or problems associated with our suppliers’ businesses, their financial instability and labor problems, resource quality and safety issues, natural or man-made disasters, inclement weather conditions, war, acts of terrorism and other political instability, economic conditions, shipment issues, the availability of their raw materials, and increased production costs. Our suppliers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natural diamonds are sourced from approved mines in countries ranked according to risk based on the Gemstones and Jewellery Community Platform Index for Conflict-Affected and High Risk Areas. A majority of the world’s supply of rough diamonds is controlled by a small number of diamond mining firms. Furthermore, Our Beyond Conflict Free</w:t>
      </w:r>
      <w:r>
        <w:rPr>
          <w:rFonts w:ascii="Arial" w:cs="Arial" w:eastAsia="Arial" w:hAnsi="Arial"/>
          <w:sz w:val="20"/>
          <w:szCs w:val="20"/>
          <w:color w:val="auto"/>
          <w:vertAlign w:val="superscript"/>
        </w:rPr>
        <w:t>TM</w:t>
      </w:r>
      <w:r>
        <w:rPr>
          <w:rFonts w:ascii="Arial" w:cs="Arial" w:eastAsia="Arial" w:hAnsi="Arial"/>
          <w:sz w:val="17"/>
          <w:szCs w:val="17"/>
          <w:color w:val="auto"/>
        </w:rPr>
        <w:t xml:space="preserve"> Diamonds are sourced from a select group of diamond suppliers with a robust chain of custody protocol for their diamonds and are required to source diamonds that originate from specific mine operations or specific countries that have demonstrated their commitment to follow internationally recognized labor, trade, and environmental standards. As a result, any decisions made to restrict the supply of rough diamonds by these firms to our suppliers of Beyond Conflict Free</w:t>
      </w:r>
      <w:r>
        <w:rPr>
          <w:rFonts w:ascii="Arial" w:cs="Arial" w:eastAsia="Arial" w:hAnsi="Arial"/>
          <w:sz w:val="10"/>
          <w:szCs w:val="10"/>
          <w:color w:val="auto"/>
        </w:rPr>
        <w:t>TM</w:t>
      </w:r>
      <w:r>
        <w:rPr>
          <w:rFonts w:ascii="Arial" w:cs="Arial" w:eastAsia="Arial" w:hAnsi="Arial"/>
          <w:sz w:val="17"/>
          <w:szCs w:val="17"/>
          <w:color w:val="auto"/>
        </w:rPr>
        <w:t xml:space="preserve"> Diamonds could substantially impair our ability to acquire such diamonds at commercially reasonable prices, if at all. Generally, diamond prices depend on the attributes of the diamond. Similarly, we craft our gold and silver fine jewelry from primarily recycled precious metals, and we work with our suppliers to source recycled platinum when available and from refiners that are known to use recycled materials in their platinum products.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resources, increased custom duties and tariffs, unforeseen delays in customs clearance of goods, more restrictive quotas, loss of a most favored nation trading status, currency exchange rates, transportation delays, port of entry issues and foreign government regulations, political instability, and economic uncertainties in the countries from which we or our suppliers source our products. Our sourcing operations may also be hurt by health concerns regarding infectious diseases in countries in which our resources are produced. Moreover, negative press or reports about internationally sourced resources may sway public opinion, and thus customer confidence, away from the products sold in our stores. These and other issues affecting our international suppliers or internationally sourced resources could have a material adverse effect on our business, financial condition, and results of operations.</w:t>
      </w:r>
    </w:p>
    <w:p>
      <w:pPr>
        <w:spacing w:after="0" w:line="21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Material changes in the pricing practices of our suppliers could negatively impact our profitability. Our suppliers may also increase their pricing if their raw materials became more expensive. The resources used to manufacture our products are subject to availability constraints and price volatility. Our suppliers may pass the increase in sourcing costs to us through price increases, thereby impacting our margins. Moreover, many suppliers and manufacturers of diamonds, as well as retailers of diamonds and diamond jewelry, are vertically integrated, and we expect they will continue to vertically integrate their operations either by developing retail channels for the products they manufacture or acquiring sources of supply, including, without limitation, diamond mining operations. To the extent such vertical integration efforts are successful, some of the fragmentation in the existing diamond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could be eliminated, our ability to obtain an adequate supply of diamonds and fine jewelry from multiple sources could be limited, and our competitors may be able to obtain diamonds at lower prices.</w:t>
      </w:r>
    </w:p>
    <w:p>
      <w:pPr>
        <w:spacing w:after="0" w:line="19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addition, some of our suppliers may not have the capacity to supply us with sufficient resources to keep pace with our growth plans, especially if we plan to manufacturer significantly greater amounts of inventory. In such cases, our ability to pursue our growth strategy will depend in part upon our ability to develop new supplier relationships. 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182"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We rely on a limited number of suppliers to supply the majority of the resources to our products and are thus exposed to concentration of supplier risk. If we were to lose any significant supplier, we may be unable to establish additional or replacement sources for our products that meet our quality controls and standards in a timely manner or on commercially reasonable terms, if at all.</w:t>
      </w:r>
    </w:p>
    <w:p>
      <w:pPr>
        <w:spacing w:after="0" w:line="21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rely on our suppliers, third-party carriers, and third-party jewelers as part of our fulfillment process, and these third parties may fail to adequately serve our customers.</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significantly rely on our suppliers to promptly ship us diamonds and other fine jewelry ordered by our customers. Any failure by our suppliers to sell and ship such products to us in a timely manner will have an adverse effect on our ability to fulfill customer orders and harm our business and results of operations. Our suppliers, in turn, rely on third-party carriers to ship products to us, and in some cases, directly to our customers. We also rely on a limited number of third-party carriers to deliver inventory to us and product shipments to our customers. We and our suppliers are therefore subject to the risks, including employee strikes, inclement weather, power outages, national disasters, rising fuel costs, and financial constraints associated with such carriers’ abilities to provide delivery services to meet our and our suppliers’ shipping needs. In addition, for some customer orders we rely on third-party jewelers to assemble and ship the product. Our suppliers’, third-party carriers’, or third-party jewelers’ failure to deliver high-quality products to us or our customers in a timely manner or to otherwise adequately serve our customers would damage our reputation and brand, and substantially harm our business and results of operations.</w:t>
      </w:r>
    </w:p>
    <w:p>
      <w:pPr>
        <w:spacing w:after="0" w:line="21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We rely on a limited number of contract manufacturers and logistics partners for our products. A loss of any of these partners could negatively affect our business.</w:t>
      </w:r>
    </w:p>
    <w:p>
      <w:pPr>
        <w:spacing w:after="0" w:line="210"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We rely on a limited number of contract manufacturers and logistics partners to manufacture and transport our products. In the event of interruption from any of our contract manufacturers, we may not be able to increase capacity from other sources or develop alternate or secondary sources without incurring material additional costs and substantial delays. Our contract manufacturers’ primary facilities are principally located in the U.S., India, Mexico, and Thailand, and furthermore are geographically concentrated in limited regions of each. Thus, our business could be adversely affected if one or more of our manufacturers is impacted by a natural disaster, an epidemic such as the COVID-19 pandemic, or other interruption at a particular location. Such interruptions may be due to, among other things, temporary closures of our facilities or those of our contract manufacturers, and other vendors in our supply chain; restrictions on travel or the import/export of goods and services from certain ports that we use; and local quarantines.</w:t>
      </w:r>
    </w:p>
    <w:p>
      <w:pPr>
        <w:spacing w:after="0" w:line="190"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If we experience a significant increase in demand for our products that cannot be satisfied adequately through our existing manufacturing channels, or if we need to replace an existing manufacturer, we may be unable to supplement or replace them on terms that are acceptable to us, which may undermine our ability to deliver our products in a timely manner. For example, if we require additional manufacturing support, it may take a significant amount of time to identify a manufacturer that has the capability and resources to build our products to our specifications in sufficient volume. Identifying suitable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contract manufacturers or logistics partners could have an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We rely on third parties for elements of the payment processing infrastructure underlying our business and are subject to risks related to online payment methods.</w:t>
      </w:r>
    </w:p>
    <w:p>
      <w:pPr>
        <w:spacing w:after="0" w:line="198"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convenient payment mechanisms provided by our business are key factors contributing to the development of our business. We rely on third parties for elements of our payment processing infrastructure to accept payments from customers and remit payments to suppliers. These third parties may refuse to renew our agreements with them on commercially reasonable terms or at all. If these companies become unwilling or unable to provide these services to us on acceptable terms or at all, our business may be disrupted. For certain payment methods, including credit and debit cards, and third-party financing sources,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20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Future failures of the payment processing infrastructure underlying our business could cause customers to lose trust in our payment operations and could cause them to instead turn to our competitors’ products and services. If the quality or convenience of our payment processing infrastructure declines as a result of these limitations or for any other reason, the attractiveness of our business to customers could be adversely affected. If we are forced to migrate to other third-party payment service providers for any reason, the transition would require significant time and management resources, and may not be as effective, efficient, or well-received by our customers.</w:t>
      </w:r>
    </w:p>
    <w:p>
      <w:pPr>
        <w:spacing w:after="0" w:line="21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As our business changes, we also may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facilitate other types of online payments. If any of these events were to occur, our business, financial condition, and results of operations could be materially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occasionally receive orders placed with fraudulent credit card or other payment data, including stolen credit card numbers, or from clients who have closed bank accounts or have insufficient funds in open bank accounts to satisfy payment obligations. We may suffer losses as a result of orders placed with fraudulent credit card data or other fraudulent payment date even if the associated financial institution approved payment of the orders. Under current credit card practices and the practices of our other payment processing partners, we may be liable for fraudulent credit card or other payment transactions. If we are unable to detect or control credit card or other fraud, our liability for these transactions could harm our business, financial condition, and results of operations.</w:t>
      </w:r>
    </w:p>
    <w:p>
      <w:pPr>
        <w:spacing w:after="0" w:line="21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Our business relies on third party providers of cloud services, and any disruption of, or interference with, our use of cloud services could adversely affect our business, financial condition, or results of operations.</w:t>
      </w:r>
    </w:p>
    <w:p>
      <w:pPr>
        <w:spacing w:after="0" w:line="19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outsource substantially all of our core cloud infrastructure services to third-party providers, including Amazon Web Services, Salesforce and Oracle. The third-party providers provide the cloud computing infrastructure we use to host our website and mobile apps, serve our customers, and support our operations and many of the internal tools we use to operate our business. Our website, mobile apps, and internal tools use computing, storage, data transfer, and other functions and services provided by third parties. We do not have control over the operations of the facilities of the third-party providers that we use. The third-party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 facilities without adequate notice or other unanticipated problems or disruptions could result in lengthy interruptions to our business. All of the aforementioned risks may be exacerbated if our business continuity and disaster recovery plans prove to be inadequate.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Additionally, data stored with any third-party provider is vulnerable to experiencing cyberattacks from computer malware, ransomware, viruses, social engineering (including phishing attacks), denial-of-service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services, including due to any failure by us to properly configure our third-party provider environment. Our business’ continuing and uninterrupted performance is critical to our success. Customers may become dissatisfied by any system failure that interrupts our ability to provide our products and services to them. We may not be able to easily switch our current operations to another cloud or other data center provider if there are disruptions or interference with our use of a third-party provider, and, even if we do switch our operations, other cloud and data center providers are subject to the same risks. Sustained or repeated system failures would reduce the attractiveness of our products and services, harm our reputation, and potentially reduce net sales. Moreover, negative publicity arising from these types of disruptions could damage our reputation and may adversely impact our business. For more information, see “—We rely heavily on our information technology systems, as well as those of our third-party vendors and service providers, for our business to effectively operate and to safeguard confidential information and any significant failure, inadequacy or interruption of these systems, security breaches or loss of data could materially adversely affect our business, financial condition and operations.”</w:t>
      </w:r>
    </w:p>
    <w:p>
      <w:pPr>
        <w:spacing w:after="0" w:line="21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third-party providers do not have an obligation to renew their agreements with us on terms acceptable to us or at all. Although alternative data center providers could host our business on a substantially similar basis to our current third-party providers, transitioning our current cloud infrastructure to alternative providers could potentially be disruptive, and we could incur significant one-time costs. If we are unable to renew our agreement with our third-party providers on commercially acceptable terms, if our agreements with our third-party providers are prematurely terminated, or if we add additional infrastructure providers, we may experience costs or downtime in connection with the transfer to, or the addition of, new data center providers. If any of our infrastructure providers increase the costs of their services, our business, financial condition, or results of operations could be materially and adversely affected.</w:t>
      </w:r>
    </w:p>
    <w:p>
      <w:pPr>
        <w:spacing w:after="0" w:line="218" w:lineRule="exact"/>
        <w:rPr>
          <w:sz w:val="20"/>
          <w:szCs w:val="20"/>
          <w:color w:val="auto"/>
        </w:rPr>
      </w:pPr>
    </w:p>
    <w:p>
      <w:pPr>
        <w:ind w:right="80"/>
        <w:spacing w:after="0"/>
        <w:rPr>
          <w:sz w:val="20"/>
          <w:szCs w:val="20"/>
          <w:color w:val="auto"/>
        </w:rPr>
      </w:pPr>
      <w:r>
        <w:rPr>
          <w:rFonts w:ascii="Arial" w:cs="Arial" w:eastAsia="Arial" w:hAnsi="Arial"/>
          <w:sz w:val="18"/>
          <w:szCs w:val="18"/>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spacing w:after="0" w:line="216"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We procure third-party insurance policies to cover various operations-related risks, including employment practices liability, workers’ compensation, property and casualty, cybersecurity, directors’ and officers’ liability, and general business liabilities. We rely on a limited number of insurance providers, and should such providers discontinue or increase the cost of coverage, we cannot guarantee that we would be able to secure replacement coverage on reasonable terms or at all. If our insurance carriers change the terms of our policies in a manner not favorable to us, our insurance costs could increase, and our ability to adequately ensure the risks to our business could be impaired. A substantial amount of our inventory is in the custody of third parties such as our manufacturing partners, at any given time, and we are reliant on the adequacy of their insurance policies to cover potential loss or damage of our inventory in the custody of third parties. Any failure of such insurance policies to cover an event of loss or damage to inventory in the custody of third parties may result in a material loss to us.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19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If the amount of one or more operations-related claims were to exceed our applicable aggregate coverage limits, we would bear the excess, in addition to amounts already incurred in connection with deductibles, self-insured retentions, co-insurance, or otherwise paid by our insurance policy.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243"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b w:val="1"/>
          <w:bCs w:val="1"/>
          <w:i w:val="1"/>
          <w:iCs w:val="1"/>
          <w:color w:val="auto"/>
        </w:rPr>
        <w:t>Our principal asset is our interest in Brilliant Earth, LLC, and, as a result, we depend on distributions from Brilliant Earth, LLC to pay our taxes and expenses, including payments under the Tax Receivable Agreement (as defined herein). Brilliant Earth, LLC’s ability to make such distributions may be subject to various limitations and restrictions.</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a holding company and have no material assets other than our ownership of LLC Interests (as defined herein). As such, we have no independent means of generating revenue or cash flow, and our ability to pay our taxes and operating expenses or declare and pay dividends in the future, if any, will be dependent upon the financial results and cash flows of Brilliant Earth, LLC and distributions we receive from Brilliant Earth, LLC. There can be no assurance that Brilliant Earth, LLC will generate sufficient cash flow to distribute funds to us or that applicable state law and contractual restrictions, including negative covenants in any applicable debt instruments, will permit such distributions. Brilliant Earth, LLC is currently subject to debt instruments or other agreements that restrict its ability to make distributions to us, which may in turn affect Brilliant Earth, LLC’s ability to pay distributions to us and thereby adversely affect our cash flows.</w:t>
      </w:r>
    </w:p>
    <w:p>
      <w:pPr>
        <w:spacing w:after="0" w:line="216"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 xml:space="preserve">Brilliant Earth, LLC is treated as a partnership for U.S. federal income tax purposes and, as such, generally is not subject to any entity-level U.S. federal income tax. Instead, any taxable income of Brilliant Earth, LLC is allocated to holders of LLC Interests, including us. Accordingly, we incur income taxes on our allocable share of any net taxable income of Brilliant Earth, LLC. Under the terms of the Brilliant Earth LLC Agreement, Brilliant Earth, LLC is obligated, subject to various limitations and restrictions, including with respect to our debt agreements, to make tax distributions to holders of LLC Interests, including us. In addition to tax expenses, we will also incur expenses related to our operations, including payments under the Tax Receivable Agreement, which </w:t>
      </w:r>
      <w:r>
        <w:rPr>
          <w:rFonts w:ascii="Arial" w:cs="Arial" w:eastAsia="Arial" w:hAnsi="Arial"/>
          <w:sz w:val="19"/>
          <w:szCs w:val="19"/>
          <w:color w:val="auto"/>
        </w:rPr>
        <w:t>we expect will be significant.</w:t>
      </w:r>
      <w:r>
        <w:rPr>
          <w:rFonts w:ascii="Arial" w:cs="Arial" w:eastAsia="Arial" w:hAnsi="Arial"/>
          <w:sz w:val="16"/>
          <w:szCs w:val="16"/>
          <w:color w:val="auto"/>
        </w:rPr>
        <w:t xml:space="preserve"> We intend, as its managing member, to cause Brilliant Earth, LLC to make cash distributions to the holders of LLC Interests in an amount sufficient to (1) fund all or part of their tax obligations in respect of taxable income allocated to them and (2) cover our operating expenses, including payments under the Tax Receivable Agreement. However, Brilliant Earth, LLC’s ability to make such distributions may be subject to various limitations and restrictions, such as restrictions on distributions that would either violate any contract or agreement to which Brilliant Earth, LLC is then a party, including debt agreements, or any applicable law, or that would have the effect of rendering Brilliant Earth,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In addition, if Brilliant Earth, LLC does not have sufficient funds to make distributions, our ability to declare and pay cash dividends will also be restricted or impaired, although we do not anticipate declaring or paying any cash dividends on our Class A common stock and Class D common stock in the foreseeable future.</w:t>
      </w:r>
    </w:p>
    <w:p>
      <w:pPr>
        <w:spacing w:after="0" w:line="200" w:lineRule="exact"/>
        <w:rPr>
          <w:sz w:val="20"/>
          <w:szCs w:val="20"/>
          <w:color w:val="auto"/>
        </w:rPr>
      </w:pPr>
    </w:p>
    <w:p>
      <w:pPr>
        <w:spacing w:after="0" w:line="21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Under the Brilliant Earth LLC Agreement, we intend to cause Brilliant Earth, LLC, from time to time, to make distributions in cash to its equityholders (including us) in amounts sufficient to cover the taxes imposed on their allocable share of taxable income of Brilliant Earth, LLC. As a result of (1) potential differences in the amount of net taxable income allocable to us and to Brilliant Earth, LLC’s other equityholders, (2) the lower tax rate applicable to corporations as opposed to individuals, and (3) certain tax benefits that we anticipate from (a) future purchases or redemptions of LLC Interests from the Continuing Equity Owners, (b) payments under the Tax Receivable Agreement and (c) any acquisition of interests in Brilliant Earth, LLC from other equityholders in connection with the consummation of the Reorganization Transactions (as defined herein), these tax distributions may be in amounts that exceed our tax liabilities. Our board of directors will determine the appropriate uses for any excess cash so accumulated, which may include, among other uses, the payment of a cash dividend on our Class A common stock and Class D common stock, the payment of obligations under the Tax Receivable Agreement, the declaration of a stock dividend on our Class A common stock and Class D common stock, along with the purchase of a corresponding number of common units in Brilliant Earth, LLC, or the purchase of additional common units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Brilliant Earth, LLC, along with a recapitalization of all of the outstanding common units in Brilliant Earth, LLC and the payment of other expenses. We have no obligation to distribute such cash (or other available cash) to our stockholders. No adjustments to the exchange ratio for LLC Interests and corresponding shares of Class A common stock or Class D common stock, as applicable, will be made as a result of any cash distribution by us or any retention of cash by us. To the extent we do not distribute such excess cash as dividends on our Class A common stock or Class D common stock, or otherwise use the cash as described above, we may take other actions with respect to such excess cash, for example, holding such excess cash, or lending it (or a portion thereof) to Brilliant Earth, LLC, which may result in shares of our Class A common stock and Class D common stock increasing in value relative to the value of LLC Interests. The holders of LLC Interests may benefit from any value attributable to such cash balances if they acquire shares of Class A common stock or Class D common stock, as applicable, in exchange for their LLC Interests, notwithstanding that such holders may have participated previously as holders of LLC Interests in distributions that resulted in such excess cash balances.</w:t>
      </w:r>
    </w:p>
    <w:p>
      <w:pPr>
        <w:spacing w:after="0" w:line="21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The Tax Receivable Agreement with the Continuing Equity Owners requires us to make cash payments to them in respect of certain tax benefits to which we may become entitled, and we expect that such payments will be substantial.</w:t>
      </w:r>
    </w:p>
    <w:p>
      <w:pPr>
        <w:spacing w:after="0" w:line="19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connection with the consummation of our initial public offering of our Class A common stock, we entered into a Tax Receivable Agreement with Brilliant Earth, LLC and each of the Continuing Equity Owners (as defined herein). Under the Tax Receivable Agreement, we are required to make cash payments to the Continuing Equity Owners equal to 85% of the tax benefits, if any, that we actually realize, or in certain circumstances are deemed to realize, as a result of (1) increases in Brilliant Earth Group, Inc.’s allocable share of the tax basis of Brilliant Earth, LLC’s assets resulting from (a) Brilliant Earth Group, Inc.’s purchase of LLC Interests from each Continuing Equity Owner, (b) any future redemptions or exchanges of LLC Interests for Class A common stock or Class D common stock (or cash), and (c) certain distributions (or deemed distributions) by Brilliant Earth, LLC; and (2) certain tax benefits arising from payments under the Tax Receivable Agreement. We expect that the amount of the cash payments we will be required to make under the Tax Receivable Agreement will be substantial. Any payments made by us to the Continuing Equity Owners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resulting in the acceleration of payments due under the Tax Receivable Agreement. Payments under the Tax Receivable Agreement are not conditioned upon continued ownership of Brilliant Earth, LLC by the exchanging Continuing Equity Owners.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The actual increase in tax basis, and the actual utilization of any resulting tax benefits, as well as the amount and timing of any payments under the Tax Receivable Agreement, will vary depending upon a number of factors: 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01"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Continuing Equity Owners that will not benefit holders of our Class A common stock to the same extent that they will benefit the Continuing Equity Owners.</w:t>
      </w:r>
    </w:p>
    <w:p>
      <w:pPr>
        <w:spacing w:after="0" w:line="17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Continuing Equity Owners that will not benefit the holders of our Class A common stock to the same extent that it will benefit the Continuing Equity Owners. We entered into the Tax Receivable Agreement with Brilliant Earth, LLC and the Continuing Equity Owners in connection with the completion of our initial public offering and the Reorganization Transactions. The Tax Receivable Agreement provides for the payment by us to the Continuing Equity Owners of 85% of the amount of tax benefits, if any, that we actually realize, or in some circumstances are deemed to realize, as a result of (1) increases in Brilliant Earth Group, Inc.’s allocable share of the tax basis of Brilliant Earth, LLC’s assets resulting from (a) Brilliant Earth Group, Inc.’s purchase of LLC Interests from each Continuing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Owner, (b) any future redemptions or exchanges of LLC Interests for Class A common stock or Class D common stock (or cash), and (c) certain distributions (or deemed distributions) by Brilliant Earth, LLC; and (2) certain tax benefits arising from payments under the Tax Receivable Agreement. Although we will retain 15% of the amount of such tax benefits, this and other aspects of our organizational structure may adversely impact the future trading market for our Class A common stock.</w:t>
      </w:r>
    </w:p>
    <w:p>
      <w:pPr>
        <w:spacing w:after="0" w:line="21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Continuing Equity Owners may be accelerated or significantly exceed any actual benefits we realize in respect of the tax attributes subject to the Tax Receivable Agreement.</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Tax Receivable Agreement provides that if (1) we materially breach any of our material obligations under the Tax Receivable Agreement, (2) certain mergers, asset sales, other forms of business combinations or other changes of control occur after the consummation of our initial public offering, or (3) we elect an early termination of the Tax Receivable Agreement, then our obligations, or our successor’s obligations, under the Tax Receivable Agreement to make payments will be determined based on certain assumptions, including an assumption that we will have sufficient taxable income to fully utilize all potential future tax benefits that are subject to the Tax Receivable Agreement.</w:t>
      </w:r>
    </w:p>
    <w:p>
      <w:pPr>
        <w:spacing w:after="0" w:line="20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As a result of the foregoing, we would be required to make an immediate cash payment equal to the present value of the anticipated future tax benefits that are the subject of the Tax Receivable Agreement, based on certain assumptions (including that we earn sufficient taxable income to realize all potential tax benefits that are subject to the Tax Receivable Agreement), which payment may be made significantly in advance of the actual realization, if any, of such future tax benefits. Such cash payment to the Continuing Equity Owners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196"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Equity Owners under the Tax Receivable Agreement in the event that any tax benefits are disallowed.</w:t>
      </w:r>
    </w:p>
    <w:p>
      <w:pPr>
        <w:spacing w:after="0" w:line="21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Payments under the Tax Receivable Agreement are based on the tax reporting positions that we determine, and the U.S. Internal Revenue Service (the “IRS”), or another tax authority, may challenge all or part of the tax basis increases or other tax benefits we claim, as well as other related tax positions we take, and a court could sustain such challenge. If the outcome of any such challenge would reasonably be expected to adversely affect the rights and obligations of Mainsail (as defined herein) or Just Rocks (as defined herein) in any material respect under the Tax Receivable Agreement, then we will not be permitted to settle such challenge without the consent (not to be unreasonably withheld or delayed) of Mainsail or Just Rocks, as applicable. The interests of Mainsail and Just Rocks in any such challenge may differ from or conflict with our interests and your interests, and Mainsail and Just Rocks may exercise their consent rights relating to any such challenge in a manner adverse to our interests and your interests. We will not be reimbursed for any cash payments previously made to the Continuing Equity Owners under the Tax Receivable Agreement in the event that any tax benefits initially claimed by us and for which payment has been made to a Continuing Equity Owner are subsequently challenged by a taxing authority and are ultimately disallowed. Instead, any excess cash payments made by us to a Continuing Equity Owner will be netted against future cash payments, if any, that we might otherwise be required to make to such Continuing Equity Owner, under the terms of the Tax Receivable Agreement. However, we might not determine that we have effectively made an excess cash payment to a Continuing Equity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positions. As a result, payments could be made under the Tax Receivable Agreement significantly in excess of any actual cash tax savings that we realize in respect of the tax attributes with respect to a Continuing Equity Owner that are the subject of the Tax Receivable Agreement.</w:t>
      </w:r>
    </w:p>
    <w:p>
      <w:pPr>
        <w:spacing w:after="0" w:line="17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Changes in effective tax rates or adverse outcomes resulting from examination of our income or other tax returns could adversely affect our results of operations and financial condition.</w:t>
      </w:r>
    </w:p>
    <w:p>
      <w:pPr>
        <w:spacing w:after="0" w:line="19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are subject to taxation by U.S. federal, state, local, and foreign tax authorities. Our future effective tax rates could be subject to volatility or adversely affected by a number of factors, including:</w:t>
      </w:r>
    </w:p>
    <w:p>
      <w:pPr>
        <w:spacing w:after="0" w:line="21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allocation of expenses to and among different jurisdictions;</w:t>
      </w:r>
    </w:p>
    <w:p>
      <w:pPr>
        <w:spacing w:after="0" w:line="12" w:lineRule="exact"/>
        <w:rPr>
          <w:rFonts w:ascii="Arial" w:cs="Arial" w:eastAsia="Arial" w:hAnsi="Arial"/>
          <w:sz w:val="22"/>
          <w:szCs w:val="22"/>
          <w:color w:val="auto"/>
        </w:rPr>
      </w:pPr>
    </w:p>
    <w:p>
      <w:pPr>
        <w:ind w:left="660" w:right="360" w:hanging="328"/>
        <w:spacing w:after="0" w:line="250" w:lineRule="auto"/>
        <w:tabs>
          <w:tab w:leader="none" w:pos="655" w:val="left"/>
        </w:tabs>
        <w:numPr>
          <w:ilvl w:val="0"/>
          <w:numId w:val="21"/>
        </w:numPr>
        <w:rPr>
          <w:rFonts w:ascii="Arial" w:cs="Arial" w:eastAsia="Arial" w:hAnsi="Arial"/>
          <w:sz w:val="19"/>
          <w:szCs w:val="19"/>
          <w:color w:val="auto"/>
        </w:rPr>
      </w:pPr>
      <w:r>
        <w:rPr>
          <w:rFonts w:ascii="Arial" w:cs="Arial" w:eastAsia="Arial" w:hAnsi="Arial"/>
          <w:sz w:val="16"/>
          <w:szCs w:val="16"/>
          <w:color w:val="auto"/>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ind w:left="660" w:hanging="328"/>
        <w:spacing w:after="0" w:line="230"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expected timing and amount of the release of any tax valuation allowances;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tax effects of stock-based compensation;</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costs related to intercompany reorganization;</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changes in tax laws, tax treaties, regulations or interpretations thereof;</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outcome of current and future tax audits, examinations, or administrative appeals;</w:t>
      </w:r>
    </w:p>
    <w:p>
      <w:pPr>
        <w:spacing w:after="0" w:line="12" w:lineRule="exact"/>
        <w:rPr>
          <w:rFonts w:ascii="Arial" w:cs="Arial" w:eastAsia="Arial" w:hAnsi="Arial"/>
          <w:sz w:val="22"/>
          <w:szCs w:val="22"/>
          <w:color w:val="auto"/>
        </w:rPr>
      </w:pPr>
    </w:p>
    <w:p>
      <w:pPr>
        <w:ind w:left="660" w:right="520" w:hanging="328"/>
        <w:spacing w:after="0" w:line="225"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 and</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limitations or adverse findings regarding our ability to do business in some jurisdictions.</w:t>
      </w:r>
    </w:p>
    <w:p>
      <w:pPr>
        <w:spacing w:after="0" w:line="2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Any changes in U.S. or foreign taxation may increase our worldwide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w:t>
      </w:r>
    </w:p>
    <w:p>
      <w:pPr>
        <w:spacing w:after="0" w:line="191"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(the “1940 Act”), including as a result of our ownership of Brilliant Earth, LLC, applicable restrictions could make it impractical for us to continue our business as contemplated and could have a material adverse effect on our business.</w:t>
      </w:r>
    </w:p>
    <w:p>
      <w:pPr>
        <w:spacing w:after="0" w:line="21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86"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We and Brilliant Earth, LLC intend to conduct our operations so that we will not be deemed an investment company. As the sole managing member of Brilliant Earth, LLC, we control and operate Brilliant Earth, LLC. On that basis, we believe that our interest in Brilliant Earth, LLC is not an “investment security” as that term is used in the 1940 Act. However, if we were to cease participation in the management of Brilliant Earth, LLC, or if Brilliant Earth, LLC itself becomes an investment company, our interest in Brilliant Earth, LLC could be deemed an “investment security” for purposes of the 1940 Act.</w:t>
      </w:r>
    </w:p>
    <w:p>
      <w:pPr>
        <w:spacing w:after="0" w:line="18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We and Brilliant Earth, LLC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Class A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Continuing Equity Owners have significant influence over us, including control over decisions that require the approval of stockholders.</w:t>
      </w:r>
    </w:p>
    <w:p>
      <w:pPr>
        <w:spacing w:after="0" w:line="26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Continuing Equity Owners control, in aggregate, approximately 98.2% of the voting power represented by all our outstanding classes of stock. As a result, the Continuing Equity Owners exercise significant influence 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 The directors that the Continuing Equity Owners have the ability to elect through their voting power have the authority to incur additional debt, issue or repurchase stock, declare dividends, and make other decisions that could be detrimental to stockholders.</w:t>
      </w:r>
    </w:p>
    <w:p>
      <w:pPr>
        <w:spacing w:after="0" w:line="21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Certain members of our board are appointed by and/or affiliated with the Continuing Equity Owners. The Continuing Equity Owners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Continuing Equity Owners may have an adverse effect on the price of our Class A common stock. The Continuing Equity Owners may have interests that are different from yours and may vote in a way with which other stockholders disagree and that may be adverse to interests of our other stockholders.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change significantly and you could lose all or part of your investment as a result.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price of shares of our Class A common stock may fluctuate based on</w:t>
      </w:r>
    </w:p>
    <w:p>
      <w:pPr>
        <w:spacing w:after="0" w:line="25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technology changes, changes in consumer behavior in our industry;</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security breaches related to our systems or those of our affiliates or strategic partners;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changes in economic conditions for companies in our industry;</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changes in market valuations of, or earnings and other announcements by, companies in our industry;</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declines in the market prices of stocks generally, particularly those of jewelry and consumer retail;</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strategic actions by us or our competitors;</w:t>
      </w:r>
    </w:p>
    <w:p>
      <w:pPr>
        <w:spacing w:after="0" w:line="12" w:lineRule="exact"/>
        <w:rPr>
          <w:rFonts w:ascii="Arial" w:cs="Arial" w:eastAsia="Arial" w:hAnsi="Arial"/>
          <w:sz w:val="22"/>
          <w:szCs w:val="22"/>
          <w:color w:val="auto"/>
        </w:rPr>
      </w:pPr>
    </w:p>
    <w:p>
      <w:pPr>
        <w:ind w:left="660" w:right="160" w:hanging="328"/>
        <w:spacing w:after="0" w:line="218"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color w:val="auto"/>
        </w:rPr>
        <w:t>announcements by us, our competitors or our strategic partners of significant contracts, new products, acquisitions, joint marketing relationships, joint ventures, other strategic relationships, or capital commitments;</w:t>
      </w:r>
    </w:p>
    <w:p>
      <w:pPr>
        <w:spacing w:after="0" w:line="14" w:lineRule="exact"/>
        <w:rPr>
          <w:rFonts w:ascii="Arial" w:cs="Arial" w:eastAsia="Arial" w:hAnsi="Arial"/>
          <w:sz w:val="22"/>
          <w:szCs w:val="22"/>
          <w:color w:val="auto"/>
        </w:rPr>
      </w:pPr>
    </w:p>
    <w:p>
      <w:pPr>
        <w:ind w:left="660" w:right="580" w:hanging="328"/>
        <w:spacing w:after="0" w:line="225"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color w:val="auto"/>
        </w:rPr>
        <w:t>changes in general economic or market conditions or trends in our industry or the economy as a whole and, in particular, in the jewelry and consumer retail environment;</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changes in business or regulatory conditions;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future sales of our Class A common stock or other securities;</w:t>
      </w:r>
    </w:p>
    <w:p>
      <w:pPr>
        <w:spacing w:after="0" w:line="10" w:lineRule="exact"/>
        <w:rPr>
          <w:rFonts w:ascii="Arial" w:cs="Arial" w:eastAsia="Arial" w:hAnsi="Arial"/>
          <w:sz w:val="22"/>
          <w:szCs w:val="22"/>
          <w:color w:val="auto"/>
        </w:rPr>
      </w:pPr>
    </w:p>
    <w:p>
      <w:pPr>
        <w:ind w:left="660" w:hanging="328"/>
        <w:spacing w:after="0" w:line="231" w:lineRule="auto"/>
        <w:tabs>
          <w:tab w:leader="none" w:pos="660" w:val="left"/>
        </w:tabs>
        <w:numPr>
          <w:ilvl w:val="0"/>
          <w:numId w:val="22"/>
        </w:numPr>
        <w:rPr>
          <w:rFonts w:ascii="Arial" w:cs="Arial" w:eastAsia="Arial" w:hAnsi="Arial"/>
          <w:sz w:val="21"/>
          <w:szCs w:val="21"/>
          <w:color w:val="auto"/>
        </w:rPr>
      </w:pPr>
      <w:r>
        <w:rPr>
          <w:rFonts w:ascii="Arial" w:cs="Arial" w:eastAsia="Arial" w:hAnsi="Arial"/>
          <w:sz w:val="17"/>
          <w:szCs w:val="17"/>
          <w:color w:val="auto"/>
        </w:rPr>
        <w:t>investor perceptions of the investment opportunity associated with our Class A common stock relative to other investment alternatives;</w:t>
      </w:r>
    </w:p>
    <w:p>
      <w:pPr>
        <w:spacing w:after="0" w:line="10" w:lineRule="exact"/>
        <w:rPr>
          <w:rFonts w:ascii="Arial" w:cs="Arial" w:eastAsia="Arial" w:hAnsi="Arial"/>
          <w:sz w:val="21"/>
          <w:szCs w:val="21"/>
          <w:color w:val="auto"/>
        </w:rPr>
      </w:pPr>
    </w:p>
    <w:p>
      <w:pPr>
        <w:ind w:left="660" w:hanging="328"/>
        <w:spacing w:after="0" w:line="221"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announcements relating to litigation or governmental investigations;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development and sustainability of an active trading market for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changes in accounting principles; and</w:t>
      </w:r>
    </w:p>
    <w:p>
      <w:pPr>
        <w:spacing w:after="0" w:line="12" w:lineRule="exact"/>
        <w:rPr>
          <w:rFonts w:ascii="Arial" w:cs="Arial" w:eastAsia="Arial" w:hAnsi="Arial"/>
          <w:sz w:val="22"/>
          <w:szCs w:val="22"/>
          <w:color w:val="auto"/>
        </w:rPr>
      </w:pPr>
    </w:p>
    <w:p>
      <w:pPr>
        <w:ind w:left="660" w:right="60" w:hanging="328"/>
        <w:spacing w:after="0" w:line="225"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18"/>
          <w:szCs w:val="18"/>
          <w:color w:val="auto"/>
        </w:rPr>
        <w:t>other events or factors, including those resulting from system failures and disruptions, natural disasters, war or threats of war, acts of terrorism, an outbreak of highly infectious or contagious diseases, or responses to these events.</w:t>
      </w:r>
    </w:p>
    <w:p>
      <w:pPr>
        <w:spacing w:after="0" w:line="217"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74"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become involved in securities litigation, it could have a substantial cost and divert resources and the attention of management from our business regardless of the outcome of such litigation.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effect our multi-class structure may have on the market price of our Class A common stock.</w:t>
      </w:r>
    </w:p>
    <w:p>
      <w:pPr>
        <w:spacing w:after="0" w:line="23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cannot predict whether our multi-class structure will result in a lower or more volatile market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multi-class structure of our stock would make us ineligible for inclusion in certain indices and, as a result, mutual funds, exchange-traded funds and other investment vehicles that attempt to track those indices would not invest in our Class A common stock. These policies may depress valuations, compared to similar companies that are included.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 “controlled company” within the meaning of the rules of the Nasdaq Stock Market LLC (“Nasdaq”) and, as a result, qualify for exemptions</w:t>
      </w:r>
    </w:p>
    <w:p>
      <w:pPr>
        <w:spacing w:after="0" w:line="4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i w:val="1"/>
          <w:iCs w:val="1"/>
          <w:color w:val="auto"/>
        </w:rPr>
        <w:t>from certain corporate governance requirements and holders of our Class A common stock may not have the same protections afforded to stockholders of companies that are subject to such corporate governance requirements.</w:t>
      </w:r>
    </w:p>
    <w:p>
      <w:pPr>
        <w:spacing w:after="0" w:line="18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Mainsail and our Founders (as defined herein) have more than 50% of the voting power for the election of directors, and, as a result, we are considered a “controlled company” for the purposes of the corporate governance rules of Nasdaq. As such, we qualify for exemptions from certain corporate governance requirements, including the requirements to have a majority of independent directors on our board of directors, an entirely independent nominating and corporate governance committee, an entirely independent compensation committee or to perform annual performance evaluations of the nominating and corporate governance and compensation committees.</w:t>
      </w:r>
    </w:p>
    <w:p>
      <w:pPr>
        <w:spacing w:after="0" w:line="21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corporate governance requirements and specifically the independence standards are intended to ensure that directors who are considered independent are free of any conflicting interest that could influence their actions as directors. As a result, we are not subject to certain corporate governance requirements, including that a majority of our board of directors consists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conduct annual performance evaluations of the nominating and corporate governance and compensation committees. While currently, five of the seven directors on our Board are independent under the Nasdaq Rules, and our Audit Committee, Compensation Committee, and Nominating and Corporate Governance Committee each consists entirely of independent directors under the Nasdaq Rules, we may utilize certain exemptions afforded to a “controlled company” in the future.</w:t>
      </w:r>
    </w:p>
    <w:p>
      <w:pPr>
        <w:spacing w:after="0" w:line="21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Accordingly, holders of our Class A common stock may not have the same protections afforded to stockholders of companies that are subject to all of the corporate governance requirements of Nasdaq. Our status as a controlled company could make our Class A common stock less attractive to some investors or otherwise harm our stock price.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provisions of Delaware law and antitakeover provisions in our organizational documents could delay or prevent a change of control.</w:t>
      </w:r>
    </w:p>
    <w:p>
      <w:pPr>
        <w:spacing w:after="0" w:line="248"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23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a classified board of directors with staggered three-year terms;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ability of our board of directors to issue one or more series of preferred stock;</w:t>
      </w:r>
    </w:p>
    <w:p>
      <w:pPr>
        <w:spacing w:after="0" w:line="12" w:lineRule="exact"/>
        <w:rPr>
          <w:rFonts w:ascii="Arial" w:cs="Arial" w:eastAsia="Arial" w:hAnsi="Arial"/>
          <w:sz w:val="22"/>
          <w:szCs w:val="22"/>
          <w:color w:val="auto"/>
        </w:rPr>
      </w:pPr>
    </w:p>
    <w:p>
      <w:pPr>
        <w:jc w:val="both"/>
        <w:ind w:left="660" w:right="160" w:hanging="328"/>
        <w:spacing w:after="0" w:line="230"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at any time when Mainsail and our Founders beneficially own, in the aggregate, at least a majority of the voting power of our outstanding capital stock, our stockholders may take action by consent without a meeting, and at any time when Mainsail and our Founders beneficially own, in the aggregate, less than the majority of the voting power of our outstanding capital stock, our stockholders may not take action by consent, but may only take action at a meeting of stockholders;</w:t>
      </w:r>
    </w:p>
    <w:p>
      <w:pPr>
        <w:spacing w:after="0" w:line="12" w:lineRule="exact"/>
        <w:rPr>
          <w:rFonts w:ascii="Arial" w:cs="Arial" w:eastAsia="Arial" w:hAnsi="Arial"/>
          <w:sz w:val="22"/>
          <w:szCs w:val="22"/>
          <w:color w:val="auto"/>
        </w:rPr>
      </w:pPr>
    </w:p>
    <w:p>
      <w:pPr>
        <w:ind w:left="660" w:right="300" w:hanging="328"/>
        <w:spacing w:after="0" w:line="225"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vacancies on our board of directors will be able to be filled only by our board of directors and not by stockholders, subject to the rights granted pursuant to the stockholders agreement;</w:t>
      </w:r>
    </w:p>
    <w:p>
      <w:pPr>
        <w:spacing w:after="0" w:line="14" w:lineRule="exact"/>
        <w:rPr>
          <w:rFonts w:ascii="Arial" w:cs="Arial" w:eastAsia="Arial" w:hAnsi="Arial"/>
          <w:sz w:val="22"/>
          <w:szCs w:val="22"/>
          <w:color w:val="auto"/>
        </w:rPr>
      </w:pPr>
    </w:p>
    <w:p>
      <w:pPr>
        <w:ind w:left="660" w:hanging="328"/>
        <w:spacing w:after="0" w:line="250" w:lineRule="auto"/>
        <w:tabs>
          <w:tab w:leader="none" w:pos="655" w:val="left"/>
        </w:tabs>
        <w:numPr>
          <w:ilvl w:val="0"/>
          <w:numId w:val="24"/>
        </w:numPr>
        <w:rPr>
          <w:rFonts w:ascii="Arial" w:cs="Arial" w:eastAsia="Arial" w:hAnsi="Arial"/>
          <w:sz w:val="19"/>
          <w:szCs w:val="19"/>
          <w:color w:val="auto"/>
        </w:rPr>
      </w:pPr>
      <w:r>
        <w:rPr>
          <w:rFonts w:ascii="Arial" w:cs="Arial" w:eastAsia="Arial" w:hAnsi="Arial"/>
          <w:sz w:val="16"/>
          <w:szCs w:val="16"/>
          <w:color w:val="auto"/>
        </w:rPr>
        <w:t>advance notice procedures apply for stockholders (other than the parties to our stockholders agreement for nominations made pursuant to the terms of the stockholders agreement) to nominate candidates for election as directors or to bring matters before an annual meeting of stockholders;</w:t>
      </w:r>
    </w:p>
    <w:p>
      <w:pPr>
        <w:ind w:left="660" w:hanging="328"/>
        <w:spacing w:after="0" w:line="230"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inability of our stockholders to call a special meeting of stockholders;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prohibit cumulative voting in the election of directors;</w:t>
      </w:r>
    </w:p>
    <w:p>
      <w:pPr>
        <w:spacing w:after="0" w:line="12" w:lineRule="exact"/>
        <w:rPr>
          <w:rFonts w:ascii="Arial" w:cs="Arial" w:eastAsia="Arial" w:hAnsi="Arial"/>
          <w:sz w:val="22"/>
          <w:szCs w:val="22"/>
          <w:color w:val="auto"/>
        </w:rPr>
      </w:pPr>
    </w:p>
    <w:p>
      <w:pPr>
        <w:ind w:left="660" w:right="20" w:hanging="328"/>
        <w:spacing w:after="0" w:line="262" w:lineRule="auto"/>
        <w:tabs>
          <w:tab w:leader="none" w:pos="655" w:val="left"/>
        </w:tabs>
        <w:numPr>
          <w:ilvl w:val="0"/>
          <w:numId w:val="24"/>
        </w:numPr>
        <w:rPr>
          <w:rFonts w:ascii="Arial" w:cs="Arial" w:eastAsia="Arial" w:hAnsi="Arial"/>
          <w:sz w:val="19"/>
          <w:szCs w:val="19"/>
          <w:color w:val="auto"/>
        </w:rPr>
      </w:pPr>
      <w:r>
        <w:rPr>
          <w:rFonts w:ascii="Arial" w:cs="Arial" w:eastAsia="Arial" w:hAnsi="Arial"/>
          <w:sz w:val="16"/>
          <w:szCs w:val="16"/>
          <w:color w:val="auto"/>
        </w:rPr>
        <w:t>at any time when Mainsail and our Founders beneficially own, in the aggregate, at least a majority of the voting power of our outstanding capital stock, directors may be removed at any time with or without cause upon the affirmative vote of the holders of capital stock representing a majority of the voting power of our outstanding shares of capital stock entitled to vote thereon, and at any time when Mainsail and our Founders beneficially own, in the aggregate, less than the majority of the voting power of our outstanding shares of capital stock entitled to vote generally in the election of directors, in the aggregate, directors may only be removed for cause and only upon the affirmative vote of at least 66 2/3% of the holders of capital stock representing the voting power of our outstanding shares of capital stock entitled to vote thereon; and</w:t>
      </w:r>
    </w:p>
    <w:p>
      <w:pPr>
        <w:spacing w:after="0" w:line="12" w:lineRule="exact"/>
        <w:rPr>
          <w:rFonts w:ascii="Arial" w:cs="Arial" w:eastAsia="Arial" w:hAnsi="Arial"/>
          <w:sz w:val="19"/>
          <w:szCs w:val="19"/>
          <w:color w:val="auto"/>
        </w:rPr>
      </w:pPr>
    </w:p>
    <w:p>
      <w:pPr>
        <w:ind w:left="660" w:right="60" w:hanging="328"/>
        <w:spacing w:after="0" w:line="225"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that certain provisions of amended and restated certificate of incorporation may be amended only by the affirmative vote of at least 66 2/3% of the voting power represented by our then-outstanding common stock.</w:t>
      </w:r>
    </w:p>
    <w:p>
      <w:pPr>
        <w:spacing w:after="0" w:line="21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8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In addition, we have opted out of Section 203 of the General Corporation Law of the State of Delaware (the “DGCL”), but our amended and restated certificate of incorporation provides that engaging in any of a broad range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of business combinations with any “interested” stockholder (generally defined as any stockholder with 15% or more of our voting stock) for a period of three years following the date on which the stockholder became an “interested” stockholder is prohibited, subject to certain exceptions.</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The JOBS Act allows us to postpone the date by which we must comply with certain laws and regulations intended to protect investors and to reduce the amount of information we provide in our reports filed with the SEC. This reduced disclosure may make our Class A common stock less attractive to investors.</w:t>
      </w:r>
    </w:p>
    <w:p>
      <w:pPr>
        <w:spacing w:after="0" w:line="209"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The JOBS Act is intended to reduce the regulatory burden on “emerging growth companies.” As defined in the JOBS Act, a public company whose initial public offering of common equity securities occurs after December 8, 2011, and whose annual net sales are less than $1.235 billion will, in general, qualify as an “emerging growth company” until the earliest of:</w:t>
      </w:r>
    </w:p>
    <w:p>
      <w:pPr>
        <w:spacing w:after="0" w:line="21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last day of its fiscal year in which it has annual gross revenue of $1.235 billion or more;</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date on which it has, during the previous three-year period, issued more than $1.235 billion in nonconvertible debt; and</w:t>
      </w:r>
    </w:p>
    <w:p>
      <w:pPr>
        <w:spacing w:after="0" w:line="12" w:lineRule="exact"/>
        <w:rPr>
          <w:rFonts w:ascii="Arial" w:cs="Arial" w:eastAsia="Arial" w:hAnsi="Arial"/>
          <w:sz w:val="22"/>
          <w:szCs w:val="22"/>
          <w:color w:val="auto"/>
        </w:rPr>
      </w:pPr>
    </w:p>
    <w:p>
      <w:pPr>
        <w:ind w:left="660" w:right="80" w:hanging="328"/>
        <w:spacing w:after="0" w:line="210" w:lineRule="exact"/>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date on which it is deemed to be a “large accelerated filer,” which will occur at such time as the company (1) has an aggregate worldwide market value of common equity securities held by non</w:t>
      </w:r>
      <w:r>
        <w:rPr>
          <w:rFonts w:ascii="MS PGothic" w:cs="MS PGothic" w:eastAsia="MS PGothic" w:hAnsi="MS PGothic"/>
          <w:sz w:val="18"/>
          <w:szCs w:val="18"/>
          <w:color w:val="auto"/>
        </w:rPr>
        <w:t>‑</w:t>
      </w:r>
      <w:r>
        <w:rPr>
          <w:rFonts w:ascii="Arial" w:cs="Arial" w:eastAsia="Arial" w:hAnsi="Arial"/>
          <w:sz w:val="18"/>
          <w:szCs w:val="18"/>
          <w:color w:val="auto"/>
        </w:rPr>
        <w:t>affiliates of $700 million or more as of the last business day of its most recently completed second fiscal quarter, (2) has been required to file annual and quarterly reports under the Exchange, for a period of at least 12 months, and (3) has filed at least one annual report pursuant to the Exchange Act.</w:t>
      </w:r>
    </w:p>
    <w:p>
      <w:pPr>
        <w:spacing w:after="0" w:line="2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Under this definition, we are an “emerging growth company” and could remain an “emerging growth company” until as late as December 31, 2026. For so long as we are an “emerging growth company,” we will, among other things:</w:t>
      </w:r>
    </w:p>
    <w:p>
      <w:pPr>
        <w:spacing w:after="0" w:line="21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not be required to comply with the auditor attestation requirements of Section 404(b) of the Sarbanes-Oxley Act;</w:t>
      </w:r>
    </w:p>
    <w:p>
      <w:pPr>
        <w:spacing w:after="0" w:line="10" w:lineRule="exact"/>
        <w:rPr>
          <w:rFonts w:ascii="Arial" w:cs="Arial" w:eastAsia="Arial" w:hAnsi="Arial"/>
          <w:sz w:val="22"/>
          <w:szCs w:val="22"/>
          <w:color w:val="auto"/>
        </w:rPr>
      </w:pPr>
    </w:p>
    <w:p>
      <w:pPr>
        <w:ind w:left="660" w:hanging="328"/>
        <w:spacing w:after="0" w:line="231" w:lineRule="auto"/>
        <w:tabs>
          <w:tab w:leader="none" w:pos="660" w:val="left"/>
        </w:tabs>
        <w:numPr>
          <w:ilvl w:val="0"/>
          <w:numId w:val="26"/>
        </w:numPr>
        <w:rPr>
          <w:rFonts w:ascii="Arial" w:cs="Arial" w:eastAsia="Arial" w:hAnsi="Arial"/>
          <w:sz w:val="21"/>
          <w:szCs w:val="21"/>
          <w:color w:val="auto"/>
        </w:rPr>
      </w:pPr>
      <w:r>
        <w:rPr>
          <w:rFonts w:ascii="Arial" w:cs="Arial" w:eastAsia="Arial" w:hAnsi="Arial"/>
          <w:sz w:val="17"/>
          <w:szCs w:val="17"/>
          <w:color w:val="auto"/>
        </w:rPr>
        <w:t>not be required to hold a nonbinding advisory stockholder vote on executive compensation pursuant to Section 14A(a) of the Exchange Act;</w:t>
      </w:r>
    </w:p>
    <w:p>
      <w:pPr>
        <w:spacing w:after="0" w:line="13" w:lineRule="exact"/>
        <w:rPr>
          <w:rFonts w:ascii="Arial" w:cs="Arial" w:eastAsia="Arial" w:hAnsi="Arial"/>
          <w:sz w:val="21"/>
          <w:szCs w:val="21"/>
          <w:color w:val="auto"/>
        </w:rPr>
      </w:pPr>
    </w:p>
    <w:p>
      <w:pPr>
        <w:ind w:left="660" w:right="620" w:hanging="328"/>
        <w:spacing w:after="0" w:line="225"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not be required to seek stockholder approval of any golden parachute payments not previously approved pursuant to Section 14A(b) of the Exchange Act;</w:t>
      </w:r>
    </w:p>
    <w:p>
      <w:pPr>
        <w:spacing w:after="0" w:line="1" w:lineRule="exact"/>
        <w:rPr>
          <w:rFonts w:ascii="Arial" w:cs="Arial" w:eastAsia="Arial" w:hAnsi="Arial"/>
          <w:sz w:val="22"/>
          <w:szCs w:val="22"/>
          <w:color w:val="auto"/>
        </w:rPr>
      </w:pPr>
    </w:p>
    <w:p>
      <w:pPr>
        <w:ind w:left="660" w:right="60" w:hanging="328"/>
        <w:spacing w:after="0" w:line="225"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be exempt from the requirement of the Public Company Accounting Oversight Board, regarding the communication of critical audit matters in the auditor’s report on the financial statements; and</w:t>
      </w:r>
    </w:p>
    <w:p>
      <w:pPr>
        <w:ind w:left="660" w:hanging="328"/>
        <w:spacing w:after="0" w:line="230"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be subject to reduced disclosure obligations regarding executive compensation in our periodic reports and proxy statements.</w:t>
      </w:r>
    </w:p>
    <w:p>
      <w:pPr>
        <w:spacing w:after="0" w:line="21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We have elected to use this extended transition period and, as a result, our audited consolidated financial statements may not be comparable to the financial statements of issuers who are required to comply with the effective dates for new or revised accounting standards that are applicable to public companies.</w:t>
      </w:r>
    </w:p>
    <w:p>
      <w:pPr>
        <w:spacing w:after="0" w:line="201"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Investors may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580"/>
        <w:spacing w:after="0" w:line="362" w:lineRule="auto"/>
        <w:rPr>
          <w:sz w:val="20"/>
          <w:szCs w:val="20"/>
          <w:color w:val="auto"/>
        </w:rPr>
      </w:pPr>
      <w:r>
        <w:rPr>
          <w:rFonts w:ascii="Arial" w:cs="Arial" w:eastAsia="Arial" w:hAnsi="Arial"/>
          <w:sz w:val="15"/>
          <w:szCs w:val="15"/>
          <w:b w:val="1"/>
          <w:bCs w:val="1"/>
          <w:i w:val="1"/>
          <w:iCs w:val="1"/>
          <w:color w:val="auto"/>
        </w:rPr>
        <w:t>Pursuant to the Dodd-Frank Act and SEC rules, we must file public disclosures regarding the country of origin of certain supplies, which could damage our reputation or impact our ability to obtain merchandise if customers or other stakeholders react negatively to our disclosures.</w:t>
      </w:r>
    </w:p>
    <w:p>
      <w:pPr>
        <w:spacing w:after="0" w:line="128"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In August 2012, the SEC, pursuant to the Dodd-Frank Wall Street Reform and Consumer Protection Act (“Dodd-Frank Act”), issued final rules, which require annual disclosure and reporting on the source and use of certain minerals, including gold, from the Democratic Republic of Congo and adjoining countries. The gold supply chain is complex and, while management believes that the rules currently cover less than 1% of annual worldwide gold production (based upon recent estimates), the final rules require us and other affected companies that file with the SEC to make specified country of origin inquiries of our suppliers, and otherwise to exercise reasonable due diligence in determining the country of origin and certain other information relating to any of the statutorily designated minerals (gold, tin, tantalum, and tungsten), that are used in products sold by us in the U.S. and elsewhere.</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There may be reputational risks associated with any potential negative response of our customers and other stakeholders to future disclosures by us in the event that, due to the complexity of the global supply chain, we are unable to sufficiently verify the origin of the relevant metals. Also, if future responses to verification requests by suppliers of any of the covered minerals used in our products are inadequate or adverse, our ability to obtain merchandise may be impaired, and its compliance costs may increase. The final rules also cover tungsten and tin, which are contained in a small proportion of items that are sold by us. It is possible that other minerals, such as diamonds, could be subject to similar rules.</w:t>
      </w:r>
    </w:p>
    <w:p>
      <w:pPr>
        <w:spacing w:after="0" w:line="201"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will be the sole and exclusive forum for certain stockholder litigation matters and the federal district courts of the U.S.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199"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21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184"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The trading market for our Class A common stock relies in part on the research and reports that industry or financial analysts publish about us or our business. We do not control these analysts. If one or more of the analysts who cover us downgrade our stock or our industry, or the stock of any of our competitors, or publish inaccurate or unfavorable research about our business, the price of our stock could decline. If one or more of these analysts stops covering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or fails to publish reports on us regularly, we could lose visibility in the market, which, in turn, could cause our stock price or trading volume to decline.</w:t>
      </w:r>
    </w:p>
    <w:p>
      <w:pPr>
        <w:spacing w:after="0" w:line="262"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7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our audited consolidated financial statements and accompanying notes appearing elsewhere in this Annual Report on Form 10-K. Actual results could differ materially from these</w:t>
      </w:r>
    </w:p>
    <w:p>
      <w:pPr>
        <w:spacing w:after="0" w:line="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estimates. We base our estimates on historical experience and on various other assumptions that we believe to be reasonable under the circumstances, as provided in the section of this Annual Report on Form 10-K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including revenue-related reserves; legal contingencies; valuation of our common stock and equity awards; income taxes; and sales and indirect tax reserves.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1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could cause the market price for our Class A common stock to decline.</w:t>
      </w:r>
    </w:p>
    <w:p>
      <w:pPr>
        <w:spacing w:after="0" w:line="21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209"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As of December 31, 2022, we have outstanding a total of 11,246,694 shares of Class A common stock. Of the outstanding shares, the 9,583,332 shares of Class A common stock sold in our initial public offering are freely tradable without restriction or further registration under the Securities Act, other than any shares held by our affiliates. Any shares of Class A common stock held by our affiliates will be eligible for resale pursuant to Rule 144 under the Securities Act, subject to the volume, manner of sale, holding period and other limitations of Rule 144.</w:t>
      </w: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addition, as of December 31, 2022, we have reserved 11,404,638 shares of Class A common stock for issuance under our 2021 Incentive Award Plan and 1,734,731 shares of Class A common stock for issuance under our Employee Stock Purchase Plan. Any Class A common stock that we issue under the 2021 Incentive Award Plan, the Employee Stock Purchase Plan, or other equity incentive plans that we may adopt in the future would dilute your percentage ownership in our Class A common stock.</w:t>
      </w:r>
    </w:p>
    <w:p>
      <w:pPr>
        <w:spacing w:after="0" w:line="21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191"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had, and may in the future continue to have, a material adverse impact on our business.</w:t>
      </w:r>
    </w:p>
    <w:p>
      <w:pPr>
        <w:spacing w:after="0" w:line="239" w:lineRule="exact"/>
        <w:rPr>
          <w:sz w:val="20"/>
          <w:szCs w:val="20"/>
          <w:color w:val="auto"/>
        </w:rPr>
      </w:pPr>
    </w:p>
    <w:p>
      <w:pPr>
        <w:ind w:right="3740"/>
        <w:spacing w:after="0" w:line="274" w:lineRule="auto"/>
        <w:rPr>
          <w:sz w:val="20"/>
          <w:szCs w:val="20"/>
          <w:color w:val="auto"/>
        </w:rPr>
      </w:pPr>
      <w:r>
        <w:rPr>
          <w:rFonts w:ascii="Arial" w:cs="Arial" w:eastAsia="Arial" w:hAnsi="Arial"/>
          <w:sz w:val="16"/>
          <w:szCs w:val="16"/>
          <w:color w:val="auto"/>
        </w:rPr>
        <w:t>The COVID-19 pandemic continues to evolve, with pockets of resurgence and the emergence of variant strains contributing to continued uncertainty about its scope, duration, severity, trajectory, and lasting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impact. The effects of the COVID-19 pandemic in 2020 and 2021, including actions taken by governments and the private sector to contain the spread of</w:t>
      </w:r>
    </w:p>
    <w:p>
      <w:pPr>
        <w:spacing w:after="0" w:line="4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virus adversely affected global economies, financial markets, and the overall environment for our business, and the extent to which it may continue to impact our future results of operations and overall financial performance remains uncertain. The global macroeconomic effects of the pandemic may persist for an indefinite period of time, even though the pandemic has subsided.</w:t>
      </w:r>
    </w:p>
    <w:p>
      <w:pPr>
        <w:spacing w:after="0" w:line="236"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 scope and duration of the pandemic, including any current or future resurgences, or whether additional government actions are taken to contain the virus, the impact on our customers and suppliers, the speed and extent to which markets recover from the disruptions caused by the pandemic, and the impact of these factors on our business, will depend on future developments that are highly uncertain and cannot be predicted with confidence. In addition, the global deterioration in economic conditions could also impact our business. For instance steps taken by the federal government and the Federal Reserve in response to the COVID-19 pandemic have led and continue to lead to higher inflation which has led to and could continue to lead to an increase in our costs of products and services and other operating expenses. In addition, to the extent COVID-19 adversely affects our operations and global economic conditions more generally, it may also have the effect of heightening many of the other risks described herein.</w:t>
      </w:r>
    </w:p>
    <w:p>
      <w:pPr>
        <w:spacing w:after="0" w:line="190"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b w:val="1"/>
          <w:bCs w:val="1"/>
          <w:i w:val="1"/>
          <w:iCs w:val="1"/>
          <w:color w:val="auto"/>
        </w:rPr>
        <w:t>As a public reporting company, we are subject to rules and regulations established from time to time by the SEC and Nasdaq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9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61"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We are required to furnish a report by management on, among other things, the effectiveness of our internal control over financial reporting pursuant to Section 404(a) of the Sarbanes-Oxley Act in our annual reports. This assessment must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As described above, we could potentially qualify as an “emerging growth company” until as late as December 31, 2026. At such time, our independent registered public accounting firm may issue a report that is adverse in the event it is not satisfied with the level at which our internal control over financial reporting is documented, designed or operating.</w:t>
      </w:r>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We have incurred and expect to continue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completeness of our financial reports, we may face restricted access to the capital markets and our stock price may be adversely affected.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continue to incur significant costs as a result of operating as a public company.</w:t>
      </w:r>
    </w:p>
    <w:p>
      <w:pPr>
        <w:spacing w:after="0" w:line="252"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We are subject to the reporting requirements of the Exchange Act, the Sarbanes-Oxley Act, the Dodd-Frank Act, the listing requirements of the Nasdaq Global Market and other applicable securities laws and regulations. The expenses incurred by public companies generally for reporting and corporate governance purposes have been increasing. We expect these rules and regulations to increase our legal and financial compliance costs and to make some activities more difficult, time-consuming and costly, although we are currently unable to estimate these costs with any degree of certainty. As a newly public company and being subject to new rules and regulations, it has become more expensive for us to obtain director and officer liability and other types of insurance and we may in the future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Our principal executive offices are located in San Francisco, CA and Denver, CO. We lease retail showroom, office and operational locations. As of December 31, 2022, we have 25 showrooms and one operations center in the United States.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w w:val="99"/>
              </w:rPr>
              <w:t>The table below sets forth certain information regarding these properties, all of which are leased.</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95"/>
        </w:trPr>
        <w:tc>
          <w:tcPr>
            <w:tcW w:w="7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2000" w:type="dxa"/>
            <w:vAlign w:val="bottom"/>
          </w:tcPr>
          <w:p>
            <w:pPr>
              <w:spacing w:after="0"/>
              <w:rPr>
                <w:sz w:val="24"/>
                <w:szCs w:val="24"/>
                <w:color w:val="auto"/>
              </w:rPr>
            </w:pPr>
          </w:p>
        </w:tc>
      </w:tr>
      <w:tr>
        <w:trPr>
          <w:trHeight w:val="234"/>
        </w:trPr>
        <w:tc>
          <w:tcPr>
            <w:tcW w:w="7640" w:type="dxa"/>
            <w:vAlign w:val="bottom"/>
            <w:gridSpan w:val="2"/>
          </w:tcPr>
          <w:p>
            <w:pPr>
              <w:ind w:left="20"/>
              <w:spacing w:after="0"/>
              <w:rPr>
                <w:sz w:val="20"/>
                <w:szCs w:val="20"/>
                <w:color w:val="auto"/>
              </w:rPr>
            </w:pPr>
            <w:r>
              <w:rPr>
                <w:rFonts w:ascii="Arial" w:cs="Arial" w:eastAsia="Arial" w:hAnsi="Arial"/>
                <w:sz w:val="18"/>
                <w:szCs w:val="18"/>
                <w:b w:val="1"/>
                <w:bCs w:val="1"/>
                <w:color w:val="auto"/>
              </w:rPr>
              <w:t>Geographic Location</w:t>
            </w: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Locations</w:t>
            </w:r>
          </w:p>
        </w:tc>
        <w:tc>
          <w:tcPr>
            <w:tcW w:w="2000" w:type="dxa"/>
            <w:vAlign w:val="bottom"/>
          </w:tcPr>
          <w:p>
            <w:pPr>
              <w:jc w:val="right"/>
              <w:ind w:right="310"/>
              <w:spacing w:after="0"/>
              <w:rPr>
                <w:sz w:val="20"/>
                <w:szCs w:val="20"/>
                <w:color w:val="auto"/>
              </w:rPr>
            </w:pPr>
            <w:r>
              <w:rPr>
                <w:rFonts w:ascii="Arial" w:cs="Arial" w:eastAsia="Arial" w:hAnsi="Arial"/>
                <w:sz w:val="18"/>
                <w:szCs w:val="18"/>
                <w:b w:val="1"/>
                <w:bCs w:val="1"/>
                <w:color w:val="auto"/>
              </w:rPr>
              <w:t>Square Footage</w:t>
            </w:r>
          </w:p>
        </w:tc>
      </w:tr>
      <w:tr>
        <w:trPr>
          <w:trHeight w:val="41"/>
        </w:trPr>
        <w:tc>
          <w:tcPr>
            <w:tcW w:w="7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57"/>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Retail Showrooms</w:t>
            </w: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r>
      <w:tr>
        <w:trPr>
          <w:trHeight w:val="24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Arizona</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3,307</w:t>
            </w:r>
          </w:p>
        </w:tc>
      </w:tr>
      <w:tr>
        <w:trPr>
          <w:trHeight w:val="40"/>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21,256</w:t>
            </w:r>
          </w:p>
        </w:tc>
      </w:tr>
      <w:tr>
        <w:trPr>
          <w:trHeight w:val="24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Colorado</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11,153</w:t>
            </w:r>
          </w:p>
        </w:tc>
      </w:tr>
      <w:tr>
        <w:trPr>
          <w:trHeight w:val="41"/>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r>
      <w:tr>
        <w:trPr>
          <w:trHeight w:val="24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2,200</w:t>
            </w:r>
          </w:p>
        </w:tc>
      </w:tr>
      <w:tr>
        <w:trPr>
          <w:trHeight w:val="40"/>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Maryland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6,706</w:t>
            </w:r>
          </w:p>
        </w:tc>
      </w:tr>
      <w:tr>
        <w:trPr>
          <w:trHeight w:val="24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Massachusetts</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3,761</w:t>
            </w:r>
          </w:p>
        </w:tc>
      </w:tr>
      <w:tr>
        <w:trPr>
          <w:trHeight w:val="40"/>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r>
      <w:tr>
        <w:trPr>
          <w:trHeight w:val="24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Minnesota</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3,112</w:t>
            </w:r>
          </w:p>
        </w:tc>
      </w:tr>
      <w:tr>
        <w:trPr>
          <w:trHeight w:val="41"/>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Missouri</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r>
      <w:tr>
        <w:trPr>
          <w:trHeight w:val="24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New York</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2,475</w:t>
            </w:r>
          </w:p>
        </w:tc>
      </w:tr>
      <w:tr>
        <w:trPr>
          <w:trHeight w:val="40"/>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Ohio</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r>
      <w:tr>
        <w:trPr>
          <w:trHeight w:val="24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Oregon</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2,660</w:t>
            </w:r>
          </w:p>
        </w:tc>
      </w:tr>
      <w:tr>
        <w:trPr>
          <w:trHeight w:val="40"/>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r>
      <w:tr>
        <w:trPr>
          <w:trHeight w:val="24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Texas</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9,088</w:t>
            </w:r>
          </w:p>
        </w:tc>
      </w:tr>
      <w:tr>
        <w:trPr>
          <w:trHeight w:val="40"/>
        </w:trPr>
        <w:tc>
          <w:tcPr>
            <w:tcW w:w="7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4"/>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r>
      <w:tr>
        <w:trPr>
          <w:trHeight w:val="24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Washington, D.C.</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4,795</w:t>
            </w:r>
          </w:p>
        </w:tc>
      </w:tr>
      <w:tr>
        <w:trPr>
          <w:trHeight w:val="40"/>
        </w:trPr>
        <w:tc>
          <w:tcPr>
            <w:tcW w:w="75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57"/>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Retail Showrooms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89,469</w:t>
            </w:r>
          </w:p>
        </w:tc>
      </w:tr>
      <w:tr>
        <w:trPr>
          <w:trHeight w:val="256"/>
        </w:trPr>
        <w:tc>
          <w:tcPr>
            <w:tcW w:w="7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64"/>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Operations center</w:t>
            </w: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r>
      <w:tr>
        <w:trPr>
          <w:trHeight w:val="24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Secaucus, New Jersey</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23,817</w:t>
            </w:r>
          </w:p>
        </w:tc>
      </w:tr>
    </w:tbl>
    <w:p>
      <w:pPr>
        <w:spacing w:after="0" w:line="337"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All of our executive offices and retail showrooms are leased from third parties, and our leases generally have a term of 5 years and typically include five-year renewal options. Most of our showroom leases provide for a minimum rent, with escalating rent increases, and generally require us to pay insurance, utilities, real estate taxes and repair and maintenance expenses.</w:t>
      </w:r>
    </w:p>
    <w:p>
      <w:pPr>
        <w:spacing w:after="0" w:line="20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may negotiate new lease agreements, renew existing lease agreements or use alternate facilities prior to lease termination. We believe that our facilities are adequate for our needs and believe that we should be able to renew any of our leases or secure similar property without an adverse impact on our operations.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173" w:lineRule="exact"/>
        <w:rPr>
          <w:sz w:val="20"/>
          <w:szCs w:val="20"/>
          <w:color w:val="auto"/>
        </w:rPr>
      </w:pPr>
    </w:p>
    <w:p>
      <w:pPr>
        <w:ind w:right="580"/>
        <w:spacing w:after="0" w:line="293" w:lineRule="auto"/>
        <w:rPr>
          <w:sz w:val="20"/>
          <w:szCs w:val="20"/>
          <w:color w:val="auto"/>
        </w:rPr>
      </w:pPr>
      <w:r>
        <w:rPr>
          <w:rFonts w:ascii="Arial" w:cs="Arial" w:eastAsia="Arial" w:hAnsi="Arial"/>
          <w:sz w:val="18"/>
          <w:szCs w:val="18"/>
          <w:color w:val="auto"/>
        </w:rPr>
        <w:t>On February 17, 2023, Plaintiff Tanisha Roberson filed a complaint against the Company in the United States District Court for Northern District of Illinois. The complaint alleges, on behalf of a putative class, that the</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color w:val="auto"/>
        </w:rPr>
        <w:t>Company’s “Virtual Try On” feature violates the Illinois Biometric Information Privacy Act. The plaintiff seeks statutory damages, injunctive relief, attorneys’ fees and costs, and other unspecified damages. As of the date of this Annual Report on Form 10-K, the Company’s initial response to the complaint is not yet due. The Company intends to vigorously defend the alleged claims of the plaintiff and the putative class. At this time, any liability related to the alleged claims is not currently probable or reasonably estimable.</w:t>
      </w:r>
    </w:p>
    <w:p>
      <w:pPr>
        <w:spacing w:after="0" w:line="20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On August 26, 2021, Plaintiff Anna Lerman filed a complaint against the Company in California Superior Court for Ventura County. The complaint alleged, on behalf of a putative class, that the Company recorded telephone calls between the Company’s customers and its customer service representatives without the customers’ consent, in violation of the California Invasion of Privacy Act Sections 631 and 632.7. The plaintiff sought statutory damages, injunctive relief, attorneys’ fees and costs, and other unspecified damages. On December 20, 2022, the case was dismissed pursuant to a joint stipulation and order of dismissal.</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Class A common stock began trading on the Nasdaq Global Select Market under the trading symbol “BRLT” on September 23, 2021. There is no established public trading market for our Class B common stock, Class C common stock or Class D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70"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As of March 14, 2023, there were approximately 70 holders of record of our Class A common stock, 29 holders of record of our Class B common stock and 1 holder of record of our Class C common stock. No shares of our Class D common stock are outstanding. Because some of our shares of Class A common stock are held by brokers and institutions on behalf of stockholders, we are unable to estimate the total number of beneficial owners of our Class A common stock represented by these record holders.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70" w:lineRule="exact"/>
        <w:rPr>
          <w:sz w:val="20"/>
          <w:szCs w:val="20"/>
          <w:color w:val="auto"/>
        </w:rPr>
      </w:pPr>
    </w:p>
    <w:p>
      <w:pPr>
        <w:ind w:right="540"/>
        <w:spacing w:after="0" w:line="281" w:lineRule="auto"/>
        <w:rPr>
          <w:sz w:val="20"/>
          <w:szCs w:val="20"/>
          <w:color w:val="auto"/>
        </w:rPr>
      </w:pPr>
      <w:r>
        <w:rPr>
          <w:rFonts w:ascii="Arial" w:cs="Arial" w:eastAsia="Arial" w:hAnsi="Arial"/>
          <w:sz w:val="17"/>
          <w:szCs w:val="17"/>
          <w:color w:val="auto"/>
        </w:rPr>
        <w:t>Since the IPO, we have not declared or paid any cash dividends on our common stock and we do not anticipate declaring or paying any cash dividends on our Class A common stock and Class D common stock in the foreseeable future. Holders of our Class B common stock and Class C common stock are not entitled to participate in any dividends declared by our board of directors. Furthermore, because we are a holding company, our ability to pay cash dividends on our Class A common stock and Class D common stock depends on our receipt of cash distributions from Brilliant Earth, LLC. Our ability to pay dividends is restricted by the terms of the SVB Term Loan Facility and may be restricted by the terms of any future credit agreement, debt or preferred equity securities issued by us. Any future determination as to the declaration and payment of dividends, if any, will be at the discretion of our board of directors, subject to the requirements of applicable law, compliance with contractual restrictions and covenants in the agreements governing our current and future indebtedness. Any such determination will also depend upon our business prospects, results of operations, financial condition, cash requirements and availability, industry trends, and other factors that our board of directors may deem relevant.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 by the Issuer and Affiliated Purchasers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of our equity securities during the year ended December 31,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70"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There were no unregistered sales of our equity securities during the period covered by this Annual Report on Form 10-K and no material change in the expected use of the net proceeds from our IPO, other than as previously disclosed in our Quarterly Reports on Form 10-Q and Current Reports on Form 8-K.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information presented in our audited consolidated financial statements and related notes included elsewhere in this Annual Report on Form 10-K. The following discussion and analysis reflects the historical results of operations and financial position of Brilliant Earth, LLC prior to the Reorganization Transactions on September 22, 2021 and that of Brilliant Earth Group, Inc. and its consolidated subsidiary, Brilliant Earth, LLC, following the completion of the Reorganization Transactions. In addition to historical information, the following discussion contains forward-looking statements, such as statements regarding our expectation for future performance,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“Cautionary Note Regarding Forward-Looking Statements,” and “Risk Factors” in this Annual Report on Form 10-K. We assume no obligation to update any of these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Brilliant Earth is an innovative, digital-first jewelry company, and a global leader in ethically sourced fine jewelry. We offer exclusive designs with superior craftsmanship and supply chain transparency, delivered to customers through a highly personalized omnichannel experience.</w:t>
      </w:r>
    </w:p>
    <w:p>
      <w:pPr>
        <w:spacing w:after="0" w:line="19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mission is to create a more transparent, sustainable, compassionate, and inclusive jewelry industry, and we are proud to offer customers distinctive and thoughtfully designed products that they can truly feel good about wearing.</w:t>
      </w:r>
    </w:p>
    <w:p>
      <w:pPr>
        <w:spacing w:after="0" w:line="19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As of December 31, 2022, Brilliant Earth has sold to consumers in over 50 countries.</w:t>
      </w:r>
    </w:p>
    <w:p>
      <w:pPr>
        <w:spacing w:after="0" w:line="2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Throughout our history, we have invested in technology to create a seamless customer experience, inform our data-driven decision-making, improve efficiencies, and advance our mission. Our technology enables dynamic product visualization, augmented reality try-on, blockchain-enabled transparency, and rapid fulfillment of our flagship Create Your Own product, a custom design process. We leverage powerful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spacing w:after="0" w:line="21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achieved strong financial performance and rapid growth since our founding, and believe we are in the early stages of realizing our potential in a significant market opportunity.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performance for the year ended December 31, 2022:</w:t>
      </w:r>
    </w:p>
    <w:p>
      <w:pPr>
        <w:spacing w:after="0" w:line="25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sales of $439.9 million, up 15.7% from $380.2 million for the year ended December 31,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of $19.0 million compared to $26.3 million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income margin of 4.3% compared to 6.9% for the year ended December 31,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of $39.0 million compared to $50.5 million for the year ended December 31, 2021;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margin of 8.9% compared to 13.3% for the year ended December 31,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operate in one operating and reporting segment, the retail sale of diamonds, gemstones and jewelry.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Purchase of LLC Interests</w:t>
      </w:r>
    </w:p>
    <w:p>
      <w:pPr>
        <w:spacing w:after="0" w:line="239" w:lineRule="exact"/>
        <w:rPr>
          <w:sz w:val="20"/>
          <w:szCs w:val="20"/>
          <w:color w:val="auto"/>
        </w:rPr>
      </w:pPr>
    </w:p>
    <w:p>
      <w:pPr>
        <w:jc w:val="both"/>
        <w:ind w:right="420"/>
        <w:spacing w:after="0" w:line="270" w:lineRule="auto"/>
        <w:rPr>
          <w:sz w:val="20"/>
          <w:szCs w:val="20"/>
          <w:color w:val="auto"/>
        </w:rPr>
      </w:pPr>
      <w:r>
        <w:rPr>
          <w:rFonts w:ascii="Arial" w:cs="Arial" w:eastAsia="Arial" w:hAnsi="Arial"/>
          <w:sz w:val="17"/>
          <w:szCs w:val="17"/>
          <w:color w:val="auto"/>
        </w:rPr>
        <w:t>On September 27, 2021, we completed our IPO of 9,583,332 shares of Class A common stock at an offering price of $12.00 per share, (excluding the underwriting discount), including 1,249,999 shares of Class A common stock issued pursuant to the underwriters’ over-allotment option. We received $101.6 million in proceeds after a deduction for underwriting discounts and offering costs totaling $13.4 million.</w:t>
      </w:r>
    </w:p>
    <w:p>
      <w:pPr>
        <w:spacing w:after="0" w:line="20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net proceeds were used to purchase 8,333,333 newly-issued membership units (the “LLC Units” or “LLC Interests”) from Brilliant Earth, LLC and 1,249,999 LLC Units in the form of a redemption from the Continuing Equity Owners at a price per unit equal to the IPO price of $11.22 per share after deducting the underwriting discount, which represented a 10.1% economic interest as of the IPO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Class F, P and M Units at Time of IPO</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At the time of the IPO, the existing limited liability company agreement of Brilliant Earth, LLC was amended and restated to, among other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things, recapitalize all existing Class F, P and M Units in Brilliant Earth, LLC into 86,297,284 common LLC Units after applying a conversion ratio of</w:t>
      </w:r>
    </w:p>
    <w:p>
      <w:pPr>
        <w:spacing w:after="0" w:line="21"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1.8588 with a further adjustment for a distribution threshold related to the M Units (which impacted their allocation of value so the economic effect of the exchange was a like-for-like value); the net conversion ratio was 1.8942, 1.9080 and 1.7735 for the Class F Units, P Units and M Units, respectively. The number of Class F, P and M Units presented in these financial statements for periods prior to the IPO have been retroactively adjusted to reflect the conversion ratios (as discussed in the preceding sentence) similar to the presentation of a stock-split.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the Reorganization, Offering and Other Transactions Completed in Connection with the IPO</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connection with the IPO, Brilliant Earth Group, Inc. and Brilliant Earth, LLC completed a series of transactions that comprise of reorganization, offering and other financing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Reorganization Transactions which occurred as of the date of IPO:</w:t>
      </w:r>
    </w:p>
    <w:p>
      <w:pPr>
        <w:spacing w:after="0" w:line="252" w:lineRule="exact"/>
        <w:rPr>
          <w:sz w:val="20"/>
          <w:szCs w:val="20"/>
          <w:color w:val="auto"/>
        </w:rPr>
      </w:pPr>
    </w:p>
    <w:p>
      <w:pPr>
        <w:ind w:left="660" w:hanging="328"/>
        <w:spacing w:after="0" w:line="279"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Amended and restated the existing limited liability company agreement of Brilliant Earth, LLC (the “LLC Agreement”), effective prior to the IPO, to, among other things, (1) recapitalize all existing ownership interests in Brilliant Earth, LLC into 86,297,284 LLC Units after applying a conversion ratio of 1.8588, (2) appoint Brilliant Earth Group, Inc. as the sole managing member of Brilliant Earth, LLC upon its acquisition of LLC Units in connection with the IPO, and (3) provide certain redemption rights to the Continuing Equity Owners.</w:t>
      </w:r>
    </w:p>
    <w:p>
      <w:pPr>
        <w:spacing w:after="0" w:line="198" w:lineRule="exact"/>
        <w:rPr>
          <w:rFonts w:ascii="Arial" w:cs="Arial" w:eastAsia="Arial" w:hAnsi="Arial"/>
          <w:sz w:val="17"/>
          <w:szCs w:val="17"/>
          <w:color w:val="auto"/>
        </w:rPr>
      </w:pPr>
    </w:p>
    <w:p>
      <w:pPr>
        <w:ind w:left="660" w:right="18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Amended and restated Brilliant Earth Group, Inc.’s certificate of incorporation to, among other things, provide for four classes of common stock defined as Class A common stock, Class B common stock, Class C common stock and Class D common stock.</w:t>
      </w:r>
    </w:p>
    <w:p>
      <w:pPr>
        <w:spacing w:after="0" w:line="183" w:lineRule="exact"/>
        <w:rPr>
          <w:rFonts w:ascii="Arial" w:cs="Arial" w:eastAsia="Arial" w:hAnsi="Arial"/>
          <w:sz w:val="18"/>
          <w:szCs w:val="18"/>
          <w:color w:val="auto"/>
        </w:rPr>
      </w:pPr>
    </w:p>
    <w:p>
      <w:pPr>
        <w:ind w:left="660" w:right="300" w:hanging="328"/>
        <w:spacing w:after="0" w:line="24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Issued 36,064,421 shares of Class B common stock (prior to the redemption of 522,386 shares pursuant to the exercise of underwriters’ overallotment options discussed below) to the Continuing Equity Owners, excluding the Founders, which is equal to the number of LLC Units held by such Continuing Equity Owners excluding the Founders, for nominal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right="740" w:hanging="328"/>
        <w:spacing w:after="0" w:line="24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Issued 50,232,863 shares of Class C common stock (prior to the redemption of 727,613 shares pursuant to the exercise of underwriters’ overallotment options discussed below) to the Founders, which is equal to the number of LLC Units held by such Founders, for nominal consideration.</w:t>
      </w:r>
    </w:p>
    <w:p>
      <w:pPr>
        <w:spacing w:after="0" w:line="222" w:lineRule="exact"/>
        <w:rPr>
          <w:rFonts w:ascii="Arial" w:cs="Arial" w:eastAsia="Arial" w:hAnsi="Arial"/>
          <w:sz w:val="18"/>
          <w:szCs w:val="18"/>
          <w:color w:val="auto"/>
        </w:rPr>
      </w:pPr>
    </w:p>
    <w:p>
      <w:pPr>
        <w:ind w:left="660" w:right="40" w:hanging="328"/>
        <w:spacing w:after="0" w:line="286"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Entered into the TRA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Brilliant Earth LLC Agreement includes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 cash payment equal to a volume weighted average market price of one share of Class A common stock for each LLC Interest so redeemed, in each case, in accordance with the terms of the Brilliant Earth LLC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IPO and other transactions:</w:t>
      </w:r>
    </w:p>
    <w:p>
      <w:pPr>
        <w:spacing w:after="0" w:line="252" w:lineRule="exact"/>
        <w:rPr>
          <w:sz w:val="20"/>
          <w:szCs w:val="20"/>
          <w:color w:val="auto"/>
        </w:rPr>
      </w:pPr>
    </w:p>
    <w:p>
      <w:pPr>
        <w:ind w:left="660" w:right="1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9,583,332 shares of Class A common stock, including 1,249,999 shares of Class A common stock from the exercise of the underwriters' overallotment option, in exchange for net proceeds of approximately $101.6 million at $12.00 per share, less underwriting discount and offering expenses.</w:t>
      </w:r>
    </w:p>
    <w:p>
      <w:pPr>
        <w:spacing w:after="0" w:line="210" w:lineRule="exact"/>
        <w:rPr>
          <w:rFonts w:ascii="Arial" w:cs="Arial" w:eastAsia="Arial" w:hAnsi="Arial"/>
          <w:sz w:val="18"/>
          <w:szCs w:val="18"/>
          <w:color w:val="auto"/>
        </w:rPr>
      </w:pPr>
    </w:p>
    <w:p>
      <w:pPr>
        <w:ind w:left="660" w:right="340" w:hanging="328"/>
        <w:spacing w:after="0" w:line="308"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Used net proceeds from the IPO to purchase 8,333,333 newly issued LLC Units for approximately $93.5 million directly from Brilliant Earth, LLC at a price per unit equal to the initial public offering price per share of Class A common stock less underwriting discount.</w:t>
      </w:r>
    </w:p>
    <w:p>
      <w:pPr>
        <w:spacing w:after="0" w:line="173" w:lineRule="exact"/>
        <w:rPr>
          <w:rFonts w:ascii="Arial" w:cs="Arial" w:eastAsia="Arial" w:hAnsi="Arial"/>
          <w:sz w:val="17"/>
          <w:szCs w:val="17"/>
          <w:color w:val="auto"/>
        </w:rPr>
      </w:pPr>
    </w:p>
    <w:p>
      <w:pPr>
        <w:ind w:left="660" w:hanging="328"/>
        <w:spacing w:after="0" w:line="301"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Used net proceeds from the exercise of the underwriters’ overallotment option to purchase an additional 1,249,999 LLC Units from each of the Continuing Equity Owners in the form of a redemption on a pro rata basis for $14.0 million in aggregate at a price per unit equal to the initial public offering price per share of Class A common stock less the underwriting discount; this purchase of LLC Interests resulted in an obligation under the TRA, including the related set-up of deferred tax assets on the TRA and on the temporary basis difference associated with this purchase.</w:t>
      </w:r>
    </w:p>
    <w:p>
      <w:pPr>
        <w:spacing w:after="0" w:line="184" w:lineRule="exact"/>
        <w:rPr>
          <w:rFonts w:ascii="Arial" w:cs="Arial" w:eastAsia="Arial" w:hAnsi="Arial"/>
          <w:sz w:val="16"/>
          <w:szCs w:val="16"/>
          <w:color w:val="auto"/>
        </w:rPr>
      </w:pPr>
    </w:p>
    <w:p>
      <w:pPr>
        <w:ind w:left="660" w:right="3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Corresponding cancellation of a total of 1,249,999 shares of Class B common stock and Class C common stock resulting from the purchase of 1,249,999 LLC Units from the Continuing Equity Owners.</w:t>
      </w:r>
    </w:p>
    <w:p>
      <w:pPr>
        <w:spacing w:after="0" w:line="197"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Exercise of warrants on convertible preferred units (“Class P Units”) with a carrying value of $6.4 million as of September 22, 2021 (after the mark-to-market adjustment as of the date of exercise) into 534,589 newly issued LLC Units on a net settlement basis, elected at the option of the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Increase Brand Awareness</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significant investments to strengthen the Brilliant Earth brand through our dynamic marketing strategy, which includes brand marketing campaigns across email, digital, social media, earned media, and media placements and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us to continue to expand across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categories and channels, to deepen relationships with consumers, and to expand our presence in U.S. and international markets.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Cost-Effective Acquisition of New Customers and Retention of Existing Customers.</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in the product categories in which we operate,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acquisition will continue to drive fine jewelry orders from new customers and repeat orders from existing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Continue Expansion of our Omnichannel Strategy</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ability to expand our omnichannel presence to new markets and locations is key to our success. Historically, we have been successful in every new geographic market we have entered, and we are in the early stages of expanding our premium showroom footprint nationwide. We intend to continue leveraging our marketing strategy and growing brand awareness to drive increased qualified consumer traffic to and sales from our website and premium showrooms.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expanding our number of showrooms will drive accelerated growth by increasing our average order value (“AOV”) compared to e-commerce orders, improving conversion in the showrooms’ metro regions compared to pre-opening conversion, and raising our brand awareness. As of December 31, 2022, we have 25 showroom locations. We intend to strategically open showrooms in the future, and we believe we can achieve broad national showroom coverage with far fewer locations than many traditional retailers. We rely on this highly efficient showroom model to complement our digital strategy and to continue to drive growth and profitability.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Successfully Introduce New Products</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customer relationship management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affiliations and brand collaborations will also broaden our existing assortment, reinforce our brand ethos, and feature like-minded designers, which will help to drive both new and repeat purchases.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Expansion</w:t>
      </w:r>
    </w:p>
    <w:p>
      <w:pPr>
        <w:spacing w:after="0" w:line="2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in the early stages of expanding globally, and a larger geographic footprint will help drive future growth. Our early proof-points from localizing our website for Canada, Australia, and the United Kingdom, and our sales to customers from over 50 countries, provide encouraging signs for future global expansion. We see strong potential in launching e-commerce in new overseas 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and Marketing Efficiency</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 unique, asset-light operating model with attractive working capital dynamics, capital-efficient showrooms, and a vast virtual inventory of premium natural and lab-grown diamonds that allows us to offer a broad selection of diamonds while keeping our balance sheet inventory low. This has driven attractive inventory turns and allows us to operate with negative working capital, which we define as our current assets less cash minus our current liabilities. Our showroom strategy avoids the inefficiencies of traditional, retail-first jewelers. Our showrooms are appointment-driven with large catchment regions, so we are less reliant on expensive high foot traffic retail locations. We also curate showroom inventory for scheduled visits and require limited inventory in each location. Our tech-enabled jewelry specialist team supports online customers when not in appointment, maximizing workforce utilization. As we continue to scale our business, our future success is dependent on maintaining this capital efficient operating model and driving continued operational improvement as we expand to new locations both in the U.S. and internationally.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Operating as a Public Company</w:t>
      </w:r>
    </w:p>
    <w:p>
      <w:pPr>
        <w:spacing w:after="0" w:line="25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costs of operating as a public company are significant as we are now subject to the reporting, listing, and compliance requirements of various governing bodies and applicable securities laws and regulations that we were previously not subjected to as a privately-held company. Since becoming a public company, compliance with rules and regulations has increased and may continue to increase our legal, financial, and technology compliance costs, and to make some activities more difficult, time-consuming, and costly. Remaining compliant and satisfying our obligations as a public company, while maintaining forecasted gross margins and operating results, and attracting and retaining qualified persons to serve on our board of directors, our board committees, or as our executive officers will be critical to our future success.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Macroeconomic Trends</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believe we are well-positioned at the intersection of key macro-level trends impacting our industry. Consumers are increasingly becoming more conscious of the products they purchase, seeking brands that stand for sustainability, supply chain transparency, and social and environmental responsibility. This has contributed to our strong brand affinity and loyalty, and further differentiates us from our competitors. Consumers are increasingly favoring seamless omnichannel shopping experiences, and we believe our model is well-suited to satisfy these consumer preferences. The current inflationary environment and changes in macro-level consumer spending trends, due to volatile macro-economic conditions could negatively impact our operating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jc w:val="both"/>
        <w:ind w:right="180"/>
        <w:spacing w:after="0" w:line="286" w:lineRule="auto"/>
        <w:rPr>
          <w:sz w:val="20"/>
          <w:szCs w:val="20"/>
          <w:color w:val="auto"/>
        </w:rPr>
      </w:pPr>
      <w:r>
        <w:rPr>
          <w:rFonts w:ascii="Arial" w:cs="Arial" w:eastAsia="Arial" w:hAnsi="Arial"/>
          <w:sz w:val="16"/>
          <w:szCs w:val="16"/>
          <w:color w:val="auto"/>
        </w:rPr>
        <w:t>Our sales are recorded net of estimated sales returns and allowances and sales taxes collected from customers. Our net sales primarily consist of revenue from diamond, jewelry, and gemstone retail sales through our website and dedicated jewelry specialists via chat, phone, email, virtual appointment, or in our showrooms. Our net sales are derived primarily in the U.S., but we also sell products to customers outside the U.S. Our website platform allows us to sell to a worldwide customer base, even in markets where we do not have a physical presence. Payment for all our sales occurs prior to fulfillment.</w:t>
      </w:r>
    </w:p>
    <w:p>
      <w:pPr>
        <w:spacing w:after="0" w:line="1" w:lineRule="exact"/>
        <w:rPr>
          <w:sz w:val="20"/>
          <w:szCs w:val="20"/>
          <w:color w:val="auto"/>
        </w:rPr>
      </w:pPr>
    </w:p>
    <w:p>
      <w:pPr>
        <w:ind w:right="640"/>
        <w:spacing w:after="0" w:line="290" w:lineRule="auto"/>
        <w:rPr>
          <w:sz w:val="20"/>
          <w:szCs w:val="20"/>
          <w:color w:val="auto"/>
        </w:rPr>
      </w:pPr>
      <w:r>
        <w:rPr>
          <w:rFonts w:ascii="Arial" w:cs="Arial" w:eastAsia="Arial" w:hAnsi="Arial"/>
          <w:sz w:val="17"/>
          <w:szCs w:val="17"/>
          <w:color w:val="auto"/>
        </w:rPr>
        <w:t>Customers pick up the items in our showrooms, or we deliver purchases to customers, with delivery typically within one to two business days after shipment. We recognize revenue upon pick-up or delivery if an order is shipped. We also offer third-party financing options.</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allow for certain returns within 30 days of when an order is available for shipment or pickup. We also provide one complimentary resizing for standard ring styles within 60 days of when an order is available for shipment or pickup, a lifetime manufacturing warranty (except on estate and vintage jewelry and center diamonds/gemstones), and a lifetime diamond upgrade program on all independently-graded natural diamonds. We offer an extended protection plan through a third-party that has terms ranging from two years to lifetime that vary based on the item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 is deferred on transactions where payment has been received from the customer, but control has not yet transferred. Revenue related to customer purchases of our in-house extended service plan are deferred and recognized ratably over the service plan term.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 of sales consists primarily of merchandise costs for the purchase of diamonds and gemstones from our global base of diamond and gemstone suppliers, and the cost of jewelry production from our third-party jewelry manufacturing suppliers. Cost of sales includes merchandise costs, inbound freight charges, and costs of shipping orders to customers. Our cost of sales includes reserves for disposal of obsolete, slow-moving or defective items, and shrinkage, which we estimate and record on a periodic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Selling, general and administrative (“SG&amp;A”) expenses consist primarily of marketing, advertising, and promotional expenses; payroll and related benefit costs for our employees, including equity-based compensation expense; merchant processing fees; certain facility-related costs; customer service; technology; and depreciation and amortization expenses, as well as professional fees, other general corporate expenses, and charitable donations in connection with funding the Brilliant Earth Foundation, a donor advised fund, to support our charitable giving efforts.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primarily consists of interest incurred under the Runway Term Loan Agreement and the SVB Credit Facility (each as defined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Other income (expense), net in prior years consisted primarily of the change in fair value of the warrant liability necessary to mark our warrants to fair market value. The warrant liability was settled at the time of IPO. Other income includes interest and other miscellaneous income, partially offset by expenses such as losses on exchange rates on consumer payments.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5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Income tax benefit represents the federal and state income or franchise taxes assessed on Brilliant Earth Group, Inc.’s share of taxable income (loss)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results of operations data in the following tables for the periods presented have been derived from the audited consolidated financial statements included elsewhere in this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2022 and 2021</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sets forth our statements of operations for the years ended December 31, 2022 and 2021, including amounts and percentages of net sales for each year and the year-to-year change in dollars and percent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Year ended December 31,</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2021</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Year over year change</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Percent</w:t>
            </w:r>
          </w:p>
        </w:tc>
        <w:tc>
          <w:tcPr>
            <w:tcW w:w="20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6"/>
              </w:rPr>
              <w:t>Consolidated statements of operations data*:</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439,882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380,189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59,693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205,591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46.7 %</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192,768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50.7 %</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12,823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17"/>
        </w:trPr>
        <w:tc>
          <w:tcPr>
            <w:tcW w:w="3380" w:type="dxa"/>
            <w:vAlign w:val="bottom"/>
          </w:tcPr>
          <w:p>
            <w:pPr>
              <w:ind w:left="240"/>
              <w:spacing w:after="0"/>
              <w:rPr>
                <w:sz w:val="20"/>
                <w:szCs w:val="20"/>
                <w:color w:val="auto"/>
              </w:rPr>
            </w:pPr>
            <w:r>
              <w:rPr>
                <w:rFonts w:ascii="Arial" w:cs="Arial" w:eastAsia="Arial" w:hAnsi="Arial"/>
                <w:sz w:val="16"/>
                <w:szCs w:val="16"/>
                <w:b w:val="1"/>
                <w:bCs w:val="1"/>
                <w:color w:val="auto"/>
              </w:rPr>
              <w:t>Gross profit</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234,291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53.3 %</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187,421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49.3 %</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46,870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25.0 %</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210,964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147,291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63,673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43.2 %</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Income from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(16,803)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23"/>
        </w:trPr>
        <w:tc>
          <w:tcPr>
            <w:tcW w:w="33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2,931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7,406</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3"/>
        </w:trPr>
        <w:tc>
          <w:tcPr>
            <w:tcW w:w="3380" w:type="dxa"/>
            <w:vAlign w:val="bottom"/>
          </w:tcPr>
          <w:p>
            <w:pPr>
              <w:ind w:left="140"/>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Net income before tax</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23"/>
        </w:trPr>
        <w:tc>
          <w:tcPr>
            <w:tcW w:w="3380" w:type="dxa"/>
            <w:vAlign w:val="bottom"/>
          </w:tcPr>
          <w:p>
            <w:pPr>
              <w:ind w:left="140"/>
              <w:spacing w:after="0"/>
              <w:rPr>
                <w:sz w:val="20"/>
                <w:szCs w:val="20"/>
                <w:color w:val="auto"/>
              </w:rPr>
            </w:pPr>
            <w:r>
              <w:rPr>
                <w:rFonts w:ascii="Arial" w:cs="Arial" w:eastAsia="Arial" w:hAnsi="Arial"/>
                <w:sz w:val="16"/>
                <w:szCs w:val="16"/>
                <w:color w:val="auto"/>
              </w:rPr>
              <w:t>Income tax benefit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6"/>
                <w:szCs w:val="16"/>
                <w:color w:val="auto"/>
              </w:rPr>
              <w:t>Net income allocable to non-controlling interest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16,890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(7,838)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Net income allocable to Brilliant Earth</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8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8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Group, Inc.</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39.7 %</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886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 Amounts may not sum due to rounding</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nm - Not meaningful</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sales for the year ended December 31, 2022 increased by $59.7 million, or 15.7%, compared to the year ended December 31, 2021. We experienced increases in net sales across our products, primarily driven by a 26.6% increase in order volumes due to:</w:t>
      </w:r>
    </w:p>
    <w:p>
      <w:pPr>
        <w:spacing w:after="0" w:line="19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continued efficiency of our customer acquisition and conversion activities;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increase in orders driven by strong omnichannel performance across the Company's products and new product collection releases;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opening of new showrooms.</w:t>
      </w:r>
    </w:p>
    <w:p>
      <w:pPr>
        <w:spacing w:after="0" w:line="23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increase in order volumes was partially offset by a decline of 8.6% in AOV driven by an increase in sales of lower price point fine jewelry and other products, and moderation in sales growth of products above the $10,000 price point.</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profit for the year ended December 31, 2022 increased by $46.9 million, or 25.0%, compared to the year ended December 31, 2021. Gross margin, expressed as a percentage and calculated as gross profit divided by net sales, increased by 400 basis points for the year ended December 31, 2022 compared to the year ended December 31, 2021, primarily driven by our premium brand and differentiated product offerings, performance of our pricing engine, procurement efficiencies and benefits from our enhanced extended warranty program. Gross margin improvements were also due to an 11.8% reduction in average platinum spot prices, partially offset by an increase of 0.2% in average gold spot prices for the year ended December 31, 2022 as compared to the year ended December 31,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9"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SG&amp;A expenses for the year ended December 31, 2022 increased by $63.7 million, or 43.2%, compared to the year ended December 31, 2021. SG&amp;A expenses as a percentage of net sales increased by 922 basis points for the year ended December 31, 2022 compared to the year ended December 31, 2021. The increase in SG&amp;A expenses was driven by an increase in employment expenses, marketing expenses, and other general and administrative expenses, which increased by $25.4 million, $22.9 million, and $15.3 million, respectively, from the year ended December 31, 2021 to the year ended December 31, 2022. The increase in employment expenses was driven by a $19.4 million increase in salaries and wages, payroll taxes and other benefits expense due to the addition of corporate and showroom staff and a $6.0 million increase in equity-based compensation. The increase in marketing expenses was driven by increased investments in marketing and advertising to increase brand awareness and support strategic growth initiatives. The increase in other general and administrative expenses was principally driven by a $6.2 million increase in public company operating costs and other costs to support our growth, a $2.9 million increase in merchant bank fees, packaging supplies and other variable expenses due to revenue growth, a $2.5 million increase in rent and occupancy expenses, a $1.2 million increase in pre-opening expenses from the opening of new showrooms, and $0.9 million increase in office supplies and other related expenses.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Interest expense for the year ended December 31, 2022 decreased by $2.9 million, or 38.6%, compared to the year ended December 31, 2021, primarily due to a reduction in the interest rate pursuant to the SVB Credit Agreement (defined below) executed on May 24, 2022. The decrease is also driven by a decrease in the interest rate pursuant to the third amendment of the Runway Term Loan Agreement with the previous lender, executed during the third quarter of 2021, which reduced the variable interest rate from 8.25% to 7.75%, and the LIBOR floor from 1.00% to 0.50%.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66"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Other income (expense), net for the year ended December 31, 2022 increased by $7.4 million, compared to the year ended December 31, 2021, primarily due to a $6.3 million expense recorded as a result of the change in the fair market value of the warrant liability for the year ended December 31, 2021. Additionally, the company earned more interest and other miscellaneous income in the year ended December 31, 2022 compared to the year ended December 31,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Brilliant Earth Group, Inc.’s income tax benefit was $0.2 million for the year ended December 31, 2022 decreasing by $0.1 million compared to the period from September 23, 2021 to December 31, 2021.</w:t>
      </w:r>
    </w:p>
    <w:p>
      <w:pPr>
        <w:spacing w:after="0" w:line="211"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Brilliant Earth Group, Inc. had no business transactions or activities prior to the IPO, and accordingly, no amounts related to income taxes were incurred by the Company. The effective tax rate is a benefit of 8.6% which differs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the expected rate of 21.0% due to the equity interest in earnings of subsidiary not being taxable (permanent difference), the income from the investee per K-1 (inside basis difference), and the loss from the step up in outside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Allocable to Non-Controlling Interests</w:t>
      </w:r>
    </w:p>
    <w:p>
      <w:pPr>
        <w:spacing w:after="0" w:line="22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net income allocable to the non-controlling interests (“NCI”) of Brilliant Earth, LLC was $16.9 million, and 88.3% of pre-tax earnings of the Company for the year ended December 31, 2022, compared to $24.7 million and 89.9% of pre-tax earnings of the Company for the period September 31, 2021 through December 31, 2021.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2021 and 2020</w:t>
      </w:r>
    </w:p>
    <w:p>
      <w:pPr>
        <w:spacing w:after="0" w:line="26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For a comparison of our results of operations for the fiscal years ended December 31, 2021 and 2020, see Item 7. Management's Discussion and Analysis of Financial Condition and Results of Operations, of our Annual Report on Form 10-K for the fiscal year ended December 31, 2021, filed with the SEC on March 22,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key performance indicators for the periods presented (amounts in thousands, except for total orders and AOV):</w:t>
      </w:r>
    </w:p>
    <w:p>
      <w:pPr>
        <w:spacing w:after="0" w:line="318"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3280" w:type="dxa"/>
            <w:vAlign w:val="bottom"/>
            <w:gridSpan w:val="6"/>
          </w:tcPr>
          <w:p>
            <w:pPr>
              <w:ind w:left="420"/>
              <w:spacing w:after="0"/>
              <w:rPr>
                <w:sz w:val="20"/>
                <w:szCs w:val="20"/>
                <w:color w:val="auto"/>
              </w:rPr>
            </w:pPr>
            <w:r>
              <w:rPr>
                <w:rFonts w:ascii="Arial" w:cs="Arial" w:eastAsia="Arial" w:hAnsi="Arial"/>
                <w:sz w:val="16"/>
                <w:szCs w:val="16"/>
                <w:b w:val="1"/>
                <w:bCs w:val="1"/>
                <w:color w:val="auto"/>
              </w:rPr>
              <w:t>For the years ended December 31,</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3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Sales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439,882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380,189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59,693</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15.7 %</w:t>
            </w:r>
          </w:p>
        </w:tc>
      </w:tr>
      <w:tr>
        <w:trPr>
          <w:trHeight w:val="223"/>
        </w:trPr>
        <w:tc>
          <w:tcPr>
            <w:tcW w:w="3140" w:type="dxa"/>
            <w:vAlign w:val="bottom"/>
          </w:tcPr>
          <w:p>
            <w:pPr>
              <w:spacing w:after="0"/>
              <w:rPr>
                <w:sz w:val="20"/>
                <w:szCs w:val="20"/>
                <w:color w:val="auto"/>
              </w:rPr>
            </w:pPr>
            <w:r>
              <w:rPr>
                <w:rFonts w:ascii="Arial" w:cs="Arial" w:eastAsia="Arial" w:hAnsi="Arial"/>
                <w:sz w:val="16"/>
                <w:szCs w:val="16"/>
                <w:b w:val="1"/>
                <w:bCs w:val="1"/>
                <w:color w:val="auto"/>
              </w:rPr>
              <w:t>Total Orders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149,613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118,208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31,405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26.6 %</w:t>
            </w:r>
          </w:p>
        </w:tc>
      </w:tr>
      <w:tr>
        <w:trPr>
          <w:trHeight w:val="33"/>
        </w:trPr>
        <w:tc>
          <w:tcPr>
            <w:tcW w:w="3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4"/>
        </w:trPr>
        <w:tc>
          <w:tcPr>
            <w:tcW w:w="3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AOV</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3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is defined below in “</w:t>
      </w:r>
      <w:r>
        <w:rPr>
          <w:rFonts w:ascii="Arial" w:cs="Arial" w:eastAsia="Arial" w:hAnsi="Arial"/>
          <w:sz w:val="18"/>
          <w:szCs w:val="18"/>
          <w:i w:val="1"/>
          <w:iCs w:val="1"/>
          <w:color w:val="auto"/>
        </w:rPr>
        <w:t>Components of Results of Operations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Orders</w:t>
      </w:r>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Order Value</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Annual Report on Form 10-K.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Adjusted EBITDA and Adjusted EBITDA margin, which are non-GAAP financial measures, are included in this Annual Report on Form 10-K because they are used by management and our board of directors to assess our financial performance. We define Adjusted EBITDA as net income excluding interest expense, income taxes, depreciation expense, amortization of cloud-based software implementation costs, equity-based compensation expense, showroom pre-opening expense,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income that may vary substantially in frequency and magnitude from period to period. These non-GAAP financial measures are not meant to be considered as indicators of performance in isolation from or as a substitute for net income prepared in accordance with GAAP and should be read only in conjunction with financial information presented on a GAAP basis. Reconciliations of each of Adjusted EBITDA and Adjusted EBITDA margin to its most directly comparable GAAP financial measure, net income and net income margin, are presented below. We encourage you to review the reconciliations in conjunction with the presentation of the non-GAAP financial measures for each of the years presented. In future periods, we may exclude similar items, may incur income and expenses similar to these excluded items, and may include other expenses, costs and non-recurring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a reconciliation of net income and net income margin, the most comparable GAAP financial measures, to Adjusted EBITDA and Adjusted EBITDA margin, respectively, for the years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57150</wp:posOffset>
            </wp:positionV>
            <wp:extent cx="22199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92"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4"/>
              </w:rPr>
              <w:t>For the years ended December 31,</w:t>
            </w:r>
          </w:p>
        </w:tc>
      </w:tr>
      <w:tr>
        <w:trPr>
          <w:trHeight w:val="40"/>
        </w:trPr>
        <w:tc>
          <w:tcPr>
            <w:tcW w:w="58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7"/>
        </w:trPr>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40"/>
        </w:trPr>
        <w:tc>
          <w:tcPr>
            <w:tcW w:w="58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7"/>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19,025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26,256</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7,589</w:t>
            </w:r>
          </w:p>
        </w:tc>
      </w:tr>
      <w:tr>
        <w:trPr>
          <w:trHeight w:val="41"/>
        </w:trPr>
        <w:tc>
          <w:tcPr>
            <w:tcW w:w="5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(316)</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28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860</w:t>
            </w:r>
          </w:p>
        </w:tc>
      </w:tr>
      <w:tr>
        <w:trPr>
          <w:trHeight w:val="40"/>
        </w:trPr>
        <w:tc>
          <w:tcPr>
            <w:tcW w:w="5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cloud-based software implementation costs</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Showroom pre-opening expense</w:t>
            </w:r>
          </w:p>
        </w:tc>
        <w:tc>
          <w:tcPr>
            <w:tcW w:w="28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2,773</w:t>
            </w:r>
          </w:p>
        </w:tc>
      </w:tr>
      <w:tr>
        <w:trPr>
          <w:trHeight w:val="41"/>
        </w:trPr>
        <w:tc>
          <w:tcPr>
            <w:tcW w:w="5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8,840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2,795</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41"/>
        </w:trPr>
        <w:tc>
          <w:tcPr>
            <w:tcW w:w="5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8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6,601</w:t>
            </w:r>
          </w:p>
        </w:tc>
      </w:tr>
      <w:tr>
        <w:trPr>
          <w:trHeight w:val="28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Transaction costs and other expenses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3,926</w:t>
            </w:r>
          </w:p>
        </w:tc>
      </w:tr>
      <w:tr>
        <w:trPr>
          <w:trHeight w:val="296"/>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38,982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50,484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income margin</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41"/>
        </w:trPr>
        <w:tc>
          <w:tcPr>
            <w:tcW w:w="5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41"/>
        </w:trPr>
        <w:tc>
          <w:tcPr>
            <w:tcW w:w="5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r>
    </w:tbl>
    <w:p>
      <w:pPr>
        <w:spacing w:after="0" w:line="211" w:lineRule="exact"/>
        <w:rPr>
          <w:sz w:val="20"/>
          <w:szCs w:val="20"/>
          <w:color w:val="auto"/>
        </w:rPr>
      </w:pPr>
    </w:p>
    <w:p>
      <w:pPr>
        <w:ind w:left="260" w:right="120" w:hanging="252"/>
        <w:spacing w:after="0" w:line="264" w:lineRule="auto"/>
        <w:tabs>
          <w:tab w:leader="none" w:pos="221"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Other expense, net for the year ended December 31, 2021 consists primarily of the change in fair value of the warrant liability necessary to mark our warrants to fair market value. Please see Note 1, </w:t>
      </w:r>
      <w:r>
        <w:rPr>
          <w:rFonts w:ascii="Arial" w:cs="Arial" w:eastAsia="Arial" w:hAnsi="Arial"/>
          <w:sz w:val="14"/>
          <w:szCs w:val="14"/>
          <w:i w:val="1"/>
          <w:iCs w:val="1"/>
          <w:color w:val="auto"/>
        </w:rPr>
        <w:t>Business and Organization</w:t>
      </w:r>
      <w:r>
        <w:rPr>
          <w:rFonts w:ascii="Arial" w:cs="Arial" w:eastAsia="Arial" w:hAnsi="Arial"/>
          <w:sz w:val="14"/>
          <w:szCs w:val="14"/>
          <w:color w:val="auto"/>
        </w:rPr>
        <w:t xml:space="preserve"> in our audited consolidated financial statements included elsewhere in this Annual Report on Form 10-K for more information. Other income includes interest and other miscellaneous income, partially offset by expenses such as losses on exchange rates on consumer payments.</w:t>
      </w:r>
    </w:p>
    <w:p>
      <w:pPr>
        <w:spacing w:after="0" w:line="1" w:lineRule="exact"/>
        <w:rPr>
          <w:rFonts w:ascii="Arial" w:cs="Arial" w:eastAsia="Arial" w:hAnsi="Arial"/>
          <w:sz w:val="14"/>
          <w:szCs w:val="14"/>
          <w:color w:val="auto"/>
        </w:rPr>
      </w:pPr>
    </w:p>
    <w:p>
      <w:pPr>
        <w:ind w:left="260" w:right="220" w:hanging="252"/>
        <w:spacing w:after="0" w:line="262" w:lineRule="auto"/>
        <w:tabs>
          <w:tab w:leader="none" w:pos="221"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expenses are those that we did not incur in the normal course of business. These expenses for all years presented include professional fees in connection with the evaluation and preparation for operations as a public company. Additionally, the expense also includes a charitable donation and costs associated with the opening of a new operations facility for the year ended December 31, 2021.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Our primary requirements for liquidity and capital are for purchases of inventory, payment of operating expenses, tax distributions to LLC members, debt service, and capital expenditures. Historically, these cash requirements have been met through cash provided by operating activities, cash and cash equivalents, and borrowings under the Runway Term Loan Facility and the SVB Credit Facilities (as defined below). We have historically had negative working capital driven by our high inventory turns and typical collection of payment from customers prior to payment of suppliers. As of December 31, 2022, we had a cash balance, excluding restricted cash, of $154.6 million, and working capital, excluding non-restricted cash, of $(23.2) million.</w:t>
      </w:r>
    </w:p>
    <w:p>
      <w:pPr>
        <w:spacing w:after="0" w:line="188" w:lineRule="exact"/>
        <w:rPr>
          <w:sz w:val="20"/>
          <w:szCs w:val="20"/>
          <w:color w:val="auto"/>
        </w:rPr>
      </w:pPr>
    </w:p>
    <w:p>
      <w:pPr>
        <w:ind w:right="820"/>
        <w:spacing w:after="0" w:line="293" w:lineRule="auto"/>
        <w:rPr>
          <w:sz w:val="20"/>
          <w:szCs w:val="20"/>
          <w:color w:val="auto"/>
        </w:rPr>
      </w:pPr>
      <w:r>
        <w:rPr>
          <w:rFonts w:ascii="Arial" w:cs="Arial" w:eastAsia="Arial" w:hAnsi="Arial"/>
          <w:sz w:val="18"/>
          <w:szCs w:val="18"/>
          <w:color w:val="auto"/>
        </w:rPr>
        <w:t>In addition, we have a Term Loan with a principal balance of $63.4 million, excluding unamortized debt issuance costs of $0.7 million, of which $60.1 million is classified as long-term.</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lease our showrooms and headquarters office space under non-cancelable lease agreements whereby $5.2 million is due in the year ended December 31, 2023. Total future lease payments as of December 31, 2022 are $38.3 million.</w:t>
      </w:r>
    </w:p>
    <w:p>
      <w:pPr>
        <w:spacing w:after="0" w:line="19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twelve months ended December 31, 2022, the Company declared and paid $18.3 million of distributions to, or on behalf of, members associated with their estimated income tax obligations. We are committed to continue to make quarterly distributions in connection with member estimated income tax obligations which we expect to fund with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believe that our current sources of liquidity, which include cash, and net cash provided by operating activities, will be sufficient to meet our projected operating, debt service, and tax distribution requirements for at least the next 12 months following the filing of this Annual Report on Form 10-K.</w:t>
      </w:r>
    </w:p>
    <w:p>
      <w:pPr>
        <w:spacing w:after="0" w:line="151" w:lineRule="exact"/>
        <w:rPr>
          <w:sz w:val="20"/>
          <w:szCs w:val="20"/>
          <w:color w:val="auto"/>
        </w:rPr>
      </w:pPr>
    </w:p>
    <w:p>
      <w:pPr>
        <w:ind w:right="720"/>
        <w:spacing w:after="0" w:line="293" w:lineRule="auto"/>
        <w:rPr>
          <w:sz w:val="20"/>
          <w:szCs w:val="20"/>
          <w:color w:val="auto"/>
        </w:rPr>
      </w:pPr>
      <w:r>
        <w:rPr>
          <w:rFonts w:ascii="Arial" w:cs="Arial" w:eastAsia="Arial" w:hAnsi="Arial"/>
          <w:sz w:val="18"/>
          <w:szCs w:val="18"/>
          <w:color w:val="auto"/>
        </w:rPr>
        <w:t>We have capital commitments of $2.8 million related to the opening of new locations as of December 31, 2022. We also have scheduled principal repayments on our SVB Term Loan Facility as presented below.</w:t>
      </w:r>
    </w:p>
    <w:p>
      <w:pPr>
        <w:spacing w:after="0" w:line="247"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tcPr>
          <w:p>
            <w:pPr>
              <w:jc w:val="right"/>
              <w:ind w:right="690"/>
              <w:spacing w:after="0"/>
              <w:rPr>
                <w:sz w:val="20"/>
                <w:szCs w:val="20"/>
                <w:color w:val="auto"/>
              </w:rPr>
            </w:pPr>
            <w:r>
              <w:rPr>
                <w:rFonts w:ascii="Arial" w:cs="Arial" w:eastAsia="Arial" w:hAnsi="Arial"/>
                <w:sz w:val="18"/>
                <w:szCs w:val="18"/>
                <w:b w:val="1"/>
                <w:bCs w:val="1"/>
                <w:color w:val="auto"/>
              </w:rPr>
              <w:t>Principal</w:t>
            </w:r>
          </w:p>
        </w:tc>
      </w:tr>
      <w:tr>
        <w:trPr>
          <w:trHeight w:val="41"/>
        </w:trPr>
        <w:tc>
          <w:tcPr>
            <w:tcW w:w="52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43"/>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4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2023</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40"/>
        </w:trPr>
        <w:tc>
          <w:tcPr>
            <w:tcW w:w="5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63"/>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4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5,688</w:t>
            </w:r>
          </w:p>
        </w:tc>
      </w:tr>
      <w:tr>
        <w:trPr>
          <w:trHeight w:val="41"/>
        </w:trPr>
        <w:tc>
          <w:tcPr>
            <w:tcW w:w="5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63"/>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w:t>
            </w:r>
          </w:p>
        </w:tc>
        <w:tc>
          <w:tcPr>
            <w:tcW w:w="4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2027</w:t>
            </w: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43,875</w:t>
            </w:r>
          </w:p>
        </w:tc>
      </w:tr>
      <w:tr>
        <w:trPr>
          <w:trHeight w:val="41"/>
        </w:trPr>
        <w:tc>
          <w:tcPr>
            <w:tcW w:w="52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95"/>
        </w:trPr>
        <w:tc>
          <w:tcPr>
            <w:tcW w:w="5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aggregate future principal payments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63,375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Additional future liquidity needs may include public company costs, payments under the TRA, and state and federal taxes to the extent not offset by our deferred income tax assets, including those arising as a result of purchases or exchanges of common units for Class A and Class D common stock. Although the actual timing and amount of any payments that may be made under the TRA will vary, we expect that the payments that we will be required to make to the Continuing Equity Owners will be significant. Any payments made by us to the Continuing Equity Owners under the TRA will generally reduce the amount of overall cash flow that might have otherwise been available to us or to Brilliant Earth, LLC, and, to the extent that we are unable to make payments under the TRA for any reason, the unpaid amounts generally will be deferred and will accrue interest until paid by us; provided, however, that nonpayment for a specified period may constitute a material breach of a material obligation under the TRA and therefore may accelerate payments due under the TRA.</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 We cannot ensure that we could obtain refinancing or additional financing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Investing, and Financing Activities — Comparison of Years Ended December 31, 2022 and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2022 and 2021 (in thousands):</w:t>
      </w:r>
    </w:p>
    <w:p>
      <w:pPr>
        <w:spacing w:after="0" w:line="302"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9"/>
              </w:rPr>
              <w:t>Years ended December 31,</w:t>
            </w:r>
          </w:p>
        </w:tc>
      </w:tr>
      <w:tr>
        <w:trPr>
          <w:trHeight w:val="41"/>
        </w:trPr>
        <w:tc>
          <w:tcPr>
            <w:tcW w:w="6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7"/>
        </w:trPr>
        <w:tc>
          <w:tcPr>
            <w:tcW w:w="6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40"/>
        </w:trPr>
        <w:tc>
          <w:tcPr>
            <w:tcW w:w="62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7"/>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46,078</w:t>
            </w: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(5,606)</w:t>
            </w:r>
          </w:p>
        </w:tc>
      </w:tr>
      <w:tr>
        <w:trPr>
          <w:trHeight w:val="40"/>
        </w:trPr>
        <w:tc>
          <w:tcPr>
            <w:tcW w:w="6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4"/>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(23,598)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66,124</w:t>
            </w:r>
          </w:p>
        </w:tc>
      </w:tr>
      <w:tr>
        <w:trPr>
          <w:trHeight w:val="237"/>
        </w:trPr>
        <w:tc>
          <w:tcPr>
            <w:tcW w:w="6220" w:type="dxa"/>
            <w:vAlign w:val="bottom"/>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106,596</w:t>
            </w:r>
          </w:p>
        </w:tc>
      </w:tr>
      <w:tr>
        <w:trPr>
          <w:trHeight w:val="40"/>
        </w:trPr>
        <w:tc>
          <w:tcPr>
            <w:tcW w:w="6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3"/>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173,070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66,474</w:t>
            </w:r>
          </w:p>
        </w:tc>
      </w:tr>
      <w:tr>
        <w:trPr>
          <w:trHeight w:val="271"/>
        </w:trPr>
        <w:tc>
          <w:tcPr>
            <w:tcW w:w="62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154,854</w:t>
            </w:r>
          </w:p>
        </w:tc>
        <w:tc>
          <w:tcPr>
            <w:tcW w:w="10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173,070</w:t>
            </w:r>
          </w:p>
        </w:tc>
      </w:tr>
      <w:tr>
        <w:trPr>
          <w:trHeight w:val="27"/>
        </w:trPr>
        <w:tc>
          <w:tcPr>
            <w:tcW w:w="6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 cash provided by operating activities was $14.5 million for the year ended December 31, 2022, consisting of $19.0 million in net income adjusted for $15.2 million in non-cash expense addbacks, primarily composed of equity based compensation, operating lease costs, depreciation expense, loss on extinguishment of debt and amortization of debt issuance costs, partially offset by a $19.7 million decrease from changes in assets and liabilities related to operating activities. The change in assets and liabilities related to operating activities, which is the result of the growth of our business, primarily reflects a $22.2 million increase in inventories, prepaid expenses and other current assets, other assets, and a decrease in operating lease liability and deferred revenue, partially offset by a $2.5 million increase in accounts payable, accrued expenses and other current liabilities.</w:t>
      </w:r>
    </w:p>
    <w:p>
      <w:pPr>
        <w:spacing w:after="0" w:line="19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provided by operating activities was $46.1 million for the year ended December 31, 2021, consisting of $26.3 million in net income adjusted for $11.4 million in non-cash expense addbacks, primarily composed of the change in fair value of warrants, equity based compensation, amortization of debt issuance costs and depreciation expense, plus a $8.4 million increase from changes in assets and liabilities related to operating activities. The change in assets and liabilities related to operating activities, which is the result of the growth of our business, primarily reflects a $25.2 million increase in accounts payable, accrued expenses, and other current liabilities, deferred revenue, and deferred rent, offset by $16.8 million increase in inventories, prepaid expenses and other current assets, and other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Net cash used in investing activities was $9.1 million for the year ended December 31, 2022, and $5.6 million for the year ended December 31, 2021, which primarily consisted of purchases of property and equipment related to new facilities leased during the years ended December 31, 2022 and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Net cash used in financing activities was $23.6 million for the year ended December 31, 2022 which related to the payoff of the Runway Term Loan (defined below), tax distributions to members pursuant to the LLC Agreement of $18.3 million and the quarterly repayment on SVB Term Loan Facility (defined below), partially offset by proceeds received from the SVB Credit Facilities.</w:t>
      </w:r>
    </w:p>
    <w:p>
      <w:pPr>
        <w:spacing w:after="0" w:line="217"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color w:val="auto"/>
        </w:rPr>
        <w:t>Net cash provided by financing activities was $66.1 million for the year ended December 31, 2021. We received net proceeds of $101.6 million, after deducting underwriting discounts and offering costs from the IPO. This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8"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900"/>
        <w:spacing w:after="0" w:line="293" w:lineRule="auto"/>
        <w:rPr>
          <w:sz w:val="20"/>
          <w:szCs w:val="20"/>
          <w:color w:val="auto"/>
        </w:rPr>
      </w:pPr>
      <w:r>
        <w:rPr>
          <w:rFonts w:ascii="Arial" w:cs="Arial" w:eastAsia="Arial" w:hAnsi="Arial"/>
          <w:sz w:val="18"/>
          <w:szCs w:val="18"/>
          <w:color w:val="auto"/>
        </w:rPr>
        <w:t>partially offset by $14.0 million paid to Continuing Equity Owners for the redemption of LLC Units, and $21.4 million paid to members for tax distributions.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Investing, and Financing Activities — Comparison of Years Ended December 31, 2021 and 2020</w:t>
      </w:r>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For a comparison of our cash flow activities for the fiscal years ended December 31, 2021 and 2020, see Item 7. Management's Discussion and Analysis of Financial Condition and Results of Operations, of our Annual Report on Form 10-K for the fiscal year ended December 31, 2021, filed with the SEC on March 22, 2022.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Runway Term Loan Agreement</w:t>
      </w:r>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September 30, 2019, we entered into a Loan and Security Agreement with Runway Growth Finance Corp. (f/k/a Runway Growth Credit Fund Inc.) ( “Runway”) which, as subsequently amended, provided for up to $65.0 million of borrowings (as subsequently amended, the “Runway Term Loan”). The Runway Term Loan bore interest at a variable rate equal to LIBOR (at a floor of 0.50%) plus 7.75%. The Runway Term Loan was secured by substantially all of the assets of the Company and required us to comply with various affirmative and negative debt covenants.</w:t>
      </w:r>
    </w:p>
    <w:p>
      <w:pPr>
        <w:spacing w:after="0" w:line="198"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We were required to make interest-only payments on the Term Loan through April 15, 2022 (the “Amortization Date”). The Term Loan began amortizing on the Amortization Date, with equal monthly payments of principal, which would fully amortize the principal amount of the Term Loan by October 15, 2023, plus interest being made by us to Runway in consecutive monthly installments until October 15, 2023. The Term Loan carried a prepayment fee of</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3.00% declining to 0.00% based on the anniversary date of payment; and, a final payment fee equal to 4.50% of the principal amount repaid upon maturity or prepayment, plus $0.2 million. In the event that we chose to partially prepay the Term Loan, we were obligated to make a partial final payment on the date of such prepayment.</w:t>
      </w:r>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24, 2022, concurrently with entry into the SVB Credit Agreement (as defined below), the Company repaid all outstanding amounts under the Runway Term Loan, totaling $58.2 million with proceeds from the SVB Credit Agreement. In connection with the repayment and termination of the Runway Term Loan, the Company was required to pay a 1.00% prepayment fee, plus a final payment fee. The Runway Term Loan was scheduled to mature on October 15,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Silicon Valley Bank Credit Facilities</w:t>
      </w:r>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May 24, 2022 (the “Closing Date”), Brilliant Earth, LLC, as borrower, and Silicon Valley Bank, as administrative agent and collateral agent for the lenders, entered into a credit agreement (the “SVB Credit Agreement”) which provides for a secured term loan credit facility of $65.0 million (the “SVB Term Loan Facility”) and a secured revolving credit facility in an amount of up to $40.0 million (the “SVB Revolving Credit Facility”, and together with the SVB Term Loan Facility, the “SVB Credit Facilities”).</w:t>
      </w:r>
    </w:p>
    <w:p>
      <w:pPr>
        <w:spacing w:after="0" w:line="227"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Proceeds from the SVB Credit Facilities were used on the Closing Date to refinance existing indebtedness, pay related fees and expenses, and will be used from and after the Closing Date for working capital and general corporate purposes. The SVB Credit Facilities mature on May 24, 2027 (the “SVB Maturity Date”). As of December 31, 2022, there are no amounts outstanding under the SVB Revolving Credit Facility and there were $63.4 million of total debt outstanding under the SVB Term Loan Facility, of which $60.1 million is classified at long-term debt.</w:t>
      </w:r>
    </w:p>
    <w:p>
      <w:pPr>
        <w:spacing w:after="0" w:line="209"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The SVB Credit Facilities are secured by substantially all assets of Brilliant Earth, LLC and any of its future material subsidiaries, subject to customary exceptions. Brilliant Earth, LLC’s future material subsidiaries (subject to certain customary exceptions) will guarantee repayment of the SVB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Borrowings under the SVB Credit Facilities bear interest at either (a) a secured overnight financing rate plus an annual adjustment of 0.125%, plus an applicable margin of 2.25% to 2.75%, depending on the Consolidated Total Leverage Ratio (defined below), or an alternate base rate plus an applicable margin of 1.25% to 1.75%, depending on the Consolidated Total Leverage Ratio, each subject to a 0.00% floor. In addition, Brilliant Earth, LLC has agreed to pay a commitment fee on the first day of each quarter on the unused amount of the SVB Revolving Credit Facility, equal to 0.25% to 0.35% per annum depending on the Consolidated Total Leverage Ratio. The Consolidated Total Leverage Ratio is defined as the ratio, as of the last day of any four fiscal quarter period, of (a) Consolidated Total Indebtedness of the Company and its subsidiaries to (b) the Consolidated EBITDA for such period (each term as further defined in the SVB Credit Agreement).</w:t>
      </w:r>
    </w:p>
    <w:p>
      <w:pPr>
        <w:spacing w:after="0" w:line="223"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The SVB Term Loan Facility is required to be repaid on the last day of each calendar quarter (commencing on September 30, 2022), in an amount equal to 1.25% per quarter through June 30, 2024, 1.875% per quarter from September 30, 2024 through June 30, 2025, and 2.50% per quarter thereafter, with the balance payable on the SVB Maturity Date. The SVB Term Loan Facility is also subject to certain mandatory prepayment requirements in connection with asset sales, casualty events and debt incurrence, subject to customary exceptions.</w:t>
      </w:r>
    </w:p>
    <w:p>
      <w:pPr>
        <w:spacing w:after="0" w:line="220"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 xml:space="preserve">The SVB Credit Facilities are subject to customary affirmative covenants and negative covenants as well as financial maintenance covenants. The financial covenants are tested at the end of each fiscal quarter, beginning with the quarter ended June 30, 2022, and requires that (a) the Company and its subsidiaries not have a Consolidated Fixed Charge Coverage Ratio (defined as the ratio of (i) Consolidated EBITDA, 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 1.25 to 1.00, (b) the Company and its subsidiaries not have a Consolidated Total Leverage Ratio of more than 4.00 to 1.00, and (c) Brilliant Earth, LLC and its subsidiaries not have a Consolidated Borrower Leverage Ratio (defined substantially similar as Consolidated Total Leverage Ratio, but limited to Brilliant Earth, LLC and its subsidiaries) in excess of 3.00 to 1.00 (which level is subject to temporary increases to 4.00 to 1.00 in connection with certain acquisitions). As of December 31, 2022 the Company was in compliance with such covenants. For additional information regarding our long-term debt activity, see Note 8, </w:t>
      </w:r>
      <w:r>
        <w:rPr>
          <w:rFonts w:ascii="Arial" w:cs="Arial" w:eastAsia="Arial" w:hAnsi="Arial"/>
          <w:sz w:val="17"/>
          <w:szCs w:val="17"/>
          <w:i w:val="1"/>
          <w:iCs w:val="1"/>
          <w:color w:val="auto"/>
        </w:rPr>
        <w:t xml:space="preserve">Debt </w:t>
      </w:r>
      <w:r>
        <w:rPr>
          <w:rFonts w:ascii="Arial" w:cs="Arial" w:eastAsia="Arial" w:hAnsi="Arial"/>
          <w:sz w:val="17"/>
          <w:szCs w:val="17"/>
          <w:color w:val="auto"/>
        </w:rPr>
        <w:t>to the audited consolidated financial statements included elsewhere in the Annual Report on Form 10-K.</w:t>
      </w:r>
    </w:p>
    <w:p>
      <w:pPr>
        <w:spacing w:after="0" w:line="195"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color w:val="auto"/>
        </w:rPr>
        <w:t>On March 10, 2023, SVB was closed by the California Department of Financial Protection and Innovation, and the Federal Deposit Insurance Corporation (“FDIC”) was appointed as receiver. In addition to the SVB Credit Facilities described above, the Company also has deposit accounts at SVB. On March 14, 2023, the FDIC announced the establishment of Silicon Valley Bridge Bank, N.A. (the “Bridge Bank”) which assumed the deposits and obligations of SVB. As of the date these financial statements are issued, the Company has approximately $0.2 million in deposit accounts at the Bridge Bank. The Company does not anticipate any losses with respect to its funds deposited with SVB or the Bridge Bank. Although the FDIC has announced that the Bridge Bank will perform all contractual obligations of SVB, the Company continues to monitor developments, including additional announcements from regulatory authorities, that could impact the SVB Credit Facilities.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Liquidity Requirements</w:t>
      </w:r>
    </w:p>
    <w:p>
      <w:pPr>
        <w:spacing w:after="0" w:line="25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are a holding company and have no material assets other than our ownership of LLC Interests. We have no independent means of generating revenue. The Brilliant Earth LLC Agreement in effect since the time of the IPO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spacing w:after="0" w:line="21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Regarding the ability of Brilliant Earth, LLC to make distributions to us, the terms of their financing arrangements, including the SVB Credit Facilities, contain covenants that may restrict Brilliant Earth, LLC from paying such distributions, subject to certain exceptions. Further, Brilliant Earth, LLC is generally prohibited under Delaware law from making a distribution to a member to the extent that, at the time of the distribution, after giving effect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distribution, liabilities of Brilliant Earth, LLC (with certain exceptions), as applicable, exceed the fair value of its assets.</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under the TRA, we are required to make cash payments to the Continuing Equity Owners equal to 85% of the tax benefits, if any, that we actually realize (or in certain circumstances are deemed to realize), as a result of (1) increases in our allocable share of the tax basis of Brilliant Earth, LLC’s assets resulting from (a) our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 We expect the amount of the cash payments that we will be required to make under the TRA will be significant. The actual amount and timing of any payments under the TRA will vary depending upon a number of factors, including the timing of redemptions or exchanges by the Continuing Equity Owners, the amount of gain recognized by the Continuing Equity Owners, the amount and timing of the taxable income we generate in the future, and the federal tax rates then applicable. Any payments made by us to the Continuing Equity Owners under the TRA will generally reduce the amount of overall cash flow that might have otherwise been available to us.</w:t>
      </w:r>
    </w:p>
    <w:p>
      <w:pPr>
        <w:spacing w:after="0" w:line="20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Additionally, 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 addition, if Brilliant Earth, LLC does not have sufficient funds to make distributions, our ability to declare and pay cash dividends will also be restricted or impaired.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Factors—Risks Related to Our Organizational Structure.”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70"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 xml:space="preserve">From time to time in the normal course of business, the Company will enter into agreements with suppliers or service providers. As of December 31, 2022, contractual obligations with a remaining term in excess of 12 months primarily related to marketing and advertising spending as well as software maintenance totaling $5.3 million. For additional information on our contractual obligations and commitments, see Note 7, </w:t>
      </w:r>
      <w:r>
        <w:rPr>
          <w:rFonts w:ascii="Arial" w:cs="Arial" w:eastAsia="Arial" w:hAnsi="Arial"/>
          <w:sz w:val="18"/>
          <w:szCs w:val="18"/>
          <w:i w:val="1"/>
          <w:iCs w:val="1"/>
          <w:color w:val="auto"/>
        </w:rPr>
        <w:t>Leases</w:t>
      </w:r>
      <w:r>
        <w:rPr>
          <w:rFonts w:ascii="Arial" w:cs="Arial" w:eastAsia="Arial" w:hAnsi="Arial"/>
          <w:sz w:val="18"/>
          <w:szCs w:val="18"/>
          <w:color w:val="auto"/>
        </w:rPr>
        <w:t xml:space="preserve">, Note 9, </w:t>
      </w:r>
      <w:r>
        <w:rPr>
          <w:rFonts w:ascii="Arial" w:cs="Arial" w:eastAsia="Arial" w:hAnsi="Arial"/>
          <w:sz w:val="18"/>
          <w:szCs w:val="18"/>
          <w:i w:val="1"/>
          <w:iCs w:val="1"/>
          <w:color w:val="auto"/>
        </w:rPr>
        <w:t>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and Members Units Including Redeemable Convertible Class P Units </w:t>
      </w:r>
      <w:r>
        <w:rPr>
          <w:rFonts w:ascii="Arial" w:cs="Arial" w:eastAsia="Arial" w:hAnsi="Arial"/>
          <w:sz w:val="18"/>
          <w:szCs w:val="18"/>
          <w:color w:val="auto"/>
        </w:rPr>
        <w:t>and Note 12,</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to our audited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elsewhere in this Annual Report on Form 10-K.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preparing our audited consolidated financial statements and the related notes thereto included elsewhere in this Annual Report on Form 10-K in conformity with U.S. GAAP, we must make decisions that impact the reported amounts of assets, liabilities, revenues,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business valuations. Actual amounts could differ from those estimated at the time the audited consolidated financial statements are prepared.</w:t>
      </w:r>
    </w:p>
    <w:p>
      <w:pPr>
        <w:spacing w:after="0" w:line="18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 xml:space="preserve">Our significant accounting policies are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accompanying financial statements and related notes thereto included elsewhere in this Form 10-K. Some of those significant accounting policies require us to make difficult, subjective, or complex judgments or estimates.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Our critical accounting estimates include the following: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66"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Net sales primarily consists of revenue from the sale of inventory, and we recognize revenue as control of promised goods is transferred to customers, which generally occurs upon delivery if the order is shipped, or at the time the customer picks up the completed product at a showroom. Revenue arrangements generally have one performance obligation and are reported net of estimated sales returns and allowances, which are determined based on historical product return rates and current economic conditions. We offer a three-year extended in-house service plan, which gives rise to an additional performance obligation that is recognized over the course of the service plan. We maintain a returns asset account, less any expected costs to recover, and a refund liabilities account to record the effects of estimated product returns and sales returns and allowances, which are updated at the end of each financial reporting period with the effect of such changes accounted for in the period in which such changes occur. Our sales returns and allowance accounts are based on historical return experience and current period sales levels.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6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Equity-based compensation is accounted for as an expense in accordance with the fair value recognition and measurement provisions of U.S. GAAP which requires compensation cost for the grant-date fair value of equity-based awards to be recognized over the requisite service period. We account for a forfeiture when it occurs, and any compensation expense previously recognized on unvested equity-based awards will be reversed when forfeited.</w:t>
      </w:r>
    </w:p>
    <w:p>
      <w:pPr>
        <w:spacing w:after="0" w:line="17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fair value of awards of restricted LLC Units is based on the fair value of the member unit underlying the awards as of the date of grant. The fair value of the underlying member units (referred to as Class M Units prior to conversion to common LLC Units in the IPO on a value-for-value basis) for grants prior to our IPO in September 2021 was determined by considering a number of objective, subjective and highly complex factors including independent third-party valuations of our member units, operating and financial performance, the lack of liquidity of member units and general and industry specific economic outlook among other factors. We do not anticipate issuing any new restricted LLC Units.</w:t>
      </w:r>
    </w:p>
    <w:p>
      <w:pPr>
        <w:spacing w:after="0" w:line="2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fair value of RSUs, all of which were granted at the time of the IPO or thereafter, is based on the fair value of the Class A common stock at the time of grant.</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fair value of option-based awards is estimated using the Black-Scholes valuation model. The Black-Scholes model requires the use of highly subjective and complex assumptions, including the option's expected term and the price volatility of the underlying stock. For inputs into the Black-Scholes model, the expected stock price volatility for the common stock is estimated by taking the average historic price volatility for industry peers based on daily price observations over a period equivalent to the expected term of the stock option grants. Industry peers consist of several public companies in our industry which are of similar size, complexity and stage of development. The risk-free interest rate for the expected term of the option is based on the U.S. Treasury implied yield at the date of grant.</w:t>
      </w:r>
    </w:p>
    <w:p>
      <w:pPr>
        <w:spacing w:after="0" w:line="219"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We have elected to use the “simplified method” to determine the expected term which is the midpoint between the vesting date and the end of the contractual term because it has insufficient history upon which to base an assumption about the term; we believe the simplified method approximates a term if it were to be based on expected life. The expected dividend yield is nil as we have not paid and do not anticipate paying dividends on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 and Tax Receivable Agreement</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may receive a deferred tax benefit resulting from the step-up in basis which occurs in the event that we redeem LLC interests from the Continuing Equity Owners. Pursuant to a TRA entered into by Brilliant Earth, LLC and the Continuing Equity Owners, we will make payments to the Continuing Equity Owners of 85% of the amount of tax benefits, if any, that Brilliant Earth Group, Inc. actually realizes (or in some circumstances is deemed to realize) as a result of (1) increases in Brilliant Earth Group, Inc.’s allocable share of the tax basis of Brilliant Earth, LLC’s assets resulting from (a) Brilliant Earth Group, Inc.’s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w:t>
      </w:r>
    </w:p>
    <w:p>
      <w:pPr>
        <w:spacing w:after="0" w:line="2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expect that payments under the TRA will be significant. We will account for the income tax effects and corresponding TRA’s effects resulting from future taxable purchases or redemptions of LLC Interests of the Continuing LLC Owners by us or Brilliant Earth, LLC by recognizing an increase in our deferred tax assets, based on enacted tax rates at the date of the purchase or redemption, and assessment of the book basis of the redeemed LLC interests at the time of redemption.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w:t>
      </w:r>
    </w:p>
    <w:p>
      <w:pPr>
        <w:spacing w:after="0" w:line="21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The amounts to be recorded for both the deferred tax asset and the liability for our obligations under the TRA will be estimated at the time of any purchase or redemption as a reduction to shareholders’ equity, and the effects of changes in any of our estimates after this date will be included in net income. Similarly, the effect of subsequent changes in the enacted tax rates will be included in net income. We currently believe that all deferred tax assets will be recovered based upon the projected profitability of our operations. Judgment is required in assessing the future tax consequences of events that have been recognized in Brilliant Earth Group, Inc.’s financial statements. A change in the assessment of such consequences, such as realization of deferred tax assets, changes in tax laws or interpretations thereof could materially impact our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66"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auto"/>
        </w:rPr>
        <w:t xml:space="preserve">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accompanying financial statements and related notes thereto included elsewhere in this Form 10-K for additional information regarding recent accounting developments and their impact on our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w:t>
      </w:r>
    </w:p>
    <w:p>
      <w:pPr>
        <w:jc w:val="both"/>
        <w:ind w:right="120" w:firstLine="8"/>
        <w:spacing w:after="0" w:line="253" w:lineRule="auto"/>
        <w:tabs>
          <w:tab w:leader="none" w:pos="2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audited consolidated financial statements may not be comparable to companies that comply with new or revised accounting pronouncements as of public company effective dates.</w:t>
      </w:r>
    </w:p>
    <w:p>
      <w:pPr>
        <w:spacing w:after="0" w:line="22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$1.07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$1.07 billion in non-convertible debt during the prior three-year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right="700" w:firstLine="648"/>
        <w:spacing w:after="0" w:line="293"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and are not required to provide the information under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9060" w:type="dxa"/>
            <w:vAlign w:val="bottom"/>
            <w:gridSpan w:val="11"/>
          </w:tcPr>
          <w:p>
            <w:pPr>
              <w:spacing w:after="0"/>
              <w:rPr>
                <w:sz w:val="20"/>
                <w:szCs w:val="20"/>
                <w:color w:val="auto"/>
              </w:rPr>
            </w:pPr>
            <w:r>
              <w:rPr>
                <w:rFonts w:ascii="Arial" w:cs="Arial" w:eastAsia="Arial" w:hAnsi="Arial"/>
                <w:sz w:val="18"/>
                <w:szCs w:val="18"/>
                <w:color w:val="0000FF"/>
              </w:rPr>
              <w:t>Table of Contents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1"/>
        </w:trPr>
        <w:tc>
          <w:tcPr>
            <w:tcW w:w="906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780" w:type="dxa"/>
            <w:vAlign w:val="bottom"/>
            <w:gridSpan w:val="4"/>
          </w:tcPr>
          <w:p>
            <w:pPr>
              <w:ind w:left="60"/>
              <w:spacing w:after="0"/>
              <w:rPr>
                <w:sz w:val="20"/>
                <w:szCs w:val="20"/>
                <w:color w:val="auto"/>
              </w:rPr>
            </w:pPr>
            <w:r>
              <w:rPr>
                <w:rFonts w:ascii="Arial" w:cs="Arial" w:eastAsia="Arial" w:hAnsi="Arial"/>
                <w:sz w:val="18"/>
                <w:szCs w:val="18"/>
                <w:b w:val="1"/>
                <w:bCs w:val="1"/>
                <w:color w:val="auto"/>
              </w:rPr>
              <w:t>Index to the Financial Statements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gridSpan w:val="3"/>
          </w:tcPr>
          <w:p>
            <w:pPr>
              <w:ind w:left="320"/>
              <w:spacing w:after="0"/>
              <w:rPr>
                <w:sz w:val="20"/>
                <w:szCs w:val="20"/>
                <w:color w:val="auto"/>
              </w:rPr>
            </w:pPr>
            <w:r>
              <w:rPr>
                <w:rFonts w:ascii="Arial" w:cs="Arial" w:eastAsia="Arial" w:hAnsi="Arial"/>
                <w:sz w:val="18"/>
                <w:szCs w:val="18"/>
                <w:color w:val="auto"/>
              </w:rPr>
              <w:t>Page</w:t>
            </w:r>
          </w:p>
        </w:tc>
      </w:tr>
      <w:tr>
        <w:trPr>
          <w:trHeight w:val="40"/>
        </w:trPr>
        <w:tc>
          <w:tcPr>
            <w:tcW w:w="20" w:type="dxa"/>
            <w:vAlign w:val="bottom"/>
          </w:tcPr>
          <w:p>
            <w:pPr>
              <w:spacing w:after="0"/>
              <w:rPr>
                <w:sz w:val="3"/>
                <w:szCs w:val="3"/>
                <w:color w:val="auto"/>
              </w:rPr>
            </w:pPr>
          </w:p>
        </w:tc>
        <w:tc>
          <w:tcPr>
            <w:tcW w:w="21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9040" w:type="dxa"/>
            <w:vAlign w:val="bottom"/>
            <w:gridSpan w:val="10"/>
          </w:tcPr>
          <w:p>
            <w:pPr>
              <w:spacing w:after="0" w:line="196"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 BDO USA, LLP (PCAOB ID #243)</w:t>
            </w: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0000FF"/>
              </w:rPr>
              <w:t>85</w:t>
            </w:r>
          </w:p>
        </w:tc>
        <w:tc>
          <w:tcPr>
            <w:tcW w:w="20" w:type="dxa"/>
            <w:vAlign w:val="bottom"/>
          </w:tcPr>
          <w:p>
            <w:pPr>
              <w:spacing w:after="0"/>
              <w:rPr>
                <w:sz w:val="17"/>
                <w:szCs w:val="17"/>
                <w:color w:val="auto"/>
              </w:rPr>
            </w:pPr>
          </w:p>
        </w:tc>
      </w:tr>
      <w:tr>
        <w:trPr>
          <w:trHeight w:val="358"/>
        </w:trPr>
        <w:tc>
          <w:tcPr>
            <w:tcW w:w="20" w:type="dxa"/>
            <w:vAlign w:val="bottom"/>
          </w:tcPr>
          <w:p>
            <w:pPr>
              <w:spacing w:after="0"/>
              <w:rPr>
                <w:sz w:val="24"/>
                <w:szCs w:val="24"/>
                <w:color w:val="auto"/>
              </w:rPr>
            </w:pPr>
          </w:p>
        </w:tc>
        <w:tc>
          <w:tcPr>
            <w:tcW w:w="21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8"/>
              </w:rPr>
              <w:t>Consolidated Balance Sheets</w:t>
            </w:r>
          </w:p>
        </w:tc>
        <w:tc>
          <w:tcPr>
            <w:tcW w:w="2160" w:type="dxa"/>
            <w:vAlign w:val="bottom"/>
            <w:tcBorders>
              <w:top w:val="single" w:sz="8" w:color="0000FF"/>
            </w:tcBorders>
            <w:gridSpan w:val="4"/>
          </w:tcPr>
          <w:p>
            <w:pPr>
              <w:spacing w:after="0"/>
              <w:rPr>
                <w:sz w:val="24"/>
                <w:szCs w:val="24"/>
                <w:color w:val="auto"/>
              </w:rPr>
            </w:pPr>
          </w:p>
        </w:tc>
        <w:tc>
          <w:tcPr>
            <w:tcW w:w="478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85</w:t>
            </w: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28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Consolidated Statements of Operations</w:t>
            </w:r>
          </w:p>
        </w:tc>
        <w:tc>
          <w:tcPr>
            <w:tcW w:w="6220" w:type="dxa"/>
            <w:vAlign w:val="bottom"/>
            <w:gridSpan w:val="7"/>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86</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9040" w:type="dxa"/>
            <w:vAlign w:val="bottom"/>
            <w:gridSpan w:val="10"/>
          </w:tcPr>
          <w:p>
            <w:pPr>
              <w:spacing w:after="0"/>
              <w:rPr>
                <w:sz w:val="20"/>
                <w:szCs w:val="20"/>
                <w:color w:val="auto"/>
              </w:rPr>
            </w:pPr>
            <w:r>
              <w:rPr>
                <w:rFonts w:ascii="Arial" w:cs="Arial" w:eastAsia="Arial" w:hAnsi="Arial"/>
                <w:sz w:val="18"/>
                <w:szCs w:val="18"/>
                <w:color w:val="0000FF"/>
              </w:rPr>
              <w:t>Consolidated Statements of Changes in Redeemable Convertible Preferred Units and Equity/ Members</w:t>
            </w:r>
            <w:r>
              <w:rPr>
                <w:rFonts w:ascii="Arial" w:cs="Arial" w:eastAsia="Arial" w:hAnsi="Arial"/>
                <w:sz w:val="16"/>
                <w:szCs w:val="16"/>
                <w:u w:val="single" w:color="auto"/>
                <w:color w:val="000000"/>
              </w:rPr>
              <w:t>’</w:t>
            </w:r>
            <w:r>
              <w:rPr>
                <w:rFonts w:ascii="Arial" w:cs="Arial" w:eastAsia="Arial" w:hAnsi="Arial"/>
                <w:sz w:val="18"/>
                <w:szCs w:val="18"/>
                <w:color w:val="0000FF"/>
              </w:rPr>
              <w:t xml:space="preserve"> (Deficit)</w:t>
            </w:r>
          </w:p>
        </w:tc>
        <w:tc>
          <w:tcPr>
            <w:tcW w:w="940" w:type="dxa"/>
            <w:vAlign w:val="bottom"/>
            <w:gridSpan w:val="2"/>
          </w:tcPr>
          <w:p>
            <w:pPr>
              <w:jc w:val="right"/>
              <w:spacing w:after="0"/>
              <w:rPr>
                <w:sz w:val="20"/>
                <w:szCs w:val="20"/>
                <w:color w:val="auto"/>
              </w:rPr>
            </w:pPr>
            <w:r>
              <w:rPr>
                <w:rFonts w:ascii="Arial" w:cs="Arial" w:eastAsia="Arial" w:hAnsi="Arial"/>
                <w:sz w:val="18"/>
                <w:szCs w:val="18"/>
                <w:color w:val="0000FF"/>
              </w:rPr>
              <w:t>87</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28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9"/>
              </w:rPr>
              <w:t>Consolidated Statements of Cash Flows</w:t>
            </w:r>
          </w:p>
        </w:tc>
        <w:tc>
          <w:tcPr>
            <w:tcW w:w="4540" w:type="dxa"/>
            <w:vAlign w:val="bottom"/>
            <w:tcBorders>
              <w:top w:val="single" w:sz="8" w:color="0000FF"/>
            </w:tcBorders>
            <w:gridSpan w:val="3"/>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Borders>
              <w:top w:val="single" w:sz="8" w:color="0000FF"/>
            </w:tcBorders>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88</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34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Notes to the Consolidated Financial Statements</w:t>
            </w:r>
          </w:p>
        </w:tc>
        <w:tc>
          <w:tcPr>
            <w:tcW w:w="5620" w:type="dxa"/>
            <w:vAlign w:val="bottom"/>
            <w:gridSpan w:val="5"/>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90</w:t>
            </w:r>
          </w:p>
        </w:tc>
        <w:tc>
          <w:tcPr>
            <w:tcW w:w="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94" w:right="1440"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Brilliant Earth Group, Inc.</w:t>
      </w:r>
    </w:p>
    <w:p>
      <w:pPr>
        <w:spacing w:after="0"/>
        <w:rPr>
          <w:sz w:val="20"/>
          <w:szCs w:val="20"/>
          <w:color w:val="auto"/>
        </w:rPr>
      </w:pPr>
      <w:r>
        <w:rPr>
          <w:rFonts w:ascii="Arial" w:cs="Arial" w:eastAsia="Arial" w:hAnsi="Arial"/>
          <w:sz w:val="18"/>
          <w:szCs w:val="18"/>
          <w:color w:val="auto"/>
        </w:rPr>
        <w:t>San Francisco, California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consolidated balance sheets of Brilliant Earth Group, Inc. (the “Company”) as of December 31, 2022 and 2021, the related consolidated statements of operations, changes in redeemable convertible preferred units and equity/members’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accounting principles generally accepted in the United States of America.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4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As discussed in Notes 2 and 7 to the consolidated financial statements, the Company has changed its method of accounting for leases in fiscal 2022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34" w:lineRule="auto"/>
        <w:rPr>
          <w:sz w:val="20"/>
          <w:szCs w:val="20"/>
          <w:color w:val="auto"/>
        </w:rPr>
      </w:pPr>
      <w:r>
        <w:rPr>
          <w:rFonts w:ascii="Arial" w:cs="Arial" w:eastAsia="Arial" w:hAnsi="Arial"/>
          <w:sz w:val="18"/>
          <w:szCs w:val="18"/>
          <w:color w:val="auto"/>
        </w:rPr>
        <w:t>Denver, Colorado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Brilliant Earth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Pr>
          <w:p>
            <w:pPr>
              <w:spacing w:after="0"/>
              <w:rPr>
                <w:sz w:val="16"/>
                <w:szCs w:val="16"/>
                <w:color w:val="auto"/>
              </w:rPr>
            </w:pPr>
          </w:p>
        </w:tc>
      </w:tr>
      <w:tr>
        <w:trPr>
          <w:trHeight w:val="26"/>
        </w:trPr>
        <w:tc>
          <w:tcPr>
            <w:tcW w:w="76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8"/>
        </w:trPr>
        <w:tc>
          <w:tcPr>
            <w:tcW w:w="760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ind w:right="688"/>
              <w:spacing w:after="0"/>
              <w:rPr>
                <w:sz w:val="20"/>
                <w:szCs w:val="20"/>
                <w:color w:val="auto"/>
              </w:rPr>
            </w:pPr>
            <w:r>
              <w:rPr>
                <w:rFonts w:ascii="Arial" w:cs="Arial" w:eastAsia="Arial" w:hAnsi="Arial"/>
                <w:sz w:val="14"/>
                <w:szCs w:val="14"/>
                <w:b w:val="1"/>
                <w:bCs w:val="1"/>
                <w:color w:val="auto"/>
              </w:rPr>
              <w:t>2021</w:t>
            </w:r>
          </w:p>
        </w:tc>
      </w:tr>
      <w:tr>
        <w:trPr>
          <w:trHeight w:val="26"/>
        </w:trPr>
        <w:tc>
          <w:tcPr>
            <w:tcW w:w="7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7600" w:type="dxa"/>
            <w:vAlign w:val="bottom"/>
            <w:tcBorders>
              <w:bottom w:val="single" w:sz="8" w:color="CCEEFF"/>
            </w:tcBorders>
            <w:shd w:val="clear" w:color="auto" w:fill="CCEEFF"/>
          </w:tcPr>
          <w:p>
            <w:pPr>
              <w:ind w:left="3620"/>
              <w:spacing w:after="0"/>
              <w:rPr>
                <w:sz w:val="20"/>
                <w:szCs w:val="20"/>
                <w:color w:val="auto"/>
              </w:rPr>
            </w:pPr>
            <w:r>
              <w:rPr>
                <w:rFonts w:ascii="Arial" w:cs="Arial" w:eastAsia="Arial" w:hAnsi="Arial"/>
                <w:sz w:val="14"/>
                <w:szCs w:val="14"/>
                <w:b w:val="1"/>
                <w:bCs w:val="1"/>
                <w:color w:val="auto"/>
              </w:rPr>
              <w:t>Assets</w:t>
            </w:r>
          </w:p>
        </w:tc>
        <w:tc>
          <w:tcPr>
            <w:tcW w:w="1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r>
      <w:tr>
        <w:trPr>
          <w:trHeight w:val="204"/>
        </w:trPr>
        <w:tc>
          <w:tcPr>
            <w:tcW w:w="76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6"/>
        </w:trPr>
        <w:tc>
          <w:tcPr>
            <w:tcW w:w="7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0"/>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12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154,649</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172,865</w:t>
            </w:r>
          </w:p>
        </w:tc>
      </w:tr>
      <w:tr>
        <w:trPr>
          <w:trHeight w:val="204"/>
        </w:trPr>
        <w:tc>
          <w:tcPr>
            <w:tcW w:w="760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205</w:t>
            </w:r>
          </w:p>
        </w:tc>
      </w:tr>
      <w:tr>
        <w:trPr>
          <w:trHeight w:val="26"/>
        </w:trPr>
        <w:tc>
          <w:tcPr>
            <w:tcW w:w="7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0"/>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Inventories, net</w:t>
            </w:r>
          </w:p>
        </w:tc>
        <w:tc>
          <w:tcPr>
            <w:tcW w:w="1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39,331</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24,743</w:t>
            </w:r>
          </w:p>
        </w:tc>
      </w:tr>
      <w:tr>
        <w:trPr>
          <w:trHeight w:val="204"/>
        </w:trPr>
        <w:tc>
          <w:tcPr>
            <w:tcW w:w="760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11,764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8,178</w:t>
            </w:r>
          </w:p>
        </w:tc>
      </w:tr>
      <w:tr>
        <w:trPr>
          <w:trHeight w:val="26"/>
        </w:trPr>
        <w:tc>
          <w:tcPr>
            <w:tcW w:w="7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Total current assets</w:t>
            </w:r>
          </w:p>
        </w:tc>
        <w:tc>
          <w:tcPr>
            <w:tcW w:w="1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205,949</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205,991</w:t>
            </w:r>
          </w:p>
        </w:tc>
      </w:tr>
      <w:tr>
        <w:trPr>
          <w:trHeight w:val="204"/>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16,554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6,732</w:t>
            </w:r>
          </w:p>
        </w:tc>
      </w:tr>
      <w:tr>
        <w:trPr>
          <w:trHeight w:val="26"/>
        </w:trPr>
        <w:tc>
          <w:tcPr>
            <w:tcW w:w="7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8,948</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4,407</w:t>
            </w:r>
          </w:p>
        </w:tc>
      </w:tr>
      <w:tr>
        <w:trPr>
          <w:trHeight w:val="204"/>
        </w:trPr>
        <w:tc>
          <w:tcPr>
            <w:tcW w:w="7600" w:type="dxa"/>
            <w:vAlign w:val="bottom"/>
          </w:tcPr>
          <w:p>
            <w:pPr>
              <w:ind w:left="20"/>
              <w:spacing w:after="0"/>
              <w:rPr>
                <w:sz w:val="20"/>
                <w:szCs w:val="20"/>
                <w:color w:val="auto"/>
              </w:rPr>
            </w:pPr>
            <w:r>
              <w:rPr>
                <w:rFonts w:ascii="Arial" w:cs="Arial" w:eastAsia="Arial" w:hAnsi="Arial"/>
                <w:sz w:val="14"/>
                <w:szCs w:val="14"/>
                <w:color w:val="auto"/>
              </w:rPr>
              <w:t>Operating lease right of use assets</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27,812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6"/>
        </w:trPr>
        <w:tc>
          <w:tcPr>
            <w:tcW w:w="7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3,311</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601</w:t>
            </w:r>
          </w:p>
        </w:tc>
      </w:tr>
      <w:tr>
        <w:trPr>
          <w:trHeight w:val="223"/>
        </w:trPr>
        <w:tc>
          <w:tcPr>
            <w:tcW w:w="7600" w:type="dxa"/>
            <w:vAlign w:val="bottom"/>
          </w:tcPr>
          <w:p>
            <w:pPr>
              <w:ind w:left="240"/>
              <w:spacing w:after="0"/>
              <w:rPr>
                <w:sz w:val="20"/>
                <w:szCs w:val="20"/>
                <w:color w:val="auto"/>
              </w:rPr>
            </w:pPr>
            <w:r>
              <w:rPr>
                <w:rFonts w:ascii="Arial" w:cs="Arial" w:eastAsia="Arial" w:hAnsi="Arial"/>
                <w:sz w:val="14"/>
                <w:szCs w:val="14"/>
                <w:b w:val="1"/>
                <w:bCs w:val="1"/>
                <w:color w:val="auto"/>
              </w:rPr>
              <w:t>Total assets</w:t>
            </w:r>
          </w:p>
        </w:tc>
        <w:tc>
          <w:tcPr>
            <w:tcW w:w="1120" w:type="dxa"/>
            <w:vAlign w:val="bottom"/>
            <w:tcBorders>
              <w:top w:val="single" w:sz="8" w:color="auto"/>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262,574</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217,731</w:t>
            </w:r>
          </w:p>
        </w:tc>
      </w:tr>
      <w:tr>
        <w:trPr>
          <w:trHeight w:val="46"/>
        </w:trPr>
        <w:tc>
          <w:tcPr>
            <w:tcW w:w="76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4"/>
        </w:trPr>
        <w:tc>
          <w:tcPr>
            <w:tcW w:w="7600" w:type="dxa"/>
            <w:vAlign w:val="bottom"/>
            <w:tcBorders>
              <w:top w:val="single" w:sz="8" w:color="CCEEFF"/>
            </w:tcBorders>
          </w:tcPr>
          <w:p>
            <w:pPr>
              <w:ind w:left="3160"/>
              <w:spacing w:after="0"/>
              <w:rPr>
                <w:sz w:val="20"/>
                <w:szCs w:val="20"/>
                <w:color w:val="auto"/>
              </w:rPr>
            </w:pPr>
            <w:r>
              <w:rPr>
                <w:rFonts w:ascii="Arial" w:cs="Arial" w:eastAsia="Arial" w:hAnsi="Arial"/>
                <w:sz w:val="14"/>
                <w:szCs w:val="14"/>
                <w:b w:val="1"/>
                <w:bCs w:val="1"/>
                <w:color w:val="auto"/>
              </w:rPr>
              <w:t>Liabilities and equity</w:t>
            </w:r>
          </w:p>
        </w:tc>
        <w:tc>
          <w:tcPr>
            <w:tcW w:w="11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r>
      <w:tr>
        <w:trPr>
          <w:trHeight w:val="26"/>
        </w:trPr>
        <w:tc>
          <w:tcPr>
            <w:tcW w:w="7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04"/>
        </w:trPr>
        <w:tc>
          <w:tcPr>
            <w:tcW w:w="76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120" w:type="dxa"/>
            <w:vAlign w:val="bottom"/>
          </w:tcPr>
          <w:p>
            <w:pPr>
              <w:jc w:val="right"/>
              <w:ind w:right="94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11,032</w:t>
            </w:r>
          </w:p>
        </w:tc>
        <w:tc>
          <w:tcPr>
            <w:tcW w:w="100" w:type="dxa"/>
            <w:vAlign w:val="bottom"/>
          </w:tcPr>
          <w:p>
            <w:pPr>
              <w:spacing w:after="0"/>
              <w:rPr>
                <w:sz w:val="17"/>
                <w:szCs w:val="17"/>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14,480</w:t>
            </w:r>
          </w:p>
        </w:tc>
      </w:tr>
      <w:tr>
        <w:trPr>
          <w:trHeight w:val="26"/>
        </w:trPr>
        <w:tc>
          <w:tcPr>
            <w:tcW w:w="7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0"/>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expenses and other current liabilities</w:t>
            </w:r>
          </w:p>
        </w:tc>
        <w:tc>
          <w:tcPr>
            <w:tcW w:w="1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37,833</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28,756</w:t>
            </w:r>
          </w:p>
        </w:tc>
      </w:tr>
      <w:tr>
        <w:trPr>
          <w:trHeight w:val="204"/>
        </w:trPr>
        <w:tc>
          <w:tcPr>
            <w:tcW w:w="7600" w:type="dxa"/>
            <w:vAlign w:val="bottom"/>
          </w:tcPr>
          <w:p>
            <w:pPr>
              <w:ind w:left="140"/>
              <w:spacing w:after="0"/>
              <w:rPr>
                <w:sz w:val="20"/>
                <w:szCs w:val="20"/>
                <w:color w:val="auto"/>
              </w:rPr>
            </w:pPr>
            <w:r>
              <w:rPr>
                <w:rFonts w:ascii="Arial" w:cs="Arial" w:eastAsia="Arial" w:hAnsi="Arial"/>
                <w:sz w:val="14"/>
                <w:szCs w:val="14"/>
                <w:color w:val="auto"/>
              </w:rPr>
              <w:t>Current portion of deferred revenue</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18,505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18,818</w:t>
            </w:r>
          </w:p>
        </w:tc>
      </w:tr>
      <w:tr>
        <w:trPr>
          <w:trHeight w:val="25"/>
        </w:trPr>
        <w:tc>
          <w:tcPr>
            <w:tcW w:w="7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0"/>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portion of operating lease liabilities</w:t>
            </w:r>
          </w:p>
        </w:tc>
        <w:tc>
          <w:tcPr>
            <w:tcW w:w="1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3,873</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4"/>
        </w:trPr>
        <w:tc>
          <w:tcPr>
            <w:tcW w:w="7600" w:type="dxa"/>
            <w:vAlign w:val="bottom"/>
          </w:tcPr>
          <w:p>
            <w:pPr>
              <w:ind w:left="140"/>
              <w:spacing w:after="0"/>
              <w:rPr>
                <w:sz w:val="20"/>
                <w:szCs w:val="20"/>
                <w:color w:val="auto"/>
              </w:rPr>
            </w:pPr>
            <w:r>
              <w:rPr>
                <w:rFonts w:ascii="Arial" w:cs="Arial" w:eastAsia="Arial" w:hAnsi="Arial"/>
                <w:sz w:val="14"/>
                <w:szCs w:val="14"/>
                <w:color w:val="auto"/>
              </w:rPr>
              <w:t>Current portion of long-term debt</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3,250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30,789</w:t>
            </w:r>
          </w:p>
        </w:tc>
      </w:tr>
      <w:tr>
        <w:trPr>
          <w:trHeight w:val="25"/>
        </w:trPr>
        <w:tc>
          <w:tcPr>
            <w:tcW w:w="7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Total current liabilities</w:t>
            </w:r>
          </w:p>
        </w:tc>
        <w:tc>
          <w:tcPr>
            <w:tcW w:w="1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74,493</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92,843</w:t>
            </w:r>
          </w:p>
        </w:tc>
      </w:tr>
      <w:tr>
        <w:trPr>
          <w:trHeight w:val="54"/>
        </w:trPr>
        <w:tc>
          <w:tcPr>
            <w:tcW w:w="7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0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 net of debt issuance costs</w:t>
            </w:r>
          </w:p>
        </w:tc>
        <w:tc>
          <w:tcPr>
            <w:tcW w:w="1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59,462</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32,789</w:t>
            </w:r>
          </w:p>
        </w:tc>
      </w:tr>
      <w:tr>
        <w:trPr>
          <w:trHeight w:val="204"/>
        </w:trPr>
        <w:tc>
          <w:tcPr>
            <w:tcW w:w="760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28,537</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5"/>
        </w:trPr>
        <w:tc>
          <w:tcPr>
            <w:tcW w:w="7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rent</w:t>
            </w:r>
          </w:p>
        </w:tc>
        <w:tc>
          <w:tcPr>
            <w:tcW w:w="1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2,507</w:t>
            </w:r>
          </w:p>
        </w:tc>
      </w:tr>
      <w:tr>
        <w:trPr>
          <w:trHeight w:val="204"/>
        </w:trPr>
        <w:tc>
          <w:tcPr>
            <w:tcW w:w="7600" w:type="dxa"/>
            <w:vAlign w:val="bottom"/>
          </w:tcPr>
          <w:p>
            <w:pPr>
              <w:ind w:left="20"/>
              <w:spacing w:after="0"/>
              <w:rPr>
                <w:sz w:val="20"/>
                <w:szCs w:val="20"/>
                <w:color w:val="auto"/>
              </w:rPr>
            </w:pPr>
            <w:r>
              <w:rPr>
                <w:rFonts w:ascii="Arial" w:cs="Arial" w:eastAsia="Arial" w:hAnsi="Arial"/>
                <w:sz w:val="14"/>
                <w:szCs w:val="14"/>
                <w:color w:val="auto"/>
              </w:rPr>
              <w:t>Payable pursuant to the Tax Receivable Agreement</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6,893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3,775</w:t>
            </w:r>
          </w:p>
        </w:tc>
      </w:tr>
      <w:tr>
        <w:trPr>
          <w:trHeight w:val="25"/>
        </w:trPr>
        <w:tc>
          <w:tcPr>
            <w:tcW w:w="7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1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2,979</w:t>
            </w:r>
          </w:p>
        </w:tc>
      </w:tr>
      <w:tr>
        <w:trPr>
          <w:trHeight w:val="198"/>
        </w:trPr>
        <w:tc>
          <w:tcPr>
            <w:tcW w:w="7600" w:type="dxa"/>
            <w:vAlign w:val="bottom"/>
          </w:tcPr>
          <w:p>
            <w:pPr>
              <w:ind w:left="240"/>
              <w:spacing w:after="0"/>
              <w:rPr>
                <w:sz w:val="20"/>
                <w:szCs w:val="20"/>
                <w:color w:val="auto"/>
              </w:rPr>
            </w:pPr>
            <w:r>
              <w:rPr>
                <w:rFonts w:ascii="Arial" w:cs="Arial" w:eastAsia="Arial" w:hAnsi="Arial"/>
                <w:sz w:val="14"/>
                <w:szCs w:val="14"/>
                <w:b w:val="1"/>
                <w:bCs w:val="1"/>
                <w:color w:val="auto"/>
              </w:rPr>
              <w:t>Total liabilities</w:t>
            </w:r>
          </w:p>
        </w:tc>
        <w:tc>
          <w:tcPr>
            <w:tcW w:w="1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169,433</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134,893</w:t>
            </w:r>
          </w:p>
        </w:tc>
      </w:tr>
      <w:tr>
        <w:trPr>
          <w:trHeight w:val="64"/>
        </w:trPr>
        <w:tc>
          <w:tcPr>
            <w:tcW w:w="760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04"/>
        </w:trPr>
        <w:tc>
          <w:tcPr>
            <w:tcW w:w="760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Commitments and contingencies (Note 12)</w:t>
            </w:r>
          </w:p>
        </w:tc>
        <w:tc>
          <w:tcPr>
            <w:tcW w:w="11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r>
      <w:tr>
        <w:trPr>
          <w:trHeight w:val="59"/>
        </w:trPr>
        <w:tc>
          <w:tcPr>
            <w:tcW w:w="760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r>
      <w:tr>
        <w:trPr>
          <w:trHeight w:val="191"/>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
        </w:trPr>
        <w:tc>
          <w:tcPr>
            <w:tcW w:w="7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Preferred stock, $0.0001 par value per share, 10,000,000 shares authorized, none issued and outstanding at December 31, 2022</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4"/>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and 2021, respectively</w:t>
            </w:r>
          </w:p>
        </w:tc>
        <w:tc>
          <w:tcPr>
            <w:tcW w:w="1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4"/>
        </w:trPr>
        <w:tc>
          <w:tcPr>
            <w:tcW w:w="7600" w:type="dxa"/>
            <w:vAlign w:val="bottom"/>
          </w:tcPr>
          <w:p>
            <w:pPr>
              <w:ind w:left="140"/>
              <w:spacing w:after="0"/>
              <w:rPr>
                <w:sz w:val="20"/>
                <w:szCs w:val="20"/>
                <w:color w:val="auto"/>
              </w:rPr>
            </w:pPr>
            <w:r>
              <w:rPr>
                <w:rFonts w:ascii="Arial" w:cs="Arial" w:eastAsia="Arial" w:hAnsi="Arial"/>
                <w:sz w:val="14"/>
                <w:szCs w:val="14"/>
                <w:color w:val="auto"/>
                <w:w w:val="96"/>
              </w:rPr>
              <w:t>Class A common stock, $0.0001 par value - 1,200,000,000 shares authorized; 11,246,694 and 9,614,523 shares issued and</w:t>
            </w: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89"/>
        </w:trPr>
        <w:tc>
          <w:tcPr>
            <w:tcW w:w="7600" w:type="dxa"/>
            <w:vAlign w:val="bottom"/>
          </w:tcPr>
          <w:p>
            <w:pPr>
              <w:ind w:left="140"/>
              <w:spacing w:after="0"/>
              <w:rPr>
                <w:sz w:val="20"/>
                <w:szCs w:val="20"/>
                <w:color w:val="auto"/>
              </w:rPr>
            </w:pPr>
            <w:r>
              <w:rPr>
                <w:rFonts w:ascii="Arial" w:cs="Arial" w:eastAsia="Arial" w:hAnsi="Arial"/>
                <w:sz w:val="14"/>
                <w:szCs w:val="14"/>
                <w:color w:val="auto"/>
              </w:rPr>
              <w:t>outstanding at December 31, 2022 and 2021, respectively</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5"/>
        </w:trPr>
        <w:tc>
          <w:tcPr>
            <w:tcW w:w="7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Class B common stock, $0.0001 par value - 150,000,000 shares authorized; 35,482,534 and 35,658,013 shares issued and</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5"/>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outstanding at December 31, 2022 and 2021, respectively</w:t>
            </w:r>
          </w:p>
        </w:tc>
        <w:tc>
          <w:tcPr>
            <w:tcW w:w="1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r>
      <w:tr>
        <w:trPr>
          <w:trHeight w:val="204"/>
        </w:trPr>
        <w:tc>
          <w:tcPr>
            <w:tcW w:w="7600" w:type="dxa"/>
            <w:vAlign w:val="bottom"/>
          </w:tcPr>
          <w:p>
            <w:pPr>
              <w:ind w:left="140"/>
              <w:spacing w:after="0"/>
              <w:rPr>
                <w:sz w:val="20"/>
                <w:szCs w:val="20"/>
                <w:color w:val="auto"/>
              </w:rPr>
            </w:pPr>
            <w:r>
              <w:rPr>
                <w:rFonts w:ascii="Arial" w:cs="Arial" w:eastAsia="Arial" w:hAnsi="Arial"/>
                <w:sz w:val="14"/>
                <w:szCs w:val="14"/>
                <w:color w:val="auto"/>
                <w:w w:val="97"/>
              </w:rPr>
              <w:t>Class C common stock, $0.0001 par value - 150,000,000 shares authorized; 49,119,976 and 49,505,250 shares issued and</w:t>
            </w: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89"/>
        </w:trPr>
        <w:tc>
          <w:tcPr>
            <w:tcW w:w="7600" w:type="dxa"/>
            <w:vAlign w:val="bottom"/>
          </w:tcPr>
          <w:p>
            <w:pPr>
              <w:ind w:left="140"/>
              <w:spacing w:after="0"/>
              <w:rPr>
                <w:sz w:val="20"/>
                <w:szCs w:val="20"/>
                <w:color w:val="auto"/>
              </w:rPr>
            </w:pPr>
            <w:r>
              <w:rPr>
                <w:rFonts w:ascii="Arial" w:cs="Arial" w:eastAsia="Arial" w:hAnsi="Arial"/>
                <w:sz w:val="14"/>
                <w:szCs w:val="14"/>
                <w:color w:val="auto"/>
              </w:rPr>
              <w:t>outstanding at December 31, 2022 and 2021, respectively</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5"/>
        </w:trPr>
        <w:tc>
          <w:tcPr>
            <w:tcW w:w="7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3"/>
              </w:rPr>
              <w:t>Class D common stock, $0.0001 par value - 150,000,000 shares authorized; none issued and outstanding at December 31, 2022</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4"/>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and 2021, respectively</w:t>
            </w:r>
          </w:p>
        </w:tc>
        <w:tc>
          <w:tcPr>
            <w:tcW w:w="1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4"/>
        </w:trPr>
        <w:tc>
          <w:tcPr>
            <w:tcW w:w="760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7,256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6,865</w:t>
            </w:r>
          </w:p>
        </w:tc>
      </w:tr>
      <w:tr>
        <w:trPr>
          <w:trHeight w:val="25"/>
        </w:trPr>
        <w:tc>
          <w:tcPr>
            <w:tcW w:w="7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1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3,663</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1,528</w:t>
            </w:r>
          </w:p>
        </w:tc>
      </w:tr>
      <w:tr>
        <w:trPr>
          <w:trHeight w:val="198"/>
        </w:trPr>
        <w:tc>
          <w:tcPr>
            <w:tcW w:w="7600" w:type="dxa"/>
            <w:vAlign w:val="bottom"/>
          </w:tcPr>
          <w:p>
            <w:pPr>
              <w:ind w:left="140"/>
              <w:spacing w:after="0"/>
              <w:rPr>
                <w:sz w:val="20"/>
                <w:szCs w:val="20"/>
                <w:color w:val="auto"/>
              </w:rPr>
            </w:pPr>
            <w:r>
              <w:rPr>
                <w:rFonts w:ascii="Arial" w:cs="Arial" w:eastAsia="Arial" w:hAnsi="Arial"/>
                <w:sz w:val="14"/>
                <w:szCs w:val="14"/>
                <w:b w:val="1"/>
                <w:bCs w:val="1"/>
                <w:color w:val="auto"/>
              </w:rPr>
              <w:t>Equity attributable to Brilliant Earth Group, Inc.</w:t>
            </w:r>
          </w:p>
        </w:tc>
        <w:tc>
          <w:tcPr>
            <w:tcW w:w="1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10,929</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8,403</w:t>
            </w:r>
          </w:p>
        </w:tc>
      </w:tr>
      <w:tr>
        <w:trPr>
          <w:trHeight w:val="25"/>
        </w:trPr>
        <w:tc>
          <w:tcPr>
            <w:tcW w:w="7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NCI attributable to Brilliant Earth, LLC</w:t>
            </w:r>
          </w:p>
        </w:tc>
        <w:tc>
          <w:tcPr>
            <w:tcW w:w="1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82,212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74,435</w:t>
            </w:r>
          </w:p>
        </w:tc>
      </w:tr>
      <w:tr>
        <w:trPr>
          <w:trHeight w:val="198"/>
        </w:trPr>
        <w:tc>
          <w:tcPr>
            <w:tcW w:w="7600" w:type="dxa"/>
            <w:vAlign w:val="bottom"/>
          </w:tcPr>
          <w:p>
            <w:pPr>
              <w:ind w:left="240"/>
              <w:spacing w:after="0"/>
              <w:rPr>
                <w:sz w:val="20"/>
                <w:szCs w:val="20"/>
                <w:color w:val="auto"/>
              </w:rPr>
            </w:pPr>
            <w:r>
              <w:rPr>
                <w:rFonts w:ascii="Arial" w:cs="Arial" w:eastAsia="Arial" w:hAnsi="Arial"/>
                <w:sz w:val="14"/>
                <w:szCs w:val="14"/>
                <w:b w:val="1"/>
                <w:bCs w:val="1"/>
                <w:color w:val="auto"/>
              </w:rPr>
              <w:t>Total equity</w:t>
            </w:r>
          </w:p>
        </w:tc>
        <w:tc>
          <w:tcPr>
            <w:tcW w:w="1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93,141</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82,838</w:t>
            </w:r>
          </w:p>
        </w:tc>
      </w:tr>
      <w:tr>
        <w:trPr>
          <w:trHeight w:val="25"/>
        </w:trPr>
        <w:tc>
          <w:tcPr>
            <w:tcW w:w="7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262,574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217,731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39" w:right="339" w:bottom="10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074"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Brilliant Earth Group, Inc.</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(in thousands except share and per share amounts)</w:t>
      </w:r>
    </w:p>
    <w:p>
      <w:pPr>
        <w:spacing w:after="0" w:line="63" w:lineRule="exact"/>
        <w:rPr>
          <w:sz w:val="20"/>
          <w:szCs w:val="20"/>
          <w:color w:val="auto"/>
        </w:rPr>
      </w:pPr>
    </w:p>
    <w:tbl>
      <w:tblPr>
        <w:tblLayout w:type="fixed"/>
        <w:tblInd w:w="64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6"/>
          </w:tcPr>
          <w:p>
            <w:pPr>
              <w:jc w:val="center"/>
              <w:ind w:left="979"/>
              <w:spacing w:after="0"/>
              <w:rPr>
                <w:sz w:val="20"/>
                <w:szCs w:val="20"/>
                <w:color w:val="auto"/>
              </w:rPr>
            </w:pPr>
            <w:r>
              <w:rPr>
                <w:rFonts w:ascii="Arial" w:cs="Arial" w:eastAsia="Arial" w:hAnsi="Arial"/>
                <w:sz w:val="16"/>
                <w:szCs w:val="16"/>
                <w:b w:val="1"/>
                <w:bCs w:val="1"/>
                <w:color w:val="auto"/>
                <w:w w:val="90"/>
              </w:rPr>
              <w:t>Years ended December 31,</w:t>
            </w:r>
          </w:p>
        </w:tc>
        <w:tc>
          <w:tcPr>
            <w:tcW w:w="1180" w:type="dxa"/>
            <w:vAlign w:val="bottom"/>
          </w:tcPr>
          <w:p>
            <w:pPr>
              <w:spacing w:after="0"/>
              <w:rPr>
                <w:sz w:val="18"/>
                <w:szCs w:val="18"/>
                <w:color w:val="auto"/>
              </w:rPr>
            </w:pPr>
          </w:p>
        </w:tc>
      </w:tr>
      <w:tr>
        <w:trPr>
          <w:trHeight w:val="33"/>
        </w:trPr>
        <w:tc>
          <w:tcPr>
            <w:tcW w:w="5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33"/>
        </w:trPr>
        <w:tc>
          <w:tcPr>
            <w:tcW w:w="5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439,882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380,189</w:t>
            </w:r>
          </w:p>
        </w:tc>
        <w:tc>
          <w:tcPr>
            <w:tcW w:w="4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251,820</w:t>
            </w:r>
          </w:p>
        </w:tc>
      </w:tr>
      <w:tr>
        <w:trPr>
          <w:trHeight w:val="223"/>
        </w:trPr>
        <w:tc>
          <w:tcPr>
            <w:tcW w:w="524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205,591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192,768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139,518</w:t>
            </w:r>
          </w:p>
        </w:tc>
      </w:tr>
      <w:tr>
        <w:trPr>
          <w:trHeight w:val="33"/>
        </w:trPr>
        <w:tc>
          <w:tcPr>
            <w:tcW w:w="5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5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Gross profit</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234,291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187,421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112,302</w:t>
            </w:r>
          </w:p>
        </w:tc>
      </w:tr>
      <w:tr>
        <w:trPr>
          <w:trHeight w:val="224"/>
        </w:trPr>
        <w:tc>
          <w:tcPr>
            <w:tcW w:w="52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210,964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147,291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85,710</w:t>
            </w:r>
          </w:p>
        </w:tc>
      </w:tr>
      <w:tr>
        <w:trPr>
          <w:trHeight w:val="217"/>
        </w:trPr>
        <w:tc>
          <w:tcPr>
            <w:tcW w:w="5240" w:type="dxa"/>
            <w:vAlign w:val="bottom"/>
          </w:tcPr>
          <w:p>
            <w:pPr>
              <w:ind w:left="660"/>
              <w:spacing w:after="0"/>
              <w:rPr>
                <w:sz w:val="20"/>
                <w:szCs w:val="20"/>
                <w:color w:val="auto"/>
              </w:rPr>
            </w:pPr>
            <w:r>
              <w:rPr>
                <w:rFonts w:ascii="Arial" w:cs="Arial" w:eastAsia="Arial" w:hAnsi="Arial"/>
                <w:sz w:val="16"/>
                <w:szCs w:val="16"/>
                <w:b w:val="1"/>
                <w:bCs w:val="1"/>
                <w:color w:val="auto"/>
              </w:rPr>
              <w:t>Income from operations</w:t>
            </w: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23,327</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40,130</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26,592</w:t>
            </w:r>
          </w:p>
        </w:tc>
      </w:tr>
      <w:tr>
        <w:trPr>
          <w:trHeight w:val="3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(4,658)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(7,589)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(4,942)</w:t>
            </w:r>
          </w:p>
        </w:tc>
      </w:tr>
      <w:tr>
        <w:trPr>
          <w:trHeight w:val="223"/>
        </w:trPr>
        <w:tc>
          <w:tcPr>
            <w:tcW w:w="5240" w:type="dxa"/>
            <w:vAlign w:val="bottom"/>
          </w:tcPr>
          <w:p>
            <w:pPr>
              <w:ind w:left="340"/>
              <w:spacing w:after="0"/>
              <w:rPr>
                <w:sz w:val="20"/>
                <w:szCs w:val="20"/>
                <w:color w:val="auto"/>
              </w:rPr>
            </w:pPr>
            <w:r>
              <w:rPr>
                <w:rFonts w:ascii="Arial" w:cs="Arial" w:eastAsia="Arial" w:hAnsi="Arial"/>
                <w:sz w:val="16"/>
                <w:szCs w:val="16"/>
                <w:color w:val="auto"/>
              </w:rPr>
              <w:t>Other income (expense), net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805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(6,601)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(74)</w:t>
            </w:r>
          </w:p>
        </w:tc>
      </w:tr>
      <w:tr>
        <w:trPr>
          <w:trHeight w:val="3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 on extinguishment of debt</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17"/>
        </w:trPr>
        <w:tc>
          <w:tcPr>
            <w:tcW w:w="5240" w:type="dxa"/>
            <w:vAlign w:val="bottom"/>
          </w:tcPr>
          <w:p>
            <w:pPr>
              <w:ind w:left="660"/>
              <w:spacing w:after="0"/>
              <w:rPr>
                <w:sz w:val="20"/>
                <w:szCs w:val="20"/>
                <w:color w:val="auto"/>
              </w:rPr>
            </w:pPr>
            <w:r>
              <w:rPr>
                <w:rFonts w:ascii="Arial" w:cs="Arial" w:eastAsia="Arial" w:hAnsi="Arial"/>
                <w:sz w:val="16"/>
                <w:szCs w:val="16"/>
                <w:b w:val="1"/>
                <w:bCs w:val="1"/>
                <w:color w:val="auto"/>
              </w:rPr>
              <w:t>Income before tax</w:t>
            </w: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18,857</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25,940</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21,576</w:t>
            </w:r>
          </w:p>
        </w:tc>
      </w:tr>
      <w:tr>
        <w:trPr>
          <w:trHeight w:val="3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Income tax benefit</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47"/>
        </w:trPr>
        <w:tc>
          <w:tcPr>
            <w:tcW w:w="5240" w:type="dxa"/>
            <w:vAlign w:val="bottom"/>
          </w:tcPr>
          <w:p>
            <w:pPr>
              <w:ind w:left="660"/>
              <w:spacing w:after="0"/>
              <w:rPr>
                <w:sz w:val="20"/>
                <w:szCs w:val="20"/>
                <w:color w:val="auto"/>
              </w:rPr>
            </w:pPr>
            <w:r>
              <w:rPr>
                <w:rFonts w:ascii="Arial" w:cs="Arial" w:eastAsia="Arial" w:hAnsi="Arial"/>
                <w:sz w:val="16"/>
                <w:szCs w:val="16"/>
                <w:b w:val="1"/>
                <w:bCs w:val="1"/>
                <w:color w:val="auto"/>
              </w:rPr>
              <w:t>Net income</w:t>
            </w:r>
          </w:p>
        </w:tc>
        <w:tc>
          <w:tcPr>
            <w:tcW w:w="1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19,025</w:t>
            </w: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26,256</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21,576</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allocable to non-controlling interest</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16,890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24,728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47"/>
        </w:trPr>
        <w:tc>
          <w:tcPr>
            <w:tcW w:w="5240" w:type="dxa"/>
            <w:vAlign w:val="bottom"/>
          </w:tcPr>
          <w:p>
            <w:pPr>
              <w:ind w:left="660"/>
              <w:spacing w:after="0"/>
              <w:rPr>
                <w:sz w:val="20"/>
                <w:szCs w:val="20"/>
                <w:color w:val="auto"/>
              </w:rPr>
            </w:pPr>
            <w:r>
              <w:rPr>
                <w:rFonts w:ascii="Arial" w:cs="Arial" w:eastAsia="Arial" w:hAnsi="Arial"/>
                <w:sz w:val="16"/>
                <w:szCs w:val="16"/>
                <w:b w:val="1"/>
                <w:bCs w:val="1"/>
                <w:color w:val="auto"/>
              </w:rPr>
              <w:t>Net income allocable to Brilliant Earth Group,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2,135</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
        </w:trPr>
        <w:tc>
          <w:tcPr>
            <w:tcW w:w="5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452"/>
        </w:trPr>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Period from</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3"/>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September 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7"/>
                <w:szCs w:val="17"/>
                <w:color w:val="auto"/>
              </w:rPr>
            </w:pPr>
          </w:p>
        </w:tc>
        <w:tc>
          <w:tcPr>
            <w:tcW w:w="144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2021 to</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 2022</w:t>
            </w:r>
          </w:p>
        </w:tc>
        <w:tc>
          <w:tcPr>
            <w:tcW w:w="100" w:type="dxa"/>
            <w:vAlign w:val="bottom"/>
          </w:tcPr>
          <w:p>
            <w:pPr>
              <w:spacing w:after="0"/>
              <w:rPr>
                <w:sz w:val="18"/>
                <w:szCs w:val="18"/>
                <w:color w:val="auto"/>
              </w:rPr>
            </w:pPr>
          </w:p>
        </w:tc>
        <w:tc>
          <w:tcPr>
            <w:tcW w:w="144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December 31, 2021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1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23"/>
        </w:trPr>
        <w:tc>
          <w:tcPr>
            <w:tcW w:w="5240" w:type="dxa"/>
            <w:vAlign w:val="bottom"/>
          </w:tcPr>
          <w:p>
            <w:pPr>
              <w:ind w:left="340"/>
              <w:spacing w:after="0"/>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0.20</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0.16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0.15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0.10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6"/>
                <w:szCs w:val="16"/>
                <w:color w:val="auto"/>
              </w:rPr>
              <w:t>Weighted average shares of common stock outstanding:</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10,687,732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9,590,443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3"/>
        </w:trPr>
        <w:tc>
          <w:tcPr>
            <w:tcW w:w="5240" w:type="dxa"/>
            <w:vAlign w:val="bottom"/>
          </w:tcPr>
          <w:p>
            <w:pPr>
              <w:ind w:left="34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96,505,325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96,741,421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356"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39" w:right="9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Brilliant Earth Group, Inc.</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CONSOLIDATED STATEMENTS OF CHANGES IN REDEEMABLE CONVERTIBLE PREFERRED UNITS AND EQUITY/</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r>
        <w:rPr>
          <w:rFonts w:ascii="Arial" w:cs="Arial" w:eastAsia="Arial" w:hAnsi="Arial"/>
          <w:sz w:val="18"/>
          <w:szCs w:val="18"/>
          <w:b w:val="1"/>
          <w:bCs w:val="1"/>
          <w:color w:val="auto"/>
        </w:rPr>
        <w:t xml:space="preserve"> (DEFICIT)</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 except share amounts)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540" w:type="dxa"/>
            <w:vAlign w:val="bottom"/>
          </w:tcPr>
          <w:p>
            <w:pPr>
              <w:spacing w:after="0"/>
              <w:rPr>
                <w:sz w:val="11"/>
                <w:szCs w:val="11"/>
                <w:color w:val="auto"/>
              </w:rPr>
            </w:pPr>
          </w:p>
        </w:tc>
        <w:tc>
          <w:tcPr>
            <w:tcW w:w="2520" w:type="dxa"/>
            <w:vAlign w:val="bottom"/>
            <w:gridSpan w:val="10"/>
          </w:tcPr>
          <w:p>
            <w:pPr>
              <w:jc w:val="center"/>
              <w:ind w:right="80"/>
              <w:spacing w:after="0"/>
              <w:rPr>
                <w:sz w:val="20"/>
                <w:szCs w:val="20"/>
                <w:color w:val="auto"/>
              </w:rPr>
            </w:pPr>
            <w:r>
              <w:rPr>
                <w:rFonts w:ascii="Arial" w:cs="Arial" w:eastAsia="Arial" w:hAnsi="Arial"/>
                <w:sz w:val="11"/>
                <w:szCs w:val="11"/>
                <w:b w:val="1"/>
                <w:bCs w:val="1"/>
                <w:color w:val="auto"/>
                <w:w w:val="93"/>
              </w:rPr>
              <w:t>Brilliant Earth, LLC (prior to Reorganization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8"/>
              </w:rPr>
              <w:t>Transactions) Note 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13"/>
          </w:tcPr>
          <w:p>
            <w:pPr>
              <w:ind w:left="420"/>
              <w:spacing w:after="0"/>
              <w:rPr>
                <w:sz w:val="20"/>
                <w:szCs w:val="20"/>
                <w:color w:val="auto"/>
              </w:rPr>
            </w:pPr>
            <w:r>
              <w:rPr>
                <w:rFonts w:ascii="Arial" w:cs="Arial" w:eastAsia="Arial" w:hAnsi="Arial"/>
                <w:sz w:val="11"/>
                <w:szCs w:val="11"/>
                <w:b w:val="1"/>
                <w:bCs w:val="1"/>
                <w:color w:val="auto"/>
              </w:rPr>
              <w:t>Brilliant Earth Group, Inc. Stockholders’ Equity</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Non-</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60" w:type="dxa"/>
            <w:vAlign w:val="bottom"/>
            <w:gridSpan w:val="5"/>
          </w:tcPr>
          <w:p>
            <w:pPr>
              <w:ind w:left="40"/>
              <w:spacing w:after="0"/>
              <w:rPr>
                <w:sz w:val="20"/>
                <w:szCs w:val="20"/>
                <w:color w:val="auto"/>
              </w:rPr>
            </w:pPr>
            <w:r>
              <w:rPr>
                <w:rFonts w:ascii="Arial" w:cs="Arial" w:eastAsia="Arial" w:hAnsi="Arial"/>
                <w:sz w:val="11"/>
                <w:szCs w:val="11"/>
                <w:b w:val="1"/>
                <w:bCs w:val="1"/>
                <w:color w:val="auto"/>
                <w:w w:val="96"/>
              </w:rPr>
              <w:t>Class F Units and Class</w:t>
            </w:r>
          </w:p>
        </w:tc>
        <w:tc>
          <w:tcPr>
            <w:tcW w:w="118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87"/>
              </w:rPr>
              <w:t>Class A Common</w:t>
            </w:r>
          </w:p>
        </w:tc>
        <w:tc>
          <w:tcPr>
            <w:tcW w:w="1180" w:type="dxa"/>
            <w:vAlign w:val="bottom"/>
            <w:gridSpan w:val="5"/>
          </w:tcPr>
          <w:p>
            <w:pPr>
              <w:ind w:left="140"/>
              <w:spacing w:after="0"/>
              <w:rPr>
                <w:sz w:val="20"/>
                <w:szCs w:val="20"/>
                <w:color w:val="auto"/>
              </w:rPr>
            </w:pPr>
            <w:r>
              <w:rPr>
                <w:rFonts w:ascii="Arial" w:cs="Arial" w:eastAsia="Arial" w:hAnsi="Arial"/>
                <w:sz w:val="11"/>
                <w:szCs w:val="11"/>
                <w:b w:val="1"/>
                <w:bCs w:val="1"/>
                <w:color w:val="auto"/>
              </w:rPr>
              <w:t>Class B Common</w:t>
            </w:r>
          </w:p>
        </w:tc>
        <w:tc>
          <w:tcPr>
            <w:tcW w:w="11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87"/>
              </w:rPr>
              <w:t>Class C Common</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Controlling</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4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Arial" w:cs="Arial" w:eastAsia="Arial" w:hAnsi="Arial"/>
                <w:sz w:val="11"/>
                <w:szCs w:val="11"/>
                <w:b w:val="1"/>
                <w:bCs w:val="1"/>
                <w:color w:val="auto"/>
              </w:rPr>
              <w:t>Class P</w:t>
            </w:r>
          </w:p>
        </w:tc>
        <w:tc>
          <w:tcPr>
            <w:tcW w:w="4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60" w:type="dxa"/>
            <w:vAlign w:val="bottom"/>
            <w:gridSpan w:val="5"/>
          </w:tcPr>
          <w:p>
            <w:pPr>
              <w:ind w:left="400"/>
              <w:spacing w:after="0"/>
              <w:rPr>
                <w:sz w:val="20"/>
                <w:szCs w:val="20"/>
                <w:color w:val="auto"/>
              </w:rPr>
            </w:pPr>
            <w:r>
              <w:rPr>
                <w:rFonts w:ascii="Arial" w:cs="Arial" w:eastAsia="Arial" w:hAnsi="Arial"/>
                <w:sz w:val="11"/>
                <w:szCs w:val="11"/>
                <w:b w:val="1"/>
                <w:bCs w:val="1"/>
                <w:color w:val="auto"/>
              </w:rPr>
              <w:t>M Units</w:t>
            </w:r>
          </w:p>
        </w:tc>
        <w:tc>
          <w:tcPr>
            <w:tcW w:w="820" w:type="dxa"/>
            <w:vAlign w:val="bottom"/>
            <w:gridSpan w:val="3"/>
          </w:tcPr>
          <w:p>
            <w:pPr>
              <w:jc w:val="center"/>
              <w:ind w:left="226"/>
              <w:spacing w:after="0"/>
              <w:rPr>
                <w:sz w:val="20"/>
                <w:szCs w:val="20"/>
                <w:color w:val="auto"/>
              </w:rPr>
            </w:pPr>
            <w:r>
              <w:rPr>
                <w:rFonts w:ascii="Arial" w:cs="Arial" w:eastAsia="Arial" w:hAnsi="Arial"/>
                <w:sz w:val="11"/>
                <w:szCs w:val="11"/>
                <w:b w:val="1"/>
                <w:bCs w:val="1"/>
                <w:color w:val="auto"/>
                <w:w w:val="86"/>
              </w:rPr>
              <w:t>Stock</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ind w:left="420"/>
              <w:spacing w:after="0"/>
              <w:rPr>
                <w:sz w:val="20"/>
                <w:szCs w:val="20"/>
                <w:color w:val="auto"/>
              </w:rPr>
            </w:pPr>
            <w:r>
              <w:rPr>
                <w:rFonts w:ascii="Arial" w:cs="Arial" w:eastAsia="Arial" w:hAnsi="Arial"/>
                <w:sz w:val="11"/>
                <w:szCs w:val="11"/>
                <w:b w:val="1"/>
                <w:bCs w:val="1"/>
                <w:color w:val="auto"/>
              </w:rPr>
              <w:t>Stock</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left="226"/>
              <w:spacing w:after="0"/>
              <w:rPr>
                <w:sz w:val="20"/>
                <w:szCs w:val="20"/>
                <w:color w:val="auto"/>
              </w:rPr>
            </w:pPr>
            <w:r>
              <w:rPr>
                <w:rFonts w:ascii="Arial" w:cs="Arial" w:eastAsia="Arial" w:hAnsi="Arial"/>
                <w:sz w:val="11"/>
                <w:szCs w:val="11"/>
                <w:b w:val="1"/>
                <w:bCs w:val="1"/>
                <w:color w:val="auto"/>
                <w:w w:val="86"/>
              </w:rPr>
              <w:t>Stock</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Interest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Additional</w:t>
            </w: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Paid-In</w:t>
            </w:r>
          </w:p>
        </w:tc>
        <w:tc>
          <w:tcPr>
            <w:tcW w:w="600" w:type="dxa"/>
            <w:vAlign w:val="bottom"/>
            <w:gridSpan w:val="3"/>
          </w:tcPr>
          <w:p>
            <w:pPr>
              <w:ind w:left="60"/>
              <w:spacing w:after="0"/>
              <w:rPr>
                <w:sz w:val="20"/>
                <w:szCs w:val="20"/>
                <w:color w:val="auto"/>
              </w:rPr>
            </w:pPr>
            <w:r>
              <w:rPr>
                <w:rFonts w:ascii="Arial" w:cs="Arial" w:eastAsia="Arial" w:hAnsi="Arial"/>
                <w:sz w:val="11"/>
                <w:szCs w:val="11"/>
                <w:b w:val="1"/>
                <w:bCs w:val="1"/>
                <w:color w:val="auto"/>
              </w:rPr>
              <w:t>Retained</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w w:val="98"/>
              </w:rPr>
              <w:t>Stockholders’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Total units</w:t>
            </w:r>
          </w:p>
        </w:tc>
        <w:tc>
          <w:tcPr>
            <w:tcW w:w="58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87"/>
              </w:rPr>
              <w:t>amounts</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Total Units</w:t>
            </w:r>
          </w:p>
        </w:tc>
        <w:tc>
          <w:tcPr>
            <w:tcW w:w="5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Amounts</w:t>
            </w:r>
          </w:p>
        </w:tc>
        <w:tc>
          <w:tcPr>
            <w:tcW w:w="62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Amounts</w:t>
            </w:r>
          </w:p>
        </w:tc>
        <w:tc>
          <w:tcPr>
            <w:tcW w:w="62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Amounts</w:t>
            </w: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Amounts</w:t>
            </w:r>
          </w:p>
        </w:tc>
        <w:tc>
          <w:tcPr>
            <w:tcW w:w="10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Capital</w:t>
            </w:r>
          </w:p>
        </w:tc>
        <w:tc>
          <w:tcPr>
            <w:tcW w:w="600" w:type="dxa"/>
            <w:vAlign w:val="bottom"/>
            <w:gridSpan w:val="3"/>
          </w:tcPr>
          <w:p>
            <w:pPr>
              <w:ind w:left="60"/>
              <w:spacing w:after="0"/>
              <w:rPr>
                <w:sz w:val="20"/>
                <w:szCs w:val="20"/>
                <w:color w:val="auto"/>
              </w:rPr>
            </w:pPr>
            <w:r>
              <w:rPr>
                <w:rFonts w:ascii="Arial" w:cs="Arial" w:eastAsia="Arial" w:hAnsi="Arial"/>
                <w:sz w:val="11"/>
                <w:szCs w:val="11"/>
                <w:b w:val="1"/>
                <w:bCs w:val="1"/>
                <w:color w:val="auto"/>
              </w:rPr>
              <w:t>Earnings</w:t>
            </w:r>
          </w:p>
        </w:tc>
        <w:tc>
          <w:tcPr>
            <w:tcW w:w="140" w:type="dxa"/>
            <w:vAlign w:val="bottom"/>
          </w:tcPr>
          <w:p>
            <w:pPr>
              <w:spacing w:after="0"/>
              <w:rPr>
                <w:sz w:val="13"/>
                <w:szCs w:val="13"/>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Equity</w:t>
            </w:r>
          </w:p>
        </w:tc>
        <w:tc>
          <w:tcPr>
            <w:tcW w:w="80" w:type="dxa"/>
            <w:vAlign w:val="bottom"/>
          </w:tcPr>
          <w:p>
            <w:pPr>
              <w:spacing w:after="0"/>
              <w:rPr>
                <w:sz w:val="13"/>
                <w:szCs w:val="13"/>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Amounts</w:t>
            </w:r>
          </w:p>
        </w:tc>
        <w:tc>
          <w:tcPr>
            <w:tcW w:w="80" w:type="dxa"/>
            <w:vAlign w:val="bottom"/>
          </w:tcPr>
          <w:p>
            <w:pPr>
              <w:spacing w:after="0"/>
              <w:rPr>
                <w:sz w:val="13"/>
                <w:szCs w:val="1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15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January 1, 2020</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4"/>
              </w:rPr>
              <w:t>32,435,595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80,829</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4"/>
              </w:rPr>
              <w:t>52,595,807</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1"/>
              </w:rPr>
              <w:t>$ (91,519)</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(91,519)</w:t>
            </w:r>
          </w:p>
        </w:tc>
        <w:tc>
          <w:tcPr>
            <w:tcW w:w="0" w:type="dxa"/>
            <w:vAlign w:val="bottom"/>
          </w:tcPr>
          <w:p>
            <w:pPr>
              <w:spacing w:after="0"/>
              <w:rPr>
                <w:sz w:val="1"/>
                <w:szCs w:val="1"/>
                <w:color w:val="auto"/>
              </w:rPr>
            </w:pPr>
          </w:p>
        </w:tc>
      </w:tr>
      <w:tr>
        <w:trPr>
          <w:trHeight w:val="153"/>
        </w:trPr>
        <w:tc>
          <w:tcPr>
            <w:tcW w:w="1540" w:type="dxa"/>
            <w:vAlign w:val="bottom"/>
          </w:tcPr>
          <w:p>
            <w:pPr>
              <w:ind w:left="20"/>
              <w:spacing w:after="0"/>
              <w:rPr>
                <w:sz w:val="20"/>
                <w:szCs w:val="20"/>
                <w:color w:val="auto"/>
              </w:rPr>
            </w:pPr>
            <w:r>
              <w:rPr>
                <w:rFonts w:ascii="Arial" w:cs="Arial" w:eastAsia="Arial" w:hAnsi="Arial"/>
                <w:sz w:val="11"/>
                <w:szCs w:val="11"/>
                <w:color w:val="auto"/>
                <w:w w:val="97"/>
              </w:rPr>
              <w:t>Special distribution to members</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87"/>
              </w:rPr>
              <w:t>(10,000)</w:t>
            </w:r>
          </w:p>
        </w:tc>
        <w:tc>
          <w:tcPr>
            <w:tcW w:w="100" w:type="dxa"/>
            <w:vAlign w:val="bottom"/>
            <w:tcBorders>
              <w:right w:val="single" w:sz="8" w:color="auto"/>
            </w:tcBorders>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2"/>
              </w:rPr>
              <w:t>(20,000)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w w:val="97"/>
              </w:rPr>
              <w:t>(20,000)</w:t>
            </w: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Vested Class M Units</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174,847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3"/>
        </w:trPr>
        <w:tc>
          <w:tcPr>
            <w:tcW w:w="1540" w:type="dxa"/>
            <w:vAlign w:val="bottom"/>
          </w:tcPr>
          <w:p>
            <w:pPr>
              <w:ind w:left="20"/>
              <w:spacing w:after="0"/>
              <w:rPr>
                <w:sz w:val="20"/>
                <w:szCs w:val="20"/>
                <w:color w:val="auto"/>
              </w:rPr>
            </w:pPr>
            <w:r>
              <w:rPr>
                <w:rFonts w:ascii="Arial" w:cs="Arial" w:eastAsia="Arial" w:hAnsi="Arial"/>
                <w:sz w:val="11"/>
                <w:szCs w:val="11"/>
                <w:color w:val="auto"/>
              </w:rPr>
              <w:t>Equity-based compensation</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46</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46</w:t>
            </w: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3,997</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17,579</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17,579</w:t>
            </w: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rPr>
              <w:t>Adjustment of redeemable</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
              <w:spacing w:after="0"/>
              <w:rPr>
                <w:sz w:val="20"/>
                <w:szCs w:val="20"/>
                <w:color w:val="auto"/>
              </w:rPr>
            </w:pPr>
            <w:r>
              <w:rPr>
                <w:rFonts w:ascii="Arial" w:cs="Arial" w:eastAsia="Arial" w:hAnsi="Arial"/>
                <w:sz w:val="11"/>
                <w:szCs w:val="11"/>
                <w:color w:val="auto"/>
              </w:rPr>
              <w:t>convertible preferred units to</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8,499</w:t>
            </w:r>
          </w:p>
        </w:tc>
        <w:tc>
          <w:tcPr>
            <w:tcW w:w="0" w:type="dxa"/>
            <w:vAlign w:val="bottom"/>
          </w:tcPr>
          <w:p>
            <w:pPr>
              <w:spacing w:after="0"/>
              <w:rPr>
                <w:sz w:val="1"/>
                <w:szCs w:val="1"/>
                <w:color w:val="auto"/>
              </w:rPr>
            </w:pPr>
          </w:p>
        </w:tc>
      </w:tr>
      <w:tr>
        <w:trPr>
          <w:trHeight w:val="136"/>
        </w:trPr>
        <w:tc>
          <w:tcPr>
            <w:tcW w:w="1540" w:type="dxa"/>
            <w:vAlign w:val="bottom"/>
          </w:tcPr>
          <w:p>
            <w:pPr>
              <w:ind w:left="20"/>
              <w:spacing w:after="0"/>
              <w:rPr>
                <w:sz w:val="20"/>
                <w:szCs w:val="20"/>
                <w:color w:val="auto"/>
              </w:rPr>
            </w:pPr>
            <w:r>
              <w:rPr>
                <w:rFonts w:ascii="Arial" w:cs="Arial" w:eastAsia="Arial" w:hAnsi="Arial"/>
                <w:sz w:val="11"/>
                <w:szCs w:val="11"/>
                <w:color w:val="auto"/>
              </w:rPr>
              <w:t>redemption value</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(8,499)</w:t>
            </w:r>
          </w:p>
        </w:tc>
        <w:tc>
          <w:tcPr>
            <w:tcW w:w="100" w:type="dxa"/>
            <w:vAlign w:val="bottom"/>
            <w:tcBorders>
              <w:right w:val="single" w:sz="8" w:color="auto"/>
            </w:tcBorders>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8,499</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5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2020</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4"/>
              </w:rPr>
              <w:t>32,435,595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66,327</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4"/>
              </w:rPr>
              <w:t>52,770,654</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1"/>
              </w:rPr>
              <w:t>$ (85,395)</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(85,395)</w:t>
            </w: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w w:val="90"/>
              </w:rPr>
              <w:t>Tax distributions to members prior</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
              <w:spacing w:after="0"/>
              <w:rPr>
                <w:sz w:val="20"/>
                <w:szCs w:val="20"/>
                <w:color w:val="auto"/>
              </w:rPr>
            </w:pPr>
            <w:r>
              <w:rPr>
                <w:rFonts w:ascii="Arial" w:cs="Arial" w:eastAsia="Arial" w:hAnsi="Arial"/>
                <w:sz w:val="11"/>
                <w:szCs w:val="11"/>
                <w:color w:val="auto"/>
                <w:w w:val="87"/>
              </w:rPr>
              <w:t>to the Reorganization Transactions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(11,643)</w:t>
            </w:r>
          </w:p>
        </w:tc>
        <w:tc>
          <w:tcPr>
            <w:tcW w:w="0" w:type="dxa"/>
            <w:vAlign w:val="bottom"/>
          </w:tcPr>
          <w:p>
            <w:pPr>
              <w:spacing w:after="0"/>
              <w:rPr>
                <w:sz w:val="1"/>
                <w:szCs w:val="1"/>
                <w:color w:val="auto"/>
              </w:rPr>
            </w:pPr>
          </w:p>
        </w:tc>
      </w:tr>
      <w:tr>
        <w:trPr>
          <w:trHeight w:val="136"/>
        </w:trPr>
        <w:tc>
          <w:tcPr>
            <w:tcW w:w="1540" w:type="dxa"/>
            <w:vAlign w:val="bottom"/>
          </w:tcPr>
          <w:p>
            <w:pPr>
              <w:ind w:left="20"/>
              <w:spacing w:after="0"/>
              <w:rPr>
                <w:sz w:val="20"/>
                <w:szCs w:val="20"/>
                <w:color w:val="auto"/>
              </w:rPr>
            </w:pPr>
            <w:r>
              <w:rPr>
                <w:rFonts w:ascii="Arial" w:cs="Arial" w:eastAsia="Arial" w:hAnsi="Arial"/>
                <w:sz w:val="11"/>
                <w:szCs w:val="11"/>
                <w:color w:val="auto"/>
              </w:rPr>
              <w:t>and IPO</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(9,755)</w:t>
            </w:r>
          </w:p>
        </w:tc>
        <w:tc>
          <w:tcPr>
            <w:tcW w:w="100" w:type="dxa"/>
            <w:vAlign w:val="bottom"/>
            <w:tcBorders>
              <w:right w:val="single" w:sz="8" w:color="auto"/>
            </w:tcBorders>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2"/>
              </w:rPr>
              <w:t>(11,643)</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Vested Class M Units</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556,446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w w:val="93"/>
              </w:rPr>
              <w:t>Equity-based compensation prior</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
              <w:spacing w:after="0"/>
              <w:rPr>
                <w:sz w:val="20"/>
                <w:szCs w:val="20"/>
                <w:color w:val="auto"/>
              </w:rPr>
            </w:pPr>
            <w:r>
              <w:rPr>
                <w:rFonts w:ascii="Arial" w:cs="Arial" w:eastAsia="Arial" w:hAnsi="Arial"/>
                <w:sz w:val="11"/>
                <w:szCs w:val="11"/>
                <w:color w:val="auto"/>
                <w:w w:val="87"/>
              </w:rPr>
              <w:t>to the Reorganization Transactions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246</w:t>
            </w:r>
          </w:p>
        </w:tc>
        <w:tc>
          <w:tcPr>
            <w:tcW w:w="0" w:type="dxa"/>
            <w:vAlign w:val="bottom"/>
          </w:tcPr>
          <w:p>
            <w:pPr>
              <w:spacing w:after="0"/>
              <w:rPr>
                <w:sz w:val="1"/>
                <w:szCs w:val="1"/>
                <w:color w:val="auto"/>
              </w:rPr>
            </w:pPr>
          </w:p>
        </w:tc>
      </w:tr>
      <w:tr>
        <w:trPr>
          <w:trHeight w:val="136"/>
        </w:trPr>
        <w:tc>
          <w:tcPr>
            <w:tcW w:w="1540" w:type="dxa"/>
            <w:vAlign w:val="bottom"/>
          </w:tcPr>
          <w:p>
            <w:pPr>
              <w:ind w:left="20"/>
              <w:spacing w:after="0"/>
              <w:rPr>
                <w:sz w:val="20"/>
                <w:szCs w:val="20"/>
                <w:color w:val="auto"/>
              </w:rPr>
            </w:pPr>
            <w:r>
              <w:rPr>
                <w:rFonts w:ascii="Arial" w:cs="Arial" w:eastAsia="Arial" w:hAnsi="Arial"/>
                <w:sz w:val="11"/>
                <w:szCs w:val="11"/>
                <w:color w:val="auto"/>
              </w:rPr>
              <w:t>and IPO</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246</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prior to the</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2"/>
              </w:rPr>
              <w:t>Reorganization Transactions and</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8,526</w:t>
            </w:r>
          </w:p>
        </w:tc>
        <w:tc>
          <w:tcPr>
            <w:tcW w:w="0" w:type="dxa"/>
            <w:vAlign w:val="bottom"/>
          </w:tcPr>
          <w:p>
            <w:pPr>
              <w:spacing w:after="0"/>
              <w:rPr>
                <w:sz w:val="1"/>
                <w:szCs w:val="1"/>
                <w:color w:val="auto"/>
              </w:rPr>
            </w:pPr>
          </w:p>
        </w:tc>
      </w:tr>
      <w:tr>
        <w:trPr>
          <w:trHeight w:val="15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IPO</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5,466</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8,526</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rPr>
              <w:t>Adjustment of redeemable</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
              <w:spacing w:after="0"/>
              <w:rPr>
                <w:sz w:val="20"/>
                <w:szCs w:val="20"/>
                <w:color w:val="auto"/>
              </w:rPr>
            </w:pPr>
            <w:r>
              <w:rPr>
                <w:rFonts w:ascii="Arial" w:cs="Arial" w:eastAsia="Arial" w:hAnsi="Arial"/>
                <w:sz w:val="11"/>
                <w:szCs w:val="11"/>
                <w:color w:val="auto"/>
              </w:rPr>
              <w:t>convertible preferred units to</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4"/>
              </w:rPr>
              <w:t>(327,189)</w:t>
            </w:r>
          </w:p>
        </w:tc>
        <w:tc>
          <w:tcPr>
            <w:tcW w:w="0" w:type="dxa"/>
            <w:vAlign w:val="bottom"/>
          </w:tcPr>
          <w:p>
            <w:pPr>
              <w:spacing w:after="0"/>
              <w:rPr>
                <w:sz w:val="1"/>
                <w:szCs w:val="1"/>
                <w:color w:val="auto"/>
              </w:rPr>
            </w:pPr>
          </w:p>
        </w:tc>
      </w:tr>
      <w:tr>
        <w:trPr>
          <w:trHeight w:val="136"/>
        </w:trPr>
        <w:tc>
          <w:tcPr>
            <w:tcW w:w="1540" w:type="dxa"/>
            <w:vAlign w:val="bottom"/>
          </w:tcPr>
          <w:p>
            <w:pPr>
              <w:ind w:left="20"/>
              <w:spacing w:after="0"/>
              <w:rPr>
                <w:sz w:val="20"/>
                <w:szCs w:val="20"/>
                <w:color w:val="auto"/>
              </w:rPr>
            </w:pPr>
            <w:r>
              <w:rPr>
                <w:rFonts w:ascii="Arial" w:cs="Arial" w:eastAsia="Arial" w:hAnsi="Arial"/>
                <w:sz w:val="11"/>
                <w:szCs w:val="11"/>
                <w:color w:val="auto"/>
              </w:rPr>
              <w:t>redemption value</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85"/>
              </w:rPr>
              <w:t>327,189</w:t>
            </w:r>
          </w:p>
        </w:tc>
        <w:tc>
          <w:tcPr>
            <w:tcW w:w="100" w:type="dxa"/>
            <w:vAlign w:val="bottom"/>
            <w:tcBorders>
              <w:right w:val="single" w:sz="8" w:color="auto"/>
            </w:tcBorders>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w w:val="97"/>
              </w:rPr>
              <w:t>(327,189)</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Reorganization Transactions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9"/>
              </w:rPr>
              <w:t>(32,435,595)</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w w:val="93"/>
              </w:rPr>
              <w:t>(389,227)</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9"/>
              </w:rPr>
              <w:t>(53,327,100)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5"/>
              </w:rPr>
              <w:t>415,455</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7"/>
              </w:rPr>
              <w:t>36,064,421</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7"/>
              </w:rPr>
              <w:t>50,232,863</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(19,813)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5"/>
              </w:rPr>
              <w:t>395,651</w:t>
            </w:r>
          </w:p>
        </w:tc>
        <w:tc>
          <w:tcPr>
            <w:tcW w:w="0" w:type="dxa"/>
            <w:vAlign w:val="bottom"/>
          </w:tcPr>
          <w:p>
            <w:pPr>
              <w:spacing w:after="0"/>
              <w:rPr>
                <w:sz w:val="1"/>
                <w:szCs w:val="1"/>
                <w:color w:val="auto"/>
              </w:rPr>
            </w:pPr>
          </w:p>
        </w:tc>
      </w:tr>
      <w:tr>
        <w:trPr>
          <w:trHeight w:val="154"/>
        </w:trPr>
        <w:tc>
          <w:tcPr>
            <w:tcW w:w="1540" w:type="dxa"/>
            <w:vAlign w:val="bottom"/>
          </w:tcPr>
          <w:p>
            <w:pPr>
              <w:ind w:left="20"/>
              <w:spacing w:after="0"/>
              <w:rPr>
                <w:sz w:val="20"/>
                <w:szCs w:val="20"/>
                <w:color w:val="auto"/>
              </w:rPr>
            </w:pPr>
            <w:r>
              <w:rPr>
                <w:rFonts w:ascii="Arial" w:cs="Arial" w:eastAsia="Arial" w:hAnsi="Arial"/>
                <w:sz w:val="11"/>
                <w:szCs w:val="11"/>
                <w:color w:val="auto"/>
              </w:rPr>
              <w:t>IPO Transactions</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9,583,332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(522,386)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(727,613)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4,099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83,456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87,556</w:t>
            </w: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w w:val="88"/>
              </w:rPr>
              <w:t>Increase in deferred tax asset from</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step-up tax basis related to</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2"/>
              </w:rPr>
              <w:t>redemption of LLC Units and set-</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316</w:t>
            </w:r>
          </w:p>
        </w:tc>
        <w:tc>
          <w:tcPr>
            <w:tcW w:w="0" w:type="dxa"/>
            <w:vAlign w:val="bottom"/>
          </w:tcPr>
          <w:p>
            <w:pPr>
              <w:spacing w:after="0"/>
              <w:rPr>
                <w:sz w:val="1"/>
                <w:szCs w:val="1"/>
                <w:color w:val="auto"/>
              </w:rPr>
            </w:pPr>
          </w:p>
        </w:tc>
      </w:tr>
      <w:tr>
        <w:trPr>
          <w:trHeight w:val="15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up of TRA liability</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316</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w w:val="92"/>
              </w:rPr>
              <w:t>Conversion of Class B to Class A</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6"/>
        </w:trPr>
        <w:tc>
          <w:tcPr>
            <w:tcW w:w="1540" w:type="dxa"/>
            <w:vAlign w:val="bottom"/>
          </w:tcPr>
          <w:p>
            <w:pPr>
              <w:ind w:left="20"/>
              <w:spacing w:after="0"/>
              <w:rPr>
                <w:sz w:val="20"/>
                <w:szCs w:val="20"/>
                <w:color w:val="auto"/>
              </w:rPr>
            </w:pPr>
            <w:r>
              <w:rPr>
                <w:rFonts w:ascii="Arial" w:cs="Arial" w:eastAsia="Arial" w:hAnsi="Arial"/>
                <w:sz w:val="11"/>
                <w:szCs w:val="11"/>
                <w:color w:val="auto"/>
              </w:rPr>
              <w:t>common stock</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28,053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(28,053)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2"/>
              </w:rPr>
              <w:t>RSU vesting during period, net of</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5"/>
              </w:rPr>
              <w:t>shares withheld for payroll taxes</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3,138</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rPr>
              <w:t>Class B shares issued upon</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6"/>
        </w:trPr>
        <w:tc>
          <w:tcPr>
            <w:tcW w:w="1540" w:type="dxa"/>
            <w:vAlign w:val="bottom"/>
          </w:tcPr>
          <w:p>
            <w:pPr>
              <w:ind w:left="20"/>
              <w:spacing w:after="0"/>
              <w:rPr>
                <w:sz w:val="20"/>
                <w:szCs w:val="20"/>
                <w:color w:val="auto"/>
              </w:rPr>
            </w:pPr>
            <w:r>
              <w:rPr>
                <w:rFonts w:ascii="Arial" w:cs="Arial" w:eastAsia="Arial" w:hAnsi="Arial"/>
                <w:sz w:val="11"/>
                <w:szCs w:val="11"/>
                <w:color w:val="auto"/>
              </w:rPr>
              <w:t>vesting of LLC units</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144,031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Equity-based compensation</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1"/>
              </w:rPr>
              <w:t>subsequent to the Reorganization</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2,549</w:t>
            </w:r>
          </w:p>
        </w:tc>
        <w:tc>
          <w:tcPr>
            <w:tcW w:w="0" w:type="dxa"/>
            <w:vAlign w:val="bottom"/>
          </w:tcPr>
          <w:p>
            <w:pPr>
              <w:spacing w:after="0"/>
              <w:rPr>
                <w:sz w:val="1"/>
                <w:szCs w:val="1"/>
                <w:color w:val="auto"/>
              </w:rPr>
            </w:pPr>
          </w:p>
        </w:tc>
      </w:tr>
      <w:tr>
        <w:trPr>
          <w:trHeight w:val="15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Transactions and IPO</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2,450</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2,450</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99</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rPr>
              <w:t>Tax distributions to members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0"/>
              <w:spacing w:after="0"/>
              <w:rPr>
                <w:sz w:val="20"/>
                <w:szCs w:val="20"/>
                <w:color w:val="auto"/>
              </w:rPr>
            </w:pPr>
            <w:r>
              <w:rPr>
                <w:rFonts w:ascii="Arial" w:cs="Arial" w:eastAsia="Arial" w:hAnsi="Arial"/>
                <w:sz w:val="11"/>
                <w:szCs w:val="11"/>
                <w:color w:val="auto"/>
                <w:w w:val="91"/>
              </w:rPr>
              <w:t>subsequent to the Reorganization</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(43)</w:t>
            </w:r>
          </w:p>
        </w:tc>
        <w:tc>
          <w:tcPr>
            <w:tcW w:w="0" w:type="dxa"/>
            <w:vAlign w:val="bottom"/>
          </w:tcPr>
          <w:p>
            <w:pPr>
              <w:spacing w:after="0"/>
              <w:rPr>
                <w:sz w:val="1"/>
                <w:szCs w:val="1"/>
                <w:color w:val="auto"/>
              </w:rPr>
            </w:pPr>
          </w:p>
        </w:tc>
      </w:tr>
      <w:tr>
        <w:trPr>
          <w:trHeight w:val="136"/>
        </w:trPr>
        <w:tc>
          <w:tcPr>
            <w:tcW w:w="1540" w:type="dxa"/>
            <w:vAlign w:val="bottom"/>
          </w:tcPr>
          <w:p>
            <w:pPr>
              <w:ind w:left="20"/>
              <w:spacing w:after="0"/>
              <w:rPr>
                <w:sz w:val="20"/>
                <w:szCs w:val="20"/>
                <w:color w:val="auto"/>
              </w:rPr>
            </w:pPr>
            <w:r>
              <w:rPr>
                <w:rFonts w:ascii="Arial" w:cs="Arial" w:eastAsia="Arial" w:hAnsi="Arial"/>
                <w:sz w:val="11"/>
                <w:szCs w:val="11"/>
                <w:color w:val="auto"/>
              </w:rPr>
              <w:t>Transactions and IPO</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subsequent to the</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2"/>
              </w:rPr>
              <w:t>Reorganization Transactions and</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12,264</w:t>
            </w:r>
          </w:p>
        </w:tc>
        <w:tc>
          <w:tcPr>
            <w:tcW w:w="0" w:type="dxa"/>
            <w:vAlign w:val="bottom"/>
          </w:tcPr>
          <w:p>
            <w:pPr>
              <w:spacing w:after="0"/>
              <w:rPr>
                <w:sz w:val="1"/>
                <w:szCs w:val="1"/>
                <w:color w:val="auto"/>
              </w:rPr>
            </w:pPr>
          </w:p>
        </w:tc>
      </w:tr>
      <w:tr>
        <w:trPr>
          <w:trHeight w:val="17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IPO</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1,528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1,528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10,736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540" w:type="dxa"/>
            <w:vAlign w:val="bottom"/>
          </w:tcPr>
          <w:p>
            <w:pPr>
              <w:ind w:left="20"/>
              <w:spacing w:after="0"/>
              <w:rPr>
                <w:sz w:val="20"/>
                <w:szCs w:val="20"/>
                <w:color w:val="auto"/>
              </w:rPr>
            </w:pPr>
            <w:r>
              <w:rPr>
                <w:rFonts w:ascii="Arial" w:cs="Arial" w:eastAsia="Arial" w:hAnsi="Arial"/>
                <w:sz w:val="11"/>
                <w:szCs w:val="11"/>
                <w:b w:val="1"/>
                <w:bCs w:val="1"/>
                <w:color w:val="auto"/>
              </w:rPr>
              <w:t>Balance, December 31, 2021</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right w:val="single" w:sz="8" w:color="auto"/>
            </w:tcBorders>
          </w:tcPr>
          <w:p>
            <w:pPr>
              <w:spacing w:after="0"/>
              <w:rPr>
                <w:sz w:val="12"/>
                <w:szCs w:val="12"/>
                <w:color w:val="auto"/>
              </w:rPr>
            </w:pP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3"/>
              </w:rPr>
              <w:t>9,614,523</w:t>
            </w:r>
          </w:p>
        </w:tc>
        <w:tc>
          <w:tcPr>
            <w:tcW w:w="80" w:type="dxa"/>
            <w:vAlign w:val="bottom"/>
          </w:tcPr>
          <w:p>
            <w:pPr>
              <w:spacing w:after="0"/>
              <w:rPr>
                <w:sz w:val="12"/>
                <w:szCs w:val="12"/>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2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7"/>
              </w:rPr>
              <w:t>35,658,013</w:t>
            </w:r>
          </w:p>
        </w:tc>
        <w:tc>
          <w:tcPr>
            <w:tcW w:w="80" w:type="dxa"/>
            <w:vAlign w:val="bottom"/>
          </w:tcPr>
          <w:p>
            <w:pPr>
              <w:spacing w:after="0"/>
              <w:rPr>
                <w:sz w:val="12"/>
                <w:szCs w:val="12"/>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2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87"/>
              </w:rPr>
              <w:t>49,505,250</w:t>
            </w:r>
          </w:p>
        </w:tc>
        <w:tc>
          <w:tcPr>
            <w:tcW w:w="80" w:type="dxa"/>
            <w:vAlign w:val="bottom"/>
          </w:tcPr>
          <w:p>
            <w:pPr>
              <w:spacing w:after="0"/>
              <w:rPr>
                <w:sz w:val="12"/>
                <w:szCs w:val="12"/>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w:t>
            </w:r>
          </w:p>
        </w:tc>
        <w:tc>
          <w:tcPr>
            <w:tcW w:w="8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6,865</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3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1,528</w:t>
            </w:r>
          </w:p>
        </w:tc>
        <w:tc>
          <w:tcPr>
            <w:tcW w:w="80" w:type="dxa"/>
            <w:vAlign w:val="bottom"/>
          </w:tcPr>
          <w:p>
            <w:pPr>
              <w:spacing w:after="0"/>
              <w:rPr>
                <w:sz w:val="12"/>
                <w:szCs w:val="12"/>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8,403</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74,435</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82,838</w:t>
            </w: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Tax distributions to members</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(18,316)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(18,316)</w:t>
            </w: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w w:val="93"/>
              </w:rPr>
              <w:t>Conversion of Class B and Class</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1,281,052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(895,778)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(385,274)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3"/>
                <w:szCs w:val="13"/>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6"/>
        </w:trPr>
        <w:tc>
          <w:tcPr>
            <w:tcW w:w="1540" w:type="dxa"/>
            <w:vAlign w:val="bottom"/>
          </w:tcPr>
          <w:p>
            <w:pPr>
              <w:ind w:left="20"/>
              <w:spacing w:after="0"/>
              <w:rPr>
                <w:sz w:val="20"/>
                <w:szCs w:val="20"/>
                <w:color w:val="auto"/>
              </w:rPr>
            </w:pPr>
            <w:r>
              <w:rPr>
                <w:rFonts w:ascii="Arial" w:cs="Arial" w:eastAsia="Arial" w:hAnsi="Arial"/>
                <w:sz w:val="11"/>
                <w:szCs w:val="11"/>
                <w:color w:val="auto"/>
              </w:rPr>
              <w:t>C to Class A common stock</w:t>
            </w: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RSU vesting during period</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351,119</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rPr>
              <w:t>Class B shares issued upon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720,299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3"/>
                <w:szCs w:val="13"/>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3"/>
                <w:szCs w:val="13"/>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6"/>
        </w:trPr>
        <w:tc>
          <w:tcPr>
            <w:tcW w:w="1540" w:type="dxa"/>
            <w:vAlign w:val="bottom"/>
          </w:tcPr>
          <w:p>
            <w:pPr>
              <w:ind w:left="20"/>
              <w:spacing w:after="0"/>
              <w:rPr>
                <w:sz w:val="20"/>
                <w:szCs w:val="20"/>
                <w:color w:val="auto"/>
              </w:rPr>
            </w:pPr>
            <w:r>
              <w:rPr>
                <w:rFonts w:ascii="Arial" w:cs="Arial" w:eastAsia="Arial" w:hAnsi="Arial"/>
                <w:sz w:val="11"/>
                <w:szCs w:val="11"/>
                <w:color w:val="auto"/>
              </w:rPr>
              <w:t>vesting of LLC units</w:t>
            </w: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w w:val="88"/>
              </w:rPr>
              <w:t>Increase in deferred tax asset from</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step-up tax basis related to</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2"/>
              </w:rPr>
              <w:t>redemption of LLC Units and set-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1"/>
                <w:szCs w:val="11"/>
                <w:color w:val="auto"/>
              </w:rPr>
            </w:pPr>
          </w:p>
        </w:tc>
        <w:tc>
          <w:tcPr>
            <w:tcW w:w="50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2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754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754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754</w:t>
            </w:r>
          </w:p>
        </w:tc>
        <w:tc>
          <w:tcPr>
            <w:tcW w:w="0" w:type="dxa"/>
            <w:vAlign w:val="bottom"/>
          </w:tcPr>
          <w:p>
            <w:pPr>
              <w:spacing w:after="0"/>
              <w:rPr>
                <w:sz w:val="1"/>
                <w:szCs w:val="1"/>
                <w:color w:val="auto"/>
              </w:rPr>
            </w:pPr>
          </w:p>
        </w:tc>
      </w:tr>
      <w:tr>
        <w:trPr>
          <w:trHeight w:val="15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up of TRA liability</w:t>
            </w:r>
          </w:p>
        </w:tc>
        <w:tc>
          <w:tcPr>
            <w:tcW w:w="68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right w:val="single" w:sz="8" w:color="auto"/>
            </w:tcBorders>
            <w:gridSpan w:val="2"/>
            <w:vMerge w:val="continue"/>
            <w:shd w:val="clear" w:color="auto" w:fill="CCEEFF"/>
          </w:tcPr>
          <w:p>
            <w:pPr>
              <w:spacing w:after="0"/>
              <w:rPr>
                <w:sz w:val="13"/>
                <w:szCs w:val="13"/>
                <w:color w:val="auto"/>
              </w:rPr>
            </w:pPr>
          </w:p>
        </w:tc>
        <w:tc>
          <w:tcPr>
            <w:tcW w:w="68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vMerge w:val="continue"/>
            <w:shd w:val="clear" w:color="auto" w:fill="CCEEFF"/>
          </w:tcPr>
          <w:p>
            <w:pPr>
              <w:spacing w:after="0"/>
              <w:rPr>
                <w:sz w:val="13"/>
                <w:szCs w:val="13"/>
                <w:color w:val="auto"/>
              </w:rPr>
            </w:pP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vMerge w:val="continue"/>
            <w:shd w:val="clear" w:color="auto" w:fill="CCEEFF"/>
          </w:tcPr>
          <w:p>
            <w:pPr>
              <w:spacing w:after="0"/>
              <w:rPr>
                <w:sz w:val="13"/>
                <w:szCs w:val="13"/>
                <w:color w:val="auto"/>
              </w:rPr>
            </w:pP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vMerge w:val="continue"/>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540" w:type="dxa"/>
            <w:vAlign w:val="bottom"/>
          </w:tcPr>
          <w:p>
            <w:pPr>
              <w:ind w:left="20"/>
              <w:spacing w:after="0"/>
              <w:rPr>
                <w:sz w:val="20"/>
                <w:szCs w:val="20"/>
                <w:color w:val="auto"/>
              </w:rPr>
            </w:pPr>
            <w:r>
              <w:rPr>
                <w:rFonts w:ascii="Arial" w:cs="Arial" w:eastAsia="Arial" w:hAnsi="Arial"/>
                <w:sz w:val="11"/>
                <w:szCs w:val="11"/>
                <w:color w:val="auto"/>
              </w:rPr>
              <w:t>Equity-based compensation</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8,568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rPr>
              <w:t>8,568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272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8,840</w:t>
            </w: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2,135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2,135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16,890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19,025</w:t>
            </w:r>
          </w:p>
        </w:tc>
        <w:tc>
          <w:tcPr>
            <w:tcW w:w="0" w:type="dxa"/>
            <w:vAlign w:val="bottom"/>
          </w:tcPr>
          <w:p>
            <w:pPr>
              <w:spacing w:after="0"/>
              <w:rPr>
                <w:sz w:val="1"/>
                <w:szCs w:val="1"/>
                <w:color w:val="auto"/>
              </w:rPr>
            </w:pPr>
          </w:p>
        </w:tc>
      </w:tr>
      <w:tr>
        <w:trPr>
          <w:trHeight w:val="152"/>
        </w:trPr>
        <w:tc>
          <w:tcPr>
            <w:tcW w:w="1540" w:type="dxa"/>
            <w:vAlign w:val="bottom"/>
          </w:tcPr>
          <w:p>
            <w:pPr>
              <w:ind w:left="20"/>
              <w:spacing w:after="0"/>
              <w:rPr>
                <w:sz w:val="20"/>
                <w:szCs w:val="20"/>
                <w:color w:val="auto"/>
              </w:rPr>
            </w:pPr>
            <w:r>
              <w:rPr>
                <w:rFonts w:ascii="Arial" w:cs="Arial" w:eastAsia="Arial" w:hAnsi="Arial"/>
                <w:sz w:val="11"/>
                <w:szCs w:val="11"/>
                <w:color w:val="auto"/>
              </w:rPr>
              <w:t>Rebalancing of controlling and</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50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3"/>
                <w:szCs w:val="13"/>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3"/>
                <w:szCs w:val="13"/>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(8,931)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(8,931)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8,931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6"/>
        </w:trPr>
        <w:tc>
          <w:tcPr>
            <w:tcW w:w="1540" w:type="dxa"/>
            <w:vAlign w:val="bottom"/>
          </w:tcPr>
          <w:p>
            <w:pPr>
              <w:ind w:left="20"/>
              <w:spacing w:after="0"/>
              <w:rPr>
                <w:sz w:val="20"/>
                <w:szCs w:val="20"/>
                <w:color w:val="auto"/>
              </w:rPr>
            </w:pPr>
            <w:r>
              <w:rPr>
                <w:rFonts w:ascii="Arial" w:cs="Arial" w:eastAsia="Arial" w:hAnsi="Arial"/>
                <w:sz w:val="11"/>
                <w:szCs w:val="11"/>
                <w:color w:val="auto"/>
              </w:rPr>
              <w:t>non-controlling interest</w:t>
            </w: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right w:val="single" w:sz="8" w:color="auto"/>
            </w:tcBorders>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5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87"/>
              </w:rPr>
              <w:t>11,246,694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28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87"/>
              </w:rPr>
              <w:t>35,482,534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28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87"/>
              </w:rPr>
              <w:t>49,119,976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7,256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3,663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10,929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82,212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93,141</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0760"/>
          </w:cols>
          <w:pgMar w:left="320" w:top="12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5" w:right="81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Brilliant Earth Group,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w:t>
      </w:r>
    </w:p>
    <w:p>
      <w:pPr>
        <w:spacing w:after="0" w:line="81"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7"/>
        </w:trPr>
        <w:tc>
          <w:tcPr>
            <w:tcW w:w="6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26"/>
        </w:trPr>
        <w:tc>
          <w:tcPr>
            <w:tcW w:w="6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204"/>
        </w:trPr>
        <w:tc>
          <w:tcPr>
            <w:tcW w:w="6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19,025</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26,256</w:t>
            </w:r>
          </w:p>
        </w:tc>
        <w:tc>
          <w:tcPr>
            <w:tcW w:w="8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21,576</w:t>
            </w:r>
          </w:p>
        </w:tc>
      </w:tr>
      <w:tr>
        <w:trPr>
          <w:trHeight w:val="26"/>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4"/>
        </w:trPr>
        <w:tc>
          <w:tcPr>
            <w:tcW w:w="6200" w:type="dxa"/>
            <w:vAlign w:val="bottom"/>
          </w:tcPr>
          <w:p>
            <w:pPr>
              <w:ind w:left="240"/>
              <w:spacing w:after="0"/>
              <w:rPr>
                <w:sz w:val="20"/>
                <w:szCs w:val="20"/>
                <w:color w:val="auto"/>
              </w:rPr>
            </w:pPr>
            <w:r>
              <w:rPr>
                <w:rFonts w:ascii="Arial" w:cs="Arial" w:eastAsia="Arial" w:hAnsi="Arial"/>
                <w:sz w:val="14"/>
                <w:szCs w:val="14"/>
                <w:color w:val="auto"/>
              </w:rPr>
              <w:t>Depreciation</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1,922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860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646</w:t>
            </w:r>
          </w:p>
        </w:tc>
      </w:tr>
      <w:tr>
        <w:trPr>
          <w:trHeight w:val="26"/>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Equity-based compensation</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8,840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r>
      <w:tr>
        <w:trPr>
          <w:trHeight w:val="204"/>
        </w:trPr>
        <w:tc>
          <w:tcPr>
            <w:tcW w:w="6200" w:type="dxa"/>
            <w:vAlign w:val="bottom"/>
          </w:tcPr>
          <w:p>
            <w:pPr>
              <w:ind w:left="240"/>
              <w:spacing w:after="0"/>
              <w:rPr>
                <w:sz w:val="20"/>
                <w:szCs w:val="20"/>
                <w:color w:val="auto"/>
              </w:rPr>
            </w:pPr>
            <w:r>
              <w:rPr>
                <w:rFonts w:ascii="Arial" w:cs="Arial" w:eastAsia="Arial" w:hAnsi="Arial"/>
                <w:sz w:val="14"/>
                <w:szCs w:val="14"/>
                <w:color w:val="auto"/>
              </w:rPr>
              <w:t>Non-cash operating lease cost</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3,229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6"/>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Change in fair value of warrants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6,331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4"/>
        </w:trPr>
        <w:tc>
          <w:tcPr>
            <w:tcW w:w="6200" w:type="dxa"/>
            <w:vAlign w:val="bottom"/>
          </w:tcPr>
          <w:p>
            <w:pPr>
              <w:ind w:left="240"/>
              <w:spacing w:after="0"/>
              <w:rPr>
                <w:sz w:val="20"/>
                <w:szCs w:val="20"/>
                <w:color w:val="auto"/>
              </w:rPr>
            </w:pPr>
            <w:r>
              <w:rPr>
                <w:rFonts w:ascii="Arial" w:cs="Arial" w:eastAsia="Arial" w:hAnsi="Arial"/>
                <w:sz w:val="14"/>
                <w:szCs w:val="14"/>
                <w:color w:val="auto"/>
              </w:rPr>
              <w:t>Amortization of debt issuance costs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1,717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1,121</w:t>
            </w:r>
          </w:p>
        </w:tc>
      </w:tr>
      <w:tr>
        <w:trPr>
          <w:trHeight w:val="26"/>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Loss on extinguishment of debt</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4"/>
        </w:trPr>
        <w:tc>
          <w:tcPr>
            <w:tcW w:w="6200" w:type="dxa"/>
            <w:vAlign w:val="bottom"/>
          </w:tcPr>
          <w:p>
            <w:pPr>
              <w:ind w:left="240"/>
              <w:spacing w:after="0"/>
              <w:rPr>
                <w:sz w:val="20"/>
                <w:szCs w:val="20"/>
                <w:color w:val="auto"/>
              </w:rPr>
            </w:pPr>
            <w:r>
              <w:rPr>
                <w:rFonts w:ascii="Arial" w:cs="Arial" w:eastAsia="Arial" w:hAnsi="Arial"/>
                <w:sz w:val="14"/>
                <w:szCs w:val="14"/>
                <w:color w:val="auto"/>
              </w:rPr>
              <w:t>Deferred tax benefit</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6"/>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118</w:t>
            </w:r>
          </w:p>
        </w:tc>
      </w:tr>
      <w:tr>
        <w:trPr>
          <w:trHeight w:val="204"/>
        </w:trPr>
        <w:tc>
          <w:tcPr>
            <w:tcW w:w="6200" w:type="dxa"/>
            <w:vAlign w:val="bottom"/>
          </w:tcPr>
          <w:p>
            <w:pPr>
              <w:ind w:left="20"/>
              <w:spacing w:after="0"/>
              <w:rPr>
                <w:sz w:val="20"/>
                <w:szCs w:val="20"/>
                <w:color w:val="auto"/>
              </w:rPr>
            </w:pPr>
            <w:r>
              <w:rPr>
                <w:rFonts w:ascii="Arial" w:cs="Arial" w:eastAsia="Arial" w:hAnsi="Arial"/>
                <w:sz w:val="14"/>
                <w:szCs w:val="14"/>
                <w:color w:val="auto"/>
              </w:rPr>
              <w:t>Changes in assets and liabilities:</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6"/>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(14,751)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(11,202)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(2,825)</w:t>
            </w:r>
          </w:p>
        </w:tc>
      </w:tr>
      <w:tr>
        <w:trPr>
          <w:trHeight w:val="204"/>
        </w:trPr>
        <w:tc>
          <w:tcPr>
            <w:tcW w:w="620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(1,848)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(5,239)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(675)</w:t>
            </w:r>
          </w:p>
        </w:tc>
      </w:tr>
      <w:tr>
        <w:trPr>
          <w:trHeight w:val="26"/>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04"/>
        </w:trPr>
        <w:tc>
          <w:tcPr>
            <w:tcW w:w="6200" w:type="dxa"/>
            <w:vAlign w:val="bottom"/>
          </w:tcPr>
          <w:p>
            <w:pPr>
              <w:ind w:left="340"/>
              <w:spacing w:after="0"/>
              <w:rPr>
                <w:sz w:val="20"/>
                <w:szCs w:val="20"/>
                <w:color w:val="auto"/>
              </w:rPr>
            </w:pPr>
            <w:r>
              <w:rPr>
                <w:rFonts w:ascii="Arial" w:cs="Arial" w:eastAsia="Arial" w:hAnsi="Arial"/>
                <w:sz w:val="14"/>
                <w:szCs w:val="14"/>
                <w:color w:val="auto"/>
              </w:rPr>
              <w:t>Accounts payable, accrued expenses and other current liabilities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2,491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15,281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4,329</w:t>
            </w:r>
          </w:p>
        </w:tc>
      </w:tr>
      <w:tr>
        <w:trPr>
          <w:trHeight w:val="26"/>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Deferred revenue</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8,054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2,365</w:t>
            </w:r>
          </w:p>
        </w:tc>
      </w:tr>
      <w:tr>
        <w:trPr>
          <w:trHeight w:val="204"/>
        </w:trPr>
        <w:tc>
          <w:tcPr>
            <w:tcW w:w="6200" w:type="dxa"/>
            <w:vAlign w:val="bottom"/>
          </w:tcPr>
          <w:p>
            <w:pPr>
              <w:ind w:left="340"/>
              <w:spacing w:after="0"/>
              <w:rPr>
                <w:sz w:val="20"/>
                <w:szCs w:val="20"/>
                <w:color w:val="auto"/>
              </w:rPr>
            </w:pPr>
            <w:r>
              <w:rPr>
                <w:rFonts w:ascii="Arial" w:cs="Arial" w:eastAsia="Arial" w:hAnsi="Arial"/>
                <w:sz w:val="14"/>
                <w:szCs w:val="14"/>
                <w:color w:val="auto"/>
              </w:rPr>
              <w:t>Operating lease liabilities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(2,876)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Deferred rent</w:t>
            </w:r>
          </w:p>
        </w:tc>
        <w:tc>
          <w:tcPr>
            <w:tcW w:w="9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r>
      <w:tr>
        <w:trPr>
          <w:trHeight w:val="198"/>
        </w:trPr>
        <w:tc>
          <w:tcPr>
            <w:tcW w:w="6200" w:type="dxa"/>
            <w:vAlign w:val="bottom"/>
          </w:tcPr>
          <w:p>
            <w:pPr>
              <w:ind w:left="440"/>
              <w:spacing w:after="0"/>
              <w:rPr>
                <w:sz w:val="20"/>
                <w:szCs w:val="20"/>
                <w:color w:val="auto"/>
              </w:rPr>
            </w:pPr>
            <w:r>
              <w:rPr>
                <w:rFonts w:ascii="Arial" w:cs="Arial" w:eastAsia="Arial" w:hAnsi="Arial"/>
                <w:sz w:val="14"/>
                <w:szCs w:val="14"/>
                <w:b w:val="1"/>
                <w:bCs w:val="1"/>
                <w:color w:val="auto"/>
              </w:rPr>
              <w:t>Net cash provided by operating activities</w:t>
            </w: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14,506</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46,078</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26,723</w:t>
            </w:r>
          </w:p>
        </w:tc>
      </w:tr>
      <w:tr>
        <w:trPr>
          <w:trHeight w:val="25"/>
        </w:trPr>
        <w:tc>
          <w:tcPr>
            <w:tcW w:w="6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204"/>
        </w:trPr>
        <w:tc>
          <w:tcPr>
            <w:tcW w:w="6200" w:type="dxa"/>
            <w:vAlign w:val="bottom"/>
          </w:tcPr>
          <w:p>
            <w:pPr>
              <w:ind w:left="240"/>
              <w:spacing w:after="0"/>
              <w:rPr>
                <w:sz w:val="20"/>
                <w:szCs w:val="20"/>
                <w:color w:val="auto"/>
              </w:rPr>
            </w:pPr>
            <w:r>
              <w:rPr>
                <w:rFonts w:ascii="Arial" w:cs="Arial" w:eastAsia="Arial" w:hAnsi="Arial"/>
                <w:sz w:val="14"/>
                <w:szCs w:val="14"/>
                <w:color w:val="auto"/>
              </w:rPr>
              <w:t>Purchases of property and equipment</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(9,124)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(5,606)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(584)</w:t>
            </w:r>
          </w:p>
        </w:tc>
      </w:tr>
      <w:tr>
        <w:trPr>
          <w:trHeight w:val="25"/>
        </w:trPr>
        <w:tc>
          <w:tcPr>
            <w:tcW w:w="6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b w:val="1"/>
                <w:bCs w:val="1"/>
                <w:color w:val="auto"/>
              </w:rPr>
              <w:t>Net cash used in investing activities</w:t>
            </w:r>
          </w:p>
        </w:tc>
        <w:tc>
          <w:tcPr>
            <w:tcW w:w="9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(9,124)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(5,606)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(584)</w:t>
            </w:r>
          </w:p>
        </w:tc>
      </w:tr>
      <w:tr>
        <w:trPr>
          <w:trHeight w:val="184"/>
        </w:trPr>
        <w:tc>
          <w:tcPr>
            <w:tcW w:w="62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5"/>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received from Silicon Valley Bank ("SVB") term loan facility</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4"/>
        </w:trPr>
        <w:tc>
          <w:tcPr>
            <w:tcW w:w="6200" w:type="dxa"/>
            <w:vAlign w:val="bottom"/>
          </w:tcPr>
          <w:p>
            <w:pPr>
              <w:ind w:left="240"/>
              <w:spacing w:after="0"/>
              <w:rPr>
                <w:sz w:val="20"/>
                <w:szCs w:val="20"/>
                <w:color w:val="auto"/>
              </w:rPr>
            </w:pPr>
            <w:r>
              <w:rPr>
                <w:rFonts w:ascii="Arial" w:cs="Arial" w:eastAsia="Arial" w:hAnsi="Arial"/>
                <w:sz w:val="14"/>
                <w:szCs w:val="14"/>
                <w:color w:val="auto"/>
              </w:rPr>
              <w:t>Repayment of Runway term loan</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(58,158)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Tax distributions to members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(18,316)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(21,441)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4"/>
        </w:trPr>
        <w:tc>
          <w:tcPr>
            <w:tcW w:w="6200" w:type="dxa"/>
            <w:vAlign w:val="bottom"/>
          </w:tcPr>
          <w:p>
            <w:pPr>
              <w:ind w:left="240"/>
              <w:spacing w:after="0"/>
              <w:rPr>
                <w:sz w:val="20"/>
                <w:szCs w:val="20"/>
                <w:color w:val="auto"/>
              </w:rPr>
            </w:pPr>
            <w:r>
              <w:rPr>
                <w:rFonts w:ascii="Arial" w:cs="Arial" w:eastAsia="Arial" w:hAnsi="Arial"/>
                <w:sz w:val="14"/>
                <w:szCs w:val="14"/>
                <w:color w:val="auto"/>
              </w:rPr>
              <w:t>Principal payments on Runway term loan</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(6,842)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Final payment and prepayment penalty on Runway term loan</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4"/>
        </w:trPr>
        <w:tc>
          <w:tcPr>
            <w:tcW w:w="6200" w:type="dxa"/>
            <w:vAlign w:val="bottom"/>
          </w:tcPr>
          <w:p>
            <w:pPr>
              <w:ind w:left="240"/>
              <w:spacing w:after="0"/>
              <w:rPr>
                <w:sz w:val="20"/>
                <w:szCs w:val="20"/>
                <w:color w:val="auto"/>
              </w:rPr>
            </w:pPr>
            <w:r>
              <w:rPr>
                <w:rFonts w:ascii="Arial" w:cs="Arial" w:eastAsia="Arial" w:hAnsi="Arial"/>
                <w:sz w:val="14"/>
                <w:szCs w:val="14"/>
                <w:color w:val="auto"/>
              </w:rPr>
              <w:t>Payments of debt issuance costs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(1,249)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(263)</w:t>
            </w:r>
          </w:p>
        </w:tc>
      </w:tr>
      <w:tr>
        <w:trPr>
          <w:trHeight w:val="25"/>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Payments on SVB term loan</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4"/>
        </w:trPr>
        <w:tc>
          <w:tcPr>
            <w:tcW w:w="6200" w:type="dxa"/>
            <w:vAlign w:val="bottom"/>
          </w:tcPr>
          <w:p>
            <w:pPr>
              <w:ind w:left="240"/>
              <w:spacing w:after="0"/>
              <w:rPr>
                <w:sz w:val="20"/>
                <w:szCs w:val="20"/>
                <w:color w:val="auto"/>
              </w:rPr>
            </w:pPr>
            <w:r>
              <w:rPr>
                <w:rFonts w:ascii="Arial" w:cs="Arial" w:eastAsia="Arial" w:hAnsi="Arial"/>
                <w:sz w:val="14"/>
                <w:szCs w:val="14"/>
                <w:color w:val="auto"/>
              </w:rPr>
              <w:t>Redemption of LLC Units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Payments of deferred offering costs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4"/>
        </w:trPr>
        <w:tc>
          <w:tcPr>
            <w:tcW w:w="6200" w:type="dxa"/>
            <w:vAlign w:val="bottom"/>
          </w:tcPr>
          <w:p>
            <w:pPr>
              <w:ind w:left="240"/>
              <w:spacing w:after="0"/>
              <w:rPr>
                <w:sz w:val="20"/>
                <w:szCs w:val="20"/>
                <w:color w:val="auto"/>
              </w:rPr>
            </w:pPr>
            <w:r>
              <w:rPr>
                <w:rFonts w:ascii="Arial" w:cs="Arial" w:eastAsia="Arial" w:hAnsi="Arial"/>
                <w:sz w:val="14"/>
                <w:szCs w:val="14"/>
                <w:color w:val="auto"/>
              </w:rPr>
              <w:t>Issuance of Class A common stock in IPO, net of underwriting discounts and offering costs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101,581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Issuance of Class B and C shares of common stock</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4"/>
        </w:trPr>
        <w:tc>
          <w:tcPr>
            <w:tcW w:w="6200" w:type="dxa"/>
            <w:vAlign w:val="bottom"/>
          </w:tcPr>
          <w:p>
            <w:pPr>
              <w:ind w:left="240"/>
              <w:spacing w:after="0"/>
              <w:rPr>
                <w:sz w:val="20"/>
                <w:szCs w:val="20"/>
                <w:color w:val="auto"/>
              </w:rPr>
            </w:pPr>
            <w:r>
              <w:rPr>
                <w:rFonts w:ascii="Arial" w:cs="Arial" w:eastAsia="Arial" w:hAnsi="Arial"/>
                <w:sz w:val="14"/>
                <w:szCs w:val="14"/>
                <w:color w:val="auto"/>
              </w:rPr>
              <w:t>Special distributions to members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(30,000)</w:t>
            </w:r>
          </w:p>
        </w:tc>
      </w:tr>
      <w:tr>
        <w:trPr>
          <w:trHeight w:val="25"/>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received from term loan</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30,000</w:t>
            </w:r>
          </w:p>
        </w:tc>
      </w:tr>
      <w:tr>
        <w:trPr>
          <w:trHeight w:val="204"/>
        </w:trPr>
        <w:tc>
          <w:tcPr>
            <w:tcW w:w="6200" w:type="dxa"/>
            <w:vAlign w:val="bottom"/>
          </w:tcPr>
          <w:p>
            <w:pPr>
              <w:ind w:left="240"/>
              <w:spacing w:after="0"/>
              <w:rPr>
                <w:sz w:val="20"/>
                <w:szCs w:val="20"/>
                <w:color w:val="auto"/>
              </w:rPr>
            </w:pPr>
            <w:r>
              <w:rPr>
                <w:rFonts w:ascii="Arial" w:cs="Arial" w:eastAsia="Arial" w:hAnsi="Arial"/>
                <w:sz w:val="14"/>
                <w:szCs w:val="14"/>
                <w:color w:val="auto"/>
              </w:rPr>
              <w:t>Borrowings from PPP loan</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2,657</w:t>
            </w:r>
          </w:p>
        </w:tc>
      </w:tr>
      <w:tr>
        <w:trPr>
          <w:trHeight w:val="25"/>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Repayments on PPP loan</w:t>
            </w:r>
          </w:p>
        </w:tc>
        <w:tc>
          <w:tcPr>
            <w:tcW w:w="9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(2,657)</w:t>
            </w:r>
          </w:p>
        </w:tc>
      </w:tr>
      <w:tr>
        <w:trPr>
          <w:trHeight w:val="198"/>
        </w:trPr>
        <w:tc>
          <w:tcPr>
            <w:tcW w:w="6200" w:type="dxa"/>
            <w:vAlign w:val="bottom"/>
          </w:tcPr>
          <w:p>
            <w:pPr>
              <w:ind w:left="4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(23,598)</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66,124</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(263)</w:t>
            </w:r>
          </w:p>
        </w:tc>
      </w:tr>
      <w:tr>
        <w:trPr>
          <w:trHeight w:val="25"/>
        </w:trPr>
        <w:tc>
          <w:tcPr>
            <w:tcW w:w="6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(decrease) increase in cash, cash equivalents and restricted cash</w:t>
            </w:r>
          </w:p>
        </w:tc>
        <w:tc>
          <w:tcPr>
            <w:tcW w:w="9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(18,216)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106,596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25,876</w:t>
            </w:r>
          </w:p>
        </w:tc>
      </w:tr>
      <w:tr>
        <w:trPr>
          <w:trHeight w:val="204"/>
        </w:trPr>
        <w:tc>
          <w:tcPr>
            <w:tcW w:w="62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173,070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66,474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40,598</w:t>
            </w:r>
          </w:p>
        </w:tc>
      </w:tr>
      <w:tr>
        <w:trPr>
          <w:trHeight w:val="25"/>
        </w:trPr>
        <w:tc>
          <w:tcPr>
            <w:tcW w:w="6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154,854</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173,070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66,474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4"/>
        </w:trPr>
        <w:tc>
          <w:tcPr>
            <w:tcW w:w="6200" w:type="dxa"/>
            <w:vAlign w:val="bottom"/>
          </w:tcPr>
          <w:p>
            <w:pPr>
              <w:ind w:left="240"/>
              <w:spacing w:after="0"/>
              <w:rPr>
                <w:sz w:val="20"/>
                <w:szCs w:val="20"/>
                <w:color w:val="auto"/>
              </w:rPr>
            </w:pPr>
            <w:r>
              <w:rPr>
                <w:rFonts w:ascii="Arial" w:cs="Arial" w:eastAsia="Arial" w:hAnsi="Arial"/>
                <w:sz w:val="14"/>
                <w:szCs w:val="14"/>
                <w:color w:val="auto"/>
              </w:rPr>
              <w:t>Right-of-use assets and operating lease liabilities</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13,970</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
        </w:trPr>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Deferred tax assets associated with redemption of LLC Units</w:t>
            </w: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4,374</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4"/>
        </w:trPr>
        <w:tc>
          <w:tcPr>
            <w:tcW w:w="6200" w:type="dxa"/>
            <w:vAlign w:val="bottom"/>
          </w:tcPr>
          <w:p>
            <w:pPr>
              <w:ind w:left="240"/>
              <w:spacing w:after="0"/>
              <w:rPr>
                <w:sz w:val="20"/>
                <w:szCs w:val="20"/>
                <w:color w:val="auto"/>
              </w:rPr>
            </w:pPr>
            <w:r>
              <w:rPr>
                <w:rFonts w:ascii="Arial" w:cs="Arial" w:eastAsia="Arial" w:hAnsi="Arial"/>
                <w:sz w:val="14"/>
                <w:szCs w:val="14"/>
                <w:color w:val="auto"/>
              </w:rPr>
              <w:t>TRA Obligation associated with redemption of LLC Units</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3,620</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3,775</w:t>
            </w:r>
          </w:p>
        </w:tc>
        <w:tc>
          <w:tcPr>
            <w:tcW w:w="8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ectPr>
          <w:pgSz w:w="11900" w:h="16838" w:orient="portrait"/>
          <w:cols w:equalWidth="0" w:num="1">
            <w:col w:w="11020"/>
          </w:cols>
          <w:pgMar w:left="320" w:top="12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5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9"/>
              </w:rPr>
              <w:t>Purchases of property and equipment included in accounts payable and accrued liabilities</w:t>
            </w:r>
          </w:p>
        </w:tc>
        <w:tc>
          <w:tcPr>
            <w:tcW w:w="98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2,636</w:t>
            </w:r>
          </w:p>
        </w:tc>
        <w:tc>
          <w:tcPr>
            <w:tcW w:w="58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64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r>
      <w:tr>
        <w:trPr>
          <w:trHeight w:val="204"/>
        </w:trPr>
        <w:tc>
          <w:tcPr>
            <w:tcW w:w="5800" w:type="dxa"/>
            <w:vAlign w:val="bottom"/>
          </w:tcPr>
          <w:p>
            <w:pPr>
              <w:ind w:left="240"/>
              <w:spacing w:after="0"/>
              <w:rPr>
                <w:sz w:val="20"/>
                <w:szCs w:val="20"/>
                <w:color w:val="auto"/>
              </w:rPr>
            </w:pPr>
            <w:r>
              <w:rPr>
                <w:rFonts w:ascii="Arial" w:cs="Arial" w:eastAsia="Arial" w:hAnsi="Arial"/>
                <w:sz w:val="14"/>
                <w:szCs w:val="14"/>
                <w:color w:val="auto"/>
              </w:rPr>
              <w:t>Credit to APIC related to redemption of LLC Units</w:t>
            </w: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754</w:t>
            </w:r>
          </w:p>
        </w:tc>
        <w:tc>
          <w:tcPr>
            <w:tcW w:w="5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316</w:t>
            </w:r>
          </w:p>
        </w:tc>
        <w:tc>
          <w:tcPr>
            <w:tcW w:w="64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6"/>
        </w:trPr>
        <w:tc>
          <w:tcPr>
            <w:tcW w:w="5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5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Conversion of Class F and Class M Units to Common LLC Units</w:t>
            </w:r>
          </w:p>
        </w:tc>
        <w:tc>
          <w:tcPr>
            <w:tcW w:w="98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415,455</w:t>
            </w:r>
          </w:p>
        </w:tc>
        <w:tc>
          <w:tcPr>
            <w:tcW w:w="64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4"/>
        </w:trPr>
        <w:tc>
          <w:tcPr>
            <w:tcW w:w="5800" w:type="dxa"/>
            <w:vAlign w:val="bottom"/>
          </w:tcPr>
          <w:p>
            <w:pPr>
              <w:ind w:left="240"/>
              <w:spacing w:after="0"/>
              <w:rPr>
                <w:sz w:val="20"/>
                <w:szCs w:val="20"/>
                <w:color w:val="auto"/>
              </w:rPr>
            </w:pPr>
            <w:r>
              <w:rPr>
                <w:rFonts w:ascii="Arial" w:cs="Arial" w:eastAsia="Arial" w:hAnsi="Arial"/>
                <w:sz w:val="14"/>
                <w:szCs w:val="14"/>
                <w:color w:val="auto"/>
              </w:rPr>
              <w:t>Conversion of Class P Units to Common LLC Units</w:t>
            </w: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389,227</w:t>
            </w:r>
          </w:p>
        </w:tc>
        <w:tc>
          <w:tcPr>
            <w:tcW w:w="64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6"/>
        </w:trPr>
        <w:tc>
          <w:tcPr>
            <w:tcW w:w="5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5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Adjustment of redeemable convertible preferred units to redemption value</w:t>
            </w:r>
          </w:p>
        </w:tc>
        <w:tc>
          <w:tcPr>
            <w:tcW w:w="98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327,189</w:t>
            </w:r>
          </w:p>
        </w:tc>
        <w:tc>
          <w:tcPr>
            <w:tcW w:w="64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8,499</w:t>
            </w:r>
          </w:p>
        </w:tc>
      </w:tr>
      <w:tr>
        <w:trPr>
          <w:trHeight w:val="204"/>
        </w:trPr>
        <w:tc>
          <w:tcPr>
            <w:tcW w:w="5800" w:type="dxa"/>
            <w:vAlign w:val="bottom"/>
          </w:tcPr>
          <w:p>
            <w:pPr>
              <w:ind w:left="240"/>
              <w:spacing w:after="0"/>
              <w:rPr>
                <w:sz w:val="20"/>
                <w:szCs w:val="20"/>
                <w:color w:val="auto"/>
              </w:rPr>
            </w:pPr>
            <w:r>
              <w:rPr>
                <w:rFonts w:ascii="Arial" w:cs="Arial" w:eastAsia="Arial" w:hAnsi="Arial"/>
                <w:sz w:val="14"/>
                <w:szCs w:val="14"/>
                <w:color w:val="auto"/>
              </w:rPr>
              <w:t>Net exercise of warrants on Common LLC Units</w:t>
            </w: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6,415</w:t>
            </w:r>
          </w:p>
        </w:tc>
        <w:tc>
          <w:tcPr>
            <w:tcW w:w="64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6"/>
        </w:trPr>
        <w:tc>
          <w:tcPr>
            <w:tcW w:w="5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5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Debt issuance costs capitalized to principal of long-term debt</w:t>
            </w:r>
          </w:p>
        </w:tc>
        <w:tc>
          <w:tcPr>
            <w:tcW w:w="98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349</w:t>
            </w:r>
          </w:p>
        </w:tc>
        <w:tc>
          <w:tcPr>
            <w:tcW w:w="64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1,302</w:t>
            </w:r>
          </w:p>
        </w:tc>
      </w:tr>
      <w:tr>
        <w:trPr>
          <w:trHeight w:val="204"/>
        </w:trPr>
        <w:tc>
          <w:tcPr>
            <w:tcW w:w="5800" w:type="dxa"/>
            <w:vAlign w:val="bottom"/>
          </w:tcPr>
          <w:p>
            <w:pPr>
              <w:ind w:left="240"/>
              <w:spacing w:after="0"/>
              <w:rPr>
                <w:sz w:val="20"/>
                <w:szCs w:val="20"/>
                <w:color w:val="auto"/>
              </w:rPr>
            </w:pPr>
            <w:r>
              <w:rPr>
                <w:rFonts w:ascii="Arial" w:cs="Arial" w:eastAsia="Arial" w:hAnsi="Arial"/>
                <w:sz w:val="14"/>
                <w:szCs w:val="14"/>
                <w:color w:val="auto"/>
              </w:rPr>
              <w:t>Issuance of warrants</w:t>
            </w: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26"/>
        </w:trPr>
        <w:tc>
          <w:tcPr>
            <w:tcW w:w="5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9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04"/>
        </w:trPr>
        <w:tc>
          <w:tcPr>
            <w:tcW w:w="5800" w:type="dxa"/>
            <w:vAlign w:val="bottom"/>
          </w:tcPr>
          <w:p>
            <w:pPr>
              <w:ind w:left="240"/>
              <w:spacing w:after="0"/>
              <w:rPr>
                <w:sz w:val="20"/>
                <w:szCs w:val="20"/>
                <w:color w:val="auto"/>
              </w:rPr>
            </w:pPr>
            <w:r>
              <w:rPr>
                <w:rFonts w:ascii="Arial" w:cs="Arial" w:eastAsia="Arial" w:hAnsi="Arial"/>
                <w:sz w:val="14"/>
                <w:szCs w:val="14"/>
                <w:color w:val="auto"/>
              </w:rPr>
              <w:t>Cash paid for interest</w:t>
            </w: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3,827</w:t>
            </w:r>
          </w:p>
        </w:tc>
        <w:tc>
          <w:tcPr>
            <w:tcW w:w="5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5,894</w:t>
            </w:r>
          </w:p>
        </w:tc>
        <w:tc>
          <w:tcPr>
            <w:tcW w:w="64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3,722</w:t>
            </w:r>
          </w:p>
        </w:tc>
      </w:tr>
      <w:tr>
        <w:trPr>
          <w:trHeight w:val="26"/>
        </w:trPr>
        <w:tc>
          <w:tcPr>
            <w:tcW w:w="5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5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taxes</w:t>
            </w:r>
          </w:p>
        </w:tc>
        <w:tc>
          <w:tcPr>
            <w:tcW w:w="9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w:t>
            </w:r>
          </w:p>
        </w:tc>
        <w:tc>
          <w:tcPr>
            <w:tcW w:w="5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
        </w:trPr>
        <w:tc>
          <w:tcPr>
            <w:tcW w:w="58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Brilliant Earth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AND ORGANIZATION</w:t>
      </w:r>
    </w:p>
    <w:p>
      <w:pPr>
        <w:spacing w:after="0" w:line="25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Brilliant Earth Group, Inc. was formed as a Delaware corporation on June 2, 2021 for the purpose of facilitating an initial public offering (“IPO”) and executing other related organizational transactions to acquire and carry on the business of Brilliant Earth, LLC.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spacing w:after="0" w:line="18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Company designs, procures and sells ethically-sourced diamonds, gemstones and jewelry online and through 25 showrooms operating within the United States ("U.S.") as of December 31, 2022. Co-headquarters are located in San Francisco, California and Denver, Colorado.</w:t>
      </w:r>
    </w:p>
    <w:p>
      <w:pPr>
        <w:spacing w:after="0" w:line="160"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The Company operates in one operating and reporting segment which is the retail sale of diamonds, gemstones and jewelry. Over 90% of sales are to customers in the U.S.; sales to non-U.S. customers immediately settle in U.S. dollars and no cash balances are carried in foreign currencies. The Company’s chief operating decision maker (“CODM”), the Chief Executive Officer (“CEO”), reviews financial information presented on a consolidated basis for purposes of making operating decisions and assessing financial performance.</w:t>
      </w:r>
    </w:p>
    <w:p>
      <w:pPr>
        <w:spacing w:after="0" w:line="22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accordance with accounting principles generally accepted in the United States of America (“U.S. GAAP”) since the members of Brilliant Earth, LLC (the “Continuing Equity Owners”) prior to the IPO and merger continue to hold a controlling interest in Brilliant Earth, LLC after the merger (i.e., there was no change in control of Brilliant Earth, LLC) and since Brilliant Earth Group, Inc. was considered a “shell company” which does not meet the definition of a business, the financial statements of the combined entity represent a continuation of the financial position and results of operations of Brilliant Earth, LLC. Accordingly, the historical cost basis of assets, liabilities, and equity of Brilliant Earth, LLC are carried over to the consolidated financial statements of the merged company as a common control transaction. Also, after consummation of the IPO, Brilliant Earth Group, Inc. became subject to U.S. federal, state, and local income taxes with respect to its allocable share of any taxable income of Brilliant Earth, LLC assessed at the prevailing corporate tax rates.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Purchase of LLC Interests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27, 2021, the Company completed its IPO of 9,583,332 shares of Class A common stock at an offering price of $12.00 per share, (excluding the underwriting discount), including 1,249,999 shares of Class A common stock issued pursuant to the underwriters' over-allotment option. The Company received $101.6 million in proceeds after a deduction for underwriting discounts and offering costs totaling $13.4 million.</w:t>
      </w:r>
    </w:p>
    <w:p>
      <w:pPr>
        <w:spacing w:after="0" w:line="19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net proceeds were used to purchase 8,333,333 newly-issued membership units (the “LLC Units” or “LLC Interests”) from Brilliant Earth, LLC and 1,249,999 LLC Units in the form of a redemption from the Continuing Equity Owners at a price per unit equal to the IPO price of $11.22 per share after deducting the underwriting discount, and represented a 10.1% economic interest as of the IPO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Class F, P and M Units at Time of IPO</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At the time of the IPO, the existing limited liability company agreement of Brilliant Earth, LLC was amended and restated to, among other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things, recapitalize all existing Class F, P and M Units in Brilliant Earth, LLC into 86,297,284 common LLC Units after applying a conversion ratio of</w:t>
      </w:r>
    </w:p>
    <w:p>
      <w:pPr>
        <w:spacing w:after="0" w:line="21"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1.8588 with a further adjustment for a distribution threshold related to the M Units (which impacted their allocation of value so the economic effect of the exchange was a like-for-like value); the net conversion ratio was 1.8942, 1.9080 and 1.7735 for the Class F Units, P Units and M Units, respectively. The number of Class F, P and M Units presented in these financial statements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periods prior to the IPO have been retroactively adjusted to reflect the conversion ratios (as discussed in the preceding sentence) similar to the presentation of a stock-split.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the Reorganization, Offering and Other Transactions Completed in Connection with the IPO</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connection with the IPO, Brilliant Earth Group, Inc. and Brilliant Earth, LLC completed a series of transactions that comprise of reorganization, offering and other financing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Reorganization Transactions which occurred as of the date of IPO:</w:t>
      </w:r>
    </w:p>
    <w:p>
      <w:pPr>
        <w:spacing w:after="0" w:line="252" w:lineRule="exact"/>
        <w:rPr>
          <w:sz w:val="20"/>
          <w:szCs w:val="20"/>
          <w:color w:val="auto"/>
        </w:rPr>
      </w:pPr>
    </w:p>
    <w:p>
      <w:pPr>
        <w:ind w:left="660" w:right="20" w:hanging="328"/>
        <w:spacing w:after="0" w:line="279"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Amended and restated the existing limited liability company agreement of Brilliant Earth, LLC (the “LLC Agreement”), effective prior to the IPO, to, among other things, (1) recapitalize all existing ownership interests in Brilliant Earth, LLC into 86,297,284 LLC Units after applying a conversion ratio of 1.8588, (2) appoint Brilliant Earth Group, Inc. as the sole managing member of Brilliant Earth, LLC upon its acquisition of LLC Units in connection with the IPO, and (3) provide certain redemption rights to the Continuing Equity Owners.</w:t>
      </w:r>
    </w:p>
    <w:p>
      <w:pPr>
        <w:spacing w:after="0" w:line="198"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Amended and restated Brilliant Earth Group, Inc.’s certificate of incorporation to, among other things, provide for four classes of common stock defined as Class A common stock, Class B common stock, Class C common stock and Class D common stock.</w:t>
      </w:r>
    </w:p>
    <w:p>
      <w:pPr>
        <w:spacing w:after="0" w:line="183" w:lineRule="exact"/>
        <w:rPr>
          <w:rFonts w:ascii="Arial" w:cs="Arial" w:eastAsia="Arial" w:hAnsi="Arial"/>
          <w:sz w:val="18"/>
          <w:szCs w:val="18"/>
          <w:color w:val="auto"/>
        </w:rPr>
      </w:pPr>
    </w:p>
    <w:p>
      <w:pPr>
        <w:ind w:left="660" w:hanging="328"/>
        <w:spacing w:after="0" w:line="23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Issued 36,064,421 shares of Class B common stock (prior to the redemption of 522,386 shares pursuant to the exercise of underwriters’ overallotment options discussed below) to the Continuing Equity Owners, excluding the founders, Beth Gerstein, Co-Founder and Chief Executive Officer, Eric Grossberg, Co-Founder and Executive Chairman, and Just Rocks, a Delaware corporation which is jointly owned and controlled by the founders (collectively, the “Founders”), which is equal to the number of LLC Units held by such Continuing Equity Owners excluding the Founders, for nominal consideration.</w:t>
      </w:r>
    </w:p>
    <w:p>
      <w:pPr>
        <w:spacing w:after="0" w:line="215" w:lineRule="exact"/>
        <w:rPr>
          <w:rFonts w:ascii="Arial" w:cs="Arial" w:eastAsia="Arial" w:hAnsi="Arial"/>
          <w:sz w:val="18"/>
          <w:szCs w:val="18"/>
          <w:color w:val="auto"/>
        </w:rPr>
      </w:pPr>
    </w:p>
    <w:p>
      <w:pPr>
        <w:ind w:left="660" w:right="780" w:hanging="328"/>
        <w:spacing w:after="0" w:line="24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Issued 50,232,863 shares of Class C common stock (prior to the redemption of 727,613 shares pursuant to the exercise of underwriters’ overallotment options discussed below) to the Founders, which is equal to the number of LLC Units held by such Founders, for nominal consideration.</w:t>
      </w:r>
    </w:p>
    <w:p>
      <w:pPr>
        <w:spacing w:after="0" w:line="222" w:lineRule="exact"/>
        <w:rPr>
          <w:rFonts w:ascii="Arial" w:cs="Arial" w:eastAsia="Arial" w:hAnsi="Arial"/>
          <w:sz w:val="18"/>
          <w:szCs w:val="18"/>
          <w:color w:val="auto"/>
        </w:rPr>
      </w:pPr>
    </w:p>
    <w:p>
      <w:pPr>
        <w:ind w:left="660" w:right="160" w:hanging="328"/>
        <w:spacing w:after="0" w:line="311"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Entered into a Tax Receivable Agreement (the “TRA”) with Brilliant Earth, LLC and the Continuing Equity Owners that will provide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1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Brilliant Earth LLC Agreement includes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 cash payment equal to a volume weighted average market price of one share of Class A common stock for each LLC Interest so redeemed, in each case, in accordance with the terms of the Brilliant Earth LLC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IPO and other transactions:</w:t>
      </w:r>
    </w:p>
    <w:p>
      <w:pPr>
        <w:spacing w:after="0" w:line="252" w:lineRule="exact"/>
        <w:rPr>
          <w:sz w:val="20"/>
          <w:szCs w:val="20"/>
          <w:color w:val="auto"/>
        </w:rPr>
      </w:pPr>
    </w:p>
    <w:p>
      <w:pPr>
        <w:ind w:left="660" w:right="30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Issued 9,583,332 shares of Class A common stock, including 1,249,999 shares of Class A common stock from the exercise of the underwriters' overallotment, in exchange for net proceeds of approximately $101.6 million at $12.00 per share, less underwriting discount and offering expenses.</w:t>
      </w:r>
    </w:p>
    <w:p>
      <w:pPr>
        <w:spacing w:after="0" w:line="210" w:lineRule="exact"/>
        <w:rPr>
          <w:rFonts w:ascii="Arial" w:cs="Arial" w:eastAsia="Arial" w:hAnsi="Arial"/>
          <w:sz w:val="18"/>
          <w:szCs w:val="18"/>
          <w:color w:val="auto"/>
        </w:rPr>
      </w:pPr>
    </w:p>
    <w:p>
      <w:pPr>
        <w:ind w:left="660" w:right="380" w:hanging="328"/>
        <w:spacing w:after="0" w:line="308"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Used net proceeds from the IPO to purchase 8,333,333 newly issued LLC Units for approximately $93.5 million directly from Brilliant Earth, LLC at a price per unit equal to the initial public offering price per share of Class A common stock less underwriting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40" w:hanging="328"/>
        <w:spacing w:after="0" w:line="301"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Used net proceeds from the exercise of the underwriters’ overallotment to purchase an additional 1,249,999 LLC Units from each of the Continuing Equity Owners in the form of a redemption on a pro rata basis for $14.0 million in aggregate at a price per unit equal to the initial public offering price per share of Class A common stock less the underwriting discount; this purchase of LLC Interests resulted in an obligation under the TRA, including the related set-up of deferred tax assets on the TRA and on the temporary basis difference associated with this purchase.</w:t>
      </w:r>
    </w:p>
    <w:p>
      <w:pPr>
        <w:spacing w:after="0" w:line="184" w:lineRule="exact"/>
        <w:rPr>
          <w:rFonts w:ascii="Arial" w:cs="Arial" w:eastAsia="Arial" w:hAnsi="Arial"/>
          <w:sz w:val="16"/>
          <w:szCs w:val="16"/>
          <w:color w:val="auto"/>
        </w:rPr>
      </w:pPr>
    </w:p>
    <w:p>
      <w:pPr>
        <w:ind w:left="660" w:right="3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Corresponding cancellation of a total of 1,249,999 shares of Class B common stock and Class C common stock resulting from the purchase of 1,249,999 LLC Units from the Continuing Equity Owners.</w:t>
      </w:r>
    </w:p>
    <w:p>
      <w:pPr>
        <w:spacing w:after="0" w:line="197" w:lineRule="exact"/>
        <w:rPr>
          <w:rFonts w:ascii="Arial" w:cs="Arial" w:eastAsia="Arial" w:hAnsi="Arial"/>
          <w:sz w:val="18"/>
          <w:szCs w:val="18"/>
          <w:color w:val="auto"/>
        </w:rPr>
      </w:pPr>
    </w:p>
    <w:p>
      <w:pPr>
        <w:ind w:left="660" w:right="18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Exercise of warrants on convertible preferred units (“Class P Units”) with a carrying value of $6.4 million as of September 22, 2021 (after the mark-to-market adjustment as of the date of exercise) into 534,589 newly issued LLC Units on a net settlement basis, elected at the option of the holder.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The consolidated financial statements for the periods prior to the Reorganization Transactions and IPO have been presented to combine the previously separate entities. The consolidated financial statements have been prepared in accordance with U.S. GAAP and the applicable rules and regulations of the Securities and Exchange Commission (the “SEC”) and reflect the financial position, results of operations and cash flows of the Company. As an emerging growth company (“EGC”), the Company has elected to use extended transition periods available to EGC companies for complying with new or revised accounting standards. These accounting policies have been consistently applied in the preparation of the consolidated financial statements.</w:t>
      </w:r>
    </w:p>
    <w:p>
      <w:pPr>
        <w:spacing w:after="0" w:line="20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Certain reclassifications have been made to prior period amounts to conform to the current presentation. These reclassifications had no impact on net income, cash flows or stockholders’/member’s deficit previously reported.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Non-Controlling Interest</w:t>
      </w:r>
    </w:p>
    <w:p>
      <w:pPr>
        <w:spacing w:after="0" w:line="25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subsidiary, Brilliant Earth, LLC, which it controls due to ownership of the voting interest or pursuant to variable interest entity (“VIE”) accounting guidance. All intercompany balances and transactions have been eliminated in consolidation.</w:t>
      </w:r>
    </w:p>
    <w:p>
      <w:pPr>
        <w:spacing w:after="0" w:line="21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assets and liabilities of Brilliant Earth, LLC represent substantially all of the consolidated assets and liabilities of Brilliant Earth Group, Inc. Brilliant Earth Group, Inc., which was established June 2, 2021, has not had any material operations on a standalone basis since its inception, and all of the operations of the Company are carried out by Brilliant Earth, LLC.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non-controlling interest on the consolidated statement of operations represents the portion of earnings or loss attributable to the economic interest in Brilliant Earth, LLC held by the Continuing Equity Owners. The non-controlling interest on the consolidated balance sheets represent the portion of net assets of the Company attributable to the Continuing Equity Owners, based on the portion of the LLC Interests owned by such unit holders. As of December 31, 2022, the non-controlling interest was 88.3%. At the end of each reporting period, equity related to Brilliant Earth, LLC that is attributable to Brilliant Earth Group, Inc. and Continuing Equity Owners is rebalanced to reflect Brilliant Earth Group, Inc.'s and Continuing Equity Owners' ownership in Brilliant Earth,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66"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inventory valuation, allowance for sales returns, estimates of current and deferred income taxes payable pursuant to the tax receivable agreement, useful lives and depreciation of long-lived assets, fair value of equity-based compensation, and prior to the Reorganization Transactions, the warrants and the redemption value of the redeemable Class P Units. Actual results could differ materially from those estimates. On an ongoing basis, the Company reviews its estimates to ensure that they appropriately reflect changes in its business or new information available.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U.S. GAAP establishes a fair value hierarchy which requires an entity to maximize the use of observable inputs and minimize the use of unobservable inputs when measuring fair value. U.S. GAAP prescribes three levels of inputs that may be used to measure fair value:</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Valuation based on quoted prices (unadjusted) observed in active markets for identical assets or liabilities.</w:t>
      </w:r>
    </w:p>
    <w:p>
      <w:pPr>
        <w:spacing w:after="0" w:line="23" w:lineRule="exact"/>
        <w:rPr>
          <w:sz w:val="20"/>
          <w:szCs w:val="20"/>
          <w:color w:val="auto"/>
        </w:rPr>
      </w:pPr>
    </w:p>
    <w:p>
      <w:pPr>
        <w:ind w:left="1380" w:right="180" w:hanging="971"/>
        <w:spacing w:after="0" w:line="250" w:lineRule="auto"/>
        <w:tabs>
          <w:tab w:leader="none" w:pos="1360" w:val="left"/>
        </w:tabs>
        <w:rPr>
          <w:sz w:val="20"/>
          <w:szCs w:val="20"/>
          <w:color w:val="auto"/>
        </w:rPr>
      </w:pPr>
      <w:r>
        <w:rPr>
          <w:rFonts w:ascii="Arial" w:cs="Arial" w:eastAsia="Arial" w:hAnsi="Arial"/>
          <w:sz w:val="18"/>
          <w:szCs w:val="18"/>
          <w:color w:val="auto"/>
        </w:rPr>
        <w:t>Level 2</w:t>
        <w:tab/>
        <w:t>Valuation techniques based on inputs that are quoted prices of similar instruments in active markets; quoted prices for identical or similar instruments in markets that are not in active markets; inputs other than quoted prices used in a valuation model that are observable for that instrument; and inputs that are derived from, or corroborated by, observable market data by correlation or other means.</w:t>
      </w:r>
    </w:p>
    <w:p>
      <w:pPr>
        <w:spacing w:after="0" w:line="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Valuation techniques with significant unobservable market inputs.</w:t>
      </w:r>
    </w:p>
    <w:p>
      <w:pPr>
        <w:spacing w:after="0" w:line="2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is required to disclose its estimate of the fair value of material financial instruments, including those recorded as assets or liabilities in its financial statements, in accordance with U.S. GAAP.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and 2021, there were no financial instruments (assets or liabilities) measured at fair value on a recurring basis.</w:t>
      </w:r>
    </w:p>
    <w:p>
      <w:pPr>
        <w:spacing w:after="0" w:line="266"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 xml:space="preserve">Through the date of the IPO, the Class P Units and warrants on Class P Units were the only financial instruments (assets or liabilities) measured at fair value on a recurring basis. As discussed in Note 1, </w:t>
      </w:r>
      <w:r>
        <w:rPr>
          <w:rFonts w:ascii="Arial" w:cs="Arial" w:eastAsia="Arial" w:hAnsi="Arial"/>
          <w:sz w:val="17"/>
          <w:szCs w:val="17"/>
          <w:i w:val="1"/>
          <w:iCs w:val="1"/>
          <w:color w:val="auto"/>
        </w:rPr>
        <w:t>Business and organization</w:t>
      </w:r>
      <w:r>
        <w:rPr>
          <w:rFonts w:ascii="Arial" w:cs="Arial" w:eastAsia="Arial" w:hAnsi="Arial"/>
          <w:sz w:val="17"/>
          <w:szCs w:val="17"/>
          <w:color w:val="auto"/>
        </w:rPr>
        <w:t xml:space="preserve">, the securities converted into LLC Interests in connection with the IPO and are now classified as equity. The fair value of the Class P Units and the warrants on Class P Units as of September 22, 2021 just before conversion into common LLC Units were $389.2 million and $6.4 million, respectively; these securities are no longer subject to this fair value disclosure. See Note 9, </w:t>
      </w:r>
      <w:r>
        <w:rPr>
          <w:rFonts w:ascii="Arial" w:cs="Arial" w:eastAsia="Arial" w:hAnsi="Arial"/>
          <w:sz w:val="17"/>
          <w:szCs w:val="17"/>
          <w:i w:val="1"/>
          <w:iCs w:val="1"/>
          <w:color w:val="auto"/>
        </w:rPr>
        <w:t>Stockholders’ Equity and Members Units Including Redeemable Convertible Class P Units</w:t>
      </w:r>
      <w:r>
        <w:rPr>
          <w:rFonts w:ascii="Arial" w:cs="Arial" w:eastAsia="Arial" w:hAnsi="Arial"/>
          <w:sz w:val="17"/>
          <w:szCs w:val="17"/>
          <w:color w:val="auto"/>
        </w:rPr>
        <w:t>, for further discussion.</w:t>
      </w:r>
    </w:p>
    <w:p>
      <w:pPr>
        <w:spacing w:after="0" w:line="21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and other current liabilities approximate fair value due to their short-term maturities and were classified as Level 1. The carrying value of long-term debt, net of debt issuance costs, also approximates its fair value, which has been estimated by management based on the consideration of applicable interest rates (including certain instruments at variable or floating rates) for similar types of borrowing arrangements and were classified as Level 2. Redeemable</w:t>
      </w:r>
    </w:p>
    <w:p>
      <w:pPr>
        <w:spacing w:after="0" w:line="2" w:lineRule="exact"/>
        <w:rPr>
          <w:sz w:val="20"/>
          <w:szCs w:val="20"/>
          <w:color w:val="auto"/>
        </w:rPr>
      </w:pPr>
    </w:p>
    <w:p>
      <w:pPr>
        <w:ind w:right="2980"/>
        <w:spacing w:after="0" w:line="260" w:lineRule="auto"/>
        <w:rPr>
          <w:sz w:val="20"/>
          <w:szCs w:val="20"/>
          <w:color w:val="auto"/>
        </w:rPr>
      </w:pPr>
      <w:r>
        <w:rPr>
          <w:rFonts w:ascii="Arial" w:cs="Arial" w:eastAsia="Arial" w:hAnsi="Arial"/>
          <w:sz w:val="18"/>
          <w:szCs w:val="18"/>
          <w:color w:val="auto"/>
        </w:rPr>
        <w:t>Convertible Class P Units and Class P Units underlying warrants were classified as Level 3 until the IPO at which time the securities were converted into LLC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266" w:lineRule="exact"/>
        <w:rPr>
          <w:sz w:val="20"/>
          <w:szCs w:val="20"/>
          <w:color w:val="auto"/>
        </w:rPr>
      </w:pPr>
    </w:p>
    <w:p>
      <w:pPr>
        <w:jc w:val="both"/>
        <w:ind w:right="180"/>
        <w:spacing w:after="0" w:line="294" w:lineRule="auto"/>
        <w:rPr>
          <w:sz w:val="20"/>
          <w:szCs w:val="20"/>
          <w:color w:val="auto"/>
        </w:rPr>
      </w:pPr>
      <w:r>
        <w:rPr>
          <w:rFonts w:ascii="Arial" w:cs="Arial" w:eastAsia="Arial" w:hAnsi="Arial"/>
          <w:sz w:val="17"/>
          <w:szCs w:val="17"/>
          <w:color w:val="auto"/>
        </w:rPr>
        <w:t>The Company maintains the majority of its cash and cash equivalents in accounts with major financial institutions within the U.S. in the form of demand deposits, money market accounts, and time deposits. Deposits in these institutions may exceed the amounts of insurance provided, or deposits may not be covered by insurance. The Company has not experienced losses on its deposits of cash and cash equivalents.</w:t>
      </w:r>
    </w:p>
    <w:p>
      <w:pPr>
        <w:spacing w:after="0" w:line="18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 xml:space="preserve">On March 10, 2023, SVB was closed by the California Department of Financial Protection and Innovation, and the Federal Deposit Insurance Corporation (“FDIC”) was appointed as receiver. On March 14, 2023, the FDIC announced the establishment of Silicon Valley Bridge Bank, N.A. (the “Bridge Bank”) which assumed the deposits and obligations of SVB. The Company had deposit accounts at SVB and continues to have deposit accounts with the Bridge Bank. As of the the date these financial statements are issued, the Company has approximately $0.2 million in deposit accounts at the Bridge Bank. The Company does not anticipate any losses with respect to its funds that had been deposited with SVB. See Note 13, </w:t>
      </w:r>
      <w:r>
        <w:rPr>
          <w:rFonts w:ascii="Arial" w:cs="Arial" w:eastAsia="Arial" w:hAnsi="Arial"/>
          <w:sz w:val="16"/>
          <w:szCs w:val="16"/>
          <w:i w:val="1"/>
          <w:iCs w:val="1"/>
          <w:color w:val="auto"/>
        </w:rPr>
        <w:t>Subsequent Events</w:t>
      </w:r>
      <w:r>
        <w:rPr>
          <w:rFonts w:ascii="Arial" w:cs="Arial" w:eastAsia="Arial" w:hAnsi="Arial"/>
          <w:sz w:val="16"/>
          <w:szCs w:val="16"/>
          <w:color w:val="auto"/>
        </w:rPr>
        <w:t>, for further discussion.</w:t>
      </w:r>
    </w:p>
    <w:p>
      <w:pPr>
        <w:spacing w:after="0" w:line="20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Company’s ability to procure diamonds, gemstones and to produce jewelry is dependent on its relationships with various suppliers. No supplier accounted for more than 10% of inventory purchases in a given year during the years ended December 31, 2022, 2021, and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25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All highly liquid investments with an original maturity of three months or less and deposits in transit from banks for payments related to third-party credit and debit card transactions are considered to be cash equivalents. Credit and debit card transactions are short-term and highly liquid in nature.</w:t>
      </w:r>
    </w:p>
    <w:p>
      <w:pPr>
        <w:spacing w:after="0" w:line="13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Restricted cash as of December 31, 2022 and 2021 pertains to funds of $0.2 million securing a letter of credit in lieu of a security deposit related to a lease at one of the Company’s showroom locations.</w:t>
      </w:r>
    </w:p>
    <w:p>
      <w:pPr>
        <w:spacing w:after="0" w:line="211"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auto"/>
        </w:rPr>
        <w:t>The following table provides a reconciliation of cash and cash equivalents, and restricted cash from the consolidated balance sheets to the statements of cash flows for the years ended December 31, 2022, 2021 and 2020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0"/>
        </w:trPr>
        <w:tc>
          <w:tcPr>
            <w:tcW w:w="56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5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40"/>
        </w:trPr>
        <w:tc>
          <w:tcPr>
            <w:tcW w:w="56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154,649</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172,865</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66,269</w:t>
            </w:r>
          </w:p>
        </w:tc>
      </w:tr>
      <w:tr>
        <w:trPr>
          <w:trHeight w:val="40"/>
        </w:trPr>
        <w:tc>
          <w:tcPr>
            <w:tcW w:w="5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8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70"/>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154,854</w:t>
            </w:r>
          </w:p>
        </w:tc>
        <w:tc>
          <w:tcPr>
            <w:tcW w:w="8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173,070</w:t>
            </w:r>
          </w:p>
        </w:tc>
        <w:tc>
          <w:tcPr>
            <w:tcW w:w="100" w:type="dxa"/>
            <w:vAlign w:val="bottom"/>
          </w:tcPr>
          <w:p>
            <w:pPr>
              <w:spacing w:after="0"/>
              <w:rPr>
                <w:sz w:val="23"/>
                <w:szCs w:val="23"/>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66,474</w:t>
            </w:r>
          </w:p>
        </w:tc>
      </w:tr>
      <w:tr>
        <w:trPr>
          <w:trHeight w:val="27"/>
        </w:trPr>
        <w:tc>
          <w:tcPr>
            <w:tcW w:w="5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Net</w:t>
      </w:r>
    </w:p>
    <w:p>
      <w:pPr>
        <w:spacing w:after="0" w:line="252"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The Company’s diamond, gemstone and jewelry inventories are primarily held for resale and valued at the lower of cost or net realizable value. Cost is primarily determined using the weighted average cost on a first-in, first-out (“FIFO”) basis for all inventories, except for unique inventory SKUs (principally independently graded diamonds), where cost is determined using specific identification. Net realizable value is defined as estimated selling price in the ordinary course of business, less reasonably predictable costs of completion, disposal and transportation.</w:t>
      </w:r>
    </w:p>
    <w:p>
      <w:pPr>
        <w:spacing w:after="0" w:line="20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Inventory reserves are recorded for obsolete, slow-moving or defective items and shrinkage. Inventory reserves are calculated as the difference between the cost of inventory and its estimated market value based on factors such as current and anticipated demand, customer preferences and fashion trends, management strategy and market conditions. Due to the Company’s inventory principally consisting of diamonds, gemstones and fine jewelry, the age of the inventories has limited impact on the estimated market value. The Company’s diamonds and gemstones do not degrade in quality over time and diamond and gemstone inventory generally consists of the diamond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gemstone shapes and sizes commonly used in the jewelry industry. Product obsolescence is closely monitored and reviewed by management on an ongoing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Capitalized Software and Website Development and Cloud Computing Implementation Costs</w:t>
      </w:r>
    </w:p>
    <w:p>
      <w:pPr>
        <w:spacing w:after="0" w:line="252"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Property and equipment are stated at cost less accumulated depreciation. Construction in progress primarily includes costs related to new showroom construction and is stated at original cost. Depreciation is recorded when the relevant assets are placed into service. Repairs and maintenance costs are expensed as incurred. Depreciation expense is calculated on a straight-line basis over the estimated useful lives of the related assets. The cost and related accumulated depreciation of assets sold or otherwise disposed of are removed from the accounts and the related gain or loss is reported in the consolidated statements of operations. Estimated useful lives by major asset category are as follows:</w:t>
      </w:r>
    </w:p>
    <w:p>
      <w:pPr>
        <w:spacing w:after="0" w:line="241"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360" w:type="dxa"/>
            <w:vAlign w:val="bottom"/>
            <w:gridSpan w:val="3"/>
          </w:tcPr>
          <w:p>
            <w:pPr>
              <w:ind w:left="20"/>
              <w:spacing w:after="0"/>
              <w:rPr>
                <w:sz w:val="20"/>
                <w:szCs w:val="20"/>
                <w:color w:val="auto"/>
              </w:rPr>
            </w:pPr>
            <w:r>
              <w:rPr>
                <w:rFonts w:ascii="Arial" w:cs="Arial" w:eastAsia="Arial" w:hAnsi="Arial"/>
                <w:sz w:val="18"/>
                <w:szCs w:val="18"/>
                <w:b w:val="1"/>
                <w:bCs w:val="1"/>
                <w:color w:val="auto"/>
              </w:rPr>
              <w:t>Asset</w:t>
            </w:r>
          </w:p>
        </w:tc>
        <w:tc>
          <w:tcPr>
            <w:tcW w:w="4520" w:type="dxa"/>
            <w:vAlign w:val="bottom"/>
            <w:gridSpan w:val="3"/>
          </w:tcPr>
          <w:p>
            <w:pPr>
              <w:ind w:left="520"/>
              <w:spacing w:after="0"/>
              <w:rPr>
                <w:sz w:val="20"/>
                <w:szCs w:val="20"/>
                <w:color w:val="auto"/>
              </w:rPr>
            </w:pPr>
            <w:r>
              <w:rPr>
                <w:rFonts w:ascii="Arial" w:cs="Arial" w:eastAsia="Arial" w:hAnsi="Arial"/>
                <w:sz w:val="18"/>
                <w:szCs w:val="18"/>
                <w:b w:val="1"/>
                <w:bCs w:val="1"/>
                <w:color w:val="auto"/>
              </w:rPr>
              <w:t>Life (in years)</w:t>
            </w:r>
          </w:p>
        </w:tc>
      </w:tr>
      <w:tr>
        <w:trPr>
          <w:trHeight w:val="61"/>
        </w:trPr>
        <w:tc>
          <w:tcPr>
            <w:tcW w:w="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80" w:type="dxa"/>
            <w:vAlign w:val="bottom"/>
            <w:tcBorders>
              <w:top w:val="single" w:sz="8" w:color="auto"/>
            </w:tcBorders>
          </w:tcPr>
          <w:p>
            <w:pPr>
              <w:spacing w:after="0"/>
              <w:rPr>
                <w:sz w:val="5"/>
                <w:szCs w:val="5"/>
                <w:color w:val="auto"/>
              </w:rPr>
            </w:pPr>
          </w:p>
        </w:tc>
        <w:tc>
          <w:tcPr>
            <w:tcW w:w="2920" w:type="dxa"/>
            <w:vAlign w:val="bottom"/>
          </w:tcPr>
          <w:p>
            <w:pPr>
              <w:spacing w:after="0"/>
              <w:rPr>
                <w:sz w:val="5"/>
                <w:szCs w:val="5"/>
                <w:color w:val="auto"/>
              </w:rPr>
            </w:pPr>
          </w:p>
        </w:tc>
      </w:tr>
      <w:tr>
        <w:trPr>
          <w:trHeight w:val="263"/>
        </w:trPr>
        <w:tc>
          <w:tcPr>
            <w:tcW w:w="2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6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3</w:t>
            </w:r>
          </w:p>
        </w:tc>
        <w:tc>
          <w:tcPr>
            <w:tcW w:w="2920" w:type="dxa"/>
            <w:vAlign w:val="bottom"/>
            <w:tcBorders>
              <w:bottom w:val="single" w:sz="8" w:color="CCEEFF"/>
            </w:tcBorders>
            <w:shd w:val="clear" w:color="auto" w:fill="CCEEFF"/>
          </w:tcPr>
          <w:p>
            <w:pPr>
              <w:spacing w:after="0"/>
              <w:rPr>
                <w:sz w:val="22"/>
                <w:szCs w:val="22"/>
                <w:color w:val="auto"/>
              </w:rPr>
            </w:pPr>
          </w:p>
        </w:tc>
      </w:tr>
      <w:tr>
        <w:trPr>
          <w:trHeight w:val="243"/>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Equipment</w:t>
            </w: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rPr>
              <w:t>5 - 7</w:t>
            </w:r>
          </w:p>
        </w:tc>
        <w:tc>
          <w:tcPr>
            <w:tcW w:w="2920" w:type="dxa"/>
            <w:vAlign w:val="bottom"/>
          </w:tcPr>
          <w:p>
            <w:pPr>
              <w:spacing w:after="0"/>
              <w:rPr>
                <w:sz w:val="21"/>
                <w:szCs w:val="21"/>
                <w:color w:val="auto"/>
              </w:rPr>
            </w:pP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920" w:type="dxa"/>
            <w:vAlign w:val="bottom"/>
          </w:tcPr>
          <w:p>
            <w:pPr>
              <w:spacing w:after="0"/>
              <w:rPr>
                <w:sz w:val="3"/>
                <w:szCs w:val="3"/>
                <w:color w:val="auto"/>
              </w:rPr>
            </w:pPr>
          </w:p>
        </w:tc>
      </w:tr>
      <w:tr>
        <w:trPr>
          <w:trHeight w:val="264"/>
        </w:trPr>
        <w:tc>
          <w:tcPr>
            <w:tcW w:w="2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6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7</w:t>
            </w:r>
          </w:p>
        </w:tc>
        <w:tc>
          <w:tcPr>
            <w:tcW w:w="2920" w:type="dxa"/>
            <w:vAlign w:val="bottom"/>
            <w:tcBorders>
              <w:bottom w:val="single" w:sz="8" w:color="CCEEFF"/>
            </w:tcBorders>
            <w:shd w:val="clear" w:color="auto" w:fill="CCEEFF"/>
          </w:tcPr>
          <w:p>
            <w:pPr>
              <w:spacing w:after="0"/>
              <w:rPr>
                <w:sz w:val="22"/>
                <w:szCs w:val="22"/>
                <w:color w:val="auto"/>
              </w:rPr>
            </w:pPr>
          </w:p>
        </w:tc>
      </w:tr>
      <w:tr>
        <w:trPr>
          <w:trHeight w:val="243"/>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Software and website</w:t>
            </w:r>
          </w:p>
        </w:tc>
        <w:tc>
          <w:tcPr>
            <w:tcW w:w="1600" w:type="dxa"/>
            <w:vAlign w:val="bottom"/>
            <w:gridSpan w:val="2"/>
          </w:tcPr>
          <w:p>
            <w:pPr>
              <w:ind w:left="520"/>
              <w:spacing w:after="0"/>
              <w:rPr>
                <w:sz w:val="20"/>
                <w:szCs w:val="20"/>
                <w:color w:val="auto"/>
              </w:rPr>
            </w:pPr>
            <w:r>
              <w:rPr>
                <w:rFonts w:ascii="Arial" w:cs="Arial" w:eastAsia="Arial" w:hAnsi="Arial"/>
                <w:sz w:val="16"/>
                <w:szCs w:val="16"/>
                <w:color w:val="auto"/>
              </w:rPr>
              <w:t>3</w:t>
            </w:r>
          </w:p>
        </w:tc>
        <w:tc>
          <w:tcPr>
            <w:tcW w:w="2920" w:type="dxa"/>
            <w:vAlign w:val="bottom"/>
          </w:tcPr>
          <w:p>
            <w:pPr>
              <w:spacing w:after="0"/>
              <w:rPr>
                <w:sz w:val="21"/>
                <w:szCs w:val="21"/>
                <w:color w:val="auto"/>
              </w:rPr>
            </w:pPr>
          </w:p>
        </w:tc>
      </w:tr>
      <w:tr>
        <w:trPr>
          <w:trHeight w:val="41"/>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920" w:type="dxa"/>
            <w:vAlign w:val="bottom"/>
          </w:tcPr>
          <w:p>
            <w:pPr>
              <w:spacing w:after="0"/>
              <w:rPr>
                <w:sz w:val="3"/>
                <w:szCs w:val="3"/>
                <w:color w:val="auto"/>
              </w:rPr>
            </w:pPr>
          </w:p>
        </w:tc>
      </w:tr>
      <w:tr>
        <w:trPr>
          <w:trHeight w:val="243"/>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5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Shorter of lease term or 7 years</w:t>
            </w:r>
          </w:p>
        </w:tc>
      </w:tr>
      <w:tr>
        <w:trPr>
          <w:trHeight w:val="40"/>
        </w:trPr>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r>
    </w:tbl>
    <w:p>
      <w:pPr>
        <w:spacing w:after="0" w:line="323"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The Company capitalizes costs of initial development of internal-use software and its website, and amortizes such costs on a straight-line basis over the estimated useful life of the software, which is generally three years, once it is available for use. Costs related to the ongoing maintenance of internal-use software and the website are expensed as incurred.</w:t>
      </w:r>
    </w:p>
    <w:p>
      <w:pPr>
        <w:spacing w:after="0" w:line="217"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Cloud computing implementation costs incurred for implementation, setup, and other upfront activities in a hosting arrangement that is a service contract are capitalized during the application development stage until the software is ready for its intended use and are included in other assets in the consolidated balance sheets. Upgrades and enhancements are capitalized if they will result in additional functionality. Amortization of capitalized costs is recorded on a straight-line basis over the term of the associated hosting arrangement, inclusive of certain renewal periods. During the year ended December 31, 2022, the Company recorded amortization expense related to these implementation costs of $0.3 million. Gross capitalized costs were $2.0 million as of December 31, 2022.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Tests for Long-Lived Assets</w:t>
      </w:r>
    </w:p>
    <w:p>
      <w:pPr>
        <w:spacing w:after="0" w:line="26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reviews the carrying value of its long-lived assets, including property and equipment and right of use (“ROU”) assets, whenever events or changes in circumstances indicate that the carrying value may not be recoverable. To the extent the estimated future cash inflows attributable to the assets, less estimated future cash outflows, are less than the carrying amount, an impairment loss would be recognized. No impairment losses have been recognized during the three years ended December 31, 2022, and as of December 31, 2022, no events or changes in circumstance have been identified that would indicate the carrying value of long-lived assets is not recoverable.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Company determines if an arrangement contains a lease at inception of a contract, and leases are classified at commencement as either operating or finance leases. For operating leases, the Company recognizes a ROU asset and a lease liability on the balance sheet. ROU assets represent the Company’s right to use an underlying asset for the lease term and the lease liabilities represent the Company’s obligation to make lease payments arising from the lease. The Company does not have any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lease liability is determined as the present value of future lease payments over the lease term. As the rate implicit in the Company’s leases is not readily determinable, the Company uses an incremental borrowing rate that is estimated to approximate the interest rate the Company would have to pay to borrow on a collateralized basis with similar terms and payments in an economic environment similar to where the leased asset is located. The ROU asset is recorded as the initial amount of the lease liability, plus any lease payments made to the lessor before or at the lease commencement date and any initial direct costs incurred, less any tenant improvement allowance incentives received. Tenant incentives are amortized through the right-of-use asset as a reduction of lease expense over the lease term. Lease terms may include options to extend or terminate the lease. These options are included in the lease term when it is reasonably certain that the option will be exercised.</w:t>
      </w:r>
    </w:p>
    <w:p>
      <w:pPr>
        <w:spacing w:after="0" w:line="20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Company utilizes certain practical expedients and policy elections available under Accounting Standards Codification (“ASC”) 842. The Company does not recognize ROU assets or lease liabilities for any lease with a term of twelve months or less and the Company has elected to not separate lease and non-lease components for all existing classes of assets.</w:t>
      </w:r>
    </w:p>
    <w:p>
      <w:pPr>
        <w:spacing w:after="0" w:line="21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Operating lease expenses for fixed lease payments are recognized on a straight-line basis over the lease term. Variable lease payments to the lessor such as maintenance, utilities, insurance, and real estate taxes are expensed as incurred.</w:t>
      </w:r>
    </w:p>
    <w:p>
      <w:pPr>
        <w:spacing w:after="0" w:line="211"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Prior to fiscal year 2022, assets under lease agreements were accounted for under ASC 840, Leases, and were reviewed for capital or operating classification at their inception. The Company’s leases were classified as operating leases under ASC 840 which were recognized as an expense on a straight-line basis over the lease term. In the event that lease incentives were received to enter into operating leases, such incentives were recognized as a liability and recognized as a reduction of the rental expense on a straight-line basis.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in Connection with Financings</w:t>
      </w:r>
    </w:p>
    <w:p>
      <w:pPr>
        <w:spacing w:after="0" w:line="266" w:lineRule="exact"/>
        <w:rPr>
          <w:sz w:val="20"/>
          <w:szCs w:val="20"/>
          <w:color w:val="auto"/>
        </w:rPr>
      </w:pPr>
    </w:p>
    <w:p>
      <w:pPr>
        <w:ind w:right="160"/>
        <w:spacing w:after="0" w:line="294" w:lineRule="auto"/>
        <w:rPr>
          <w:sz w:val="20"/>
          <w:szCs w:val="20"/>
          <w:color w:val="auto"/>
        </w:rPr>
      </w:pPr>
      <w:r>
        <w:rPr>
          <w:rFonts w:ascii="Arial" w:cs="Arial" w:eastAsia="Arial" w:hAnsi="Arial"/>
          <w:sz w:val="17"/>
          <w:szCs w:val="17"/>
          <w:color w:val="auto"/>
        </w:rPr>
        <w:t>Warrants issued in connection with debt and equity financings are generally accounted for as a component of equity unless the warrants include a conditional obligation to issue a variable number of units among other conditions or there is a deemed possibility that the Company may need to settle the warrants in cash, in which case they are accounted for as non-current liabilities in the consolidated balance sheets.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5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 xml:space="preserve">Costs that are direct and incremental to debt issuance are deferred and amortized to interest expense using the effective interest method over the expected life of the debt. All other costs related to debt issuance are expensed as incurred. The Company presents debt issuance costs associated with long-term debt as a reduction of the carrying amount of the debt. Unamortized costs related to the SVB Revolving Credit Facility are included in other assets on the consolidated balance sheets, See Note 8, </w:t>
      </w:r>
      <w:r>
        <w:rPr>
          <w:rFonts w:ascii="Arial" w:cs="Arial" w:eastAsia="Arial" w:hAnsi="Arial"/>
          <w:sz w:val="18"/>
          <w:szCs w:val="18"/>
          <w:i w:val="1"/>
          <w:iCs w:val="1"/>
          <w:color w:val="auto"/>
        </w:rPr>
        <w:t>Long-Term Debt</w:t>
      </w:r>
      <w:r>
        <w:rPr>
          <w:rFonts w:ascii="Arial" w:cs="Arial" w:eastAsia="Arial" w:hAnsi="Arial"/>
          <w:sz w:val="18"/>
          <w:szCs w:val="18"/>
          <w:color w:val="auto"/>
        </w:rPr>
        <w:t>, for further discussion.</w:t>
      </w:r>
    </w:p>
    <w:p>
      <w:pPr>
        <w:spacing w:after="0" w:line="228" w:lineRule="exact"/>
        <w:rPr>
          <w:sz w:val="20"/>
          <w:szCs w:val="20"/>
          <w:color w:val="auto"/>
        </w:rPr>
      </w:pPr>
    </w:p>
    <w:p>
      <w:pPr>
        <w:jc w:val="both"/>
        <w:ind w:right="520"/>
        <w:spacing w:after="0" w:line="313" w:lineRule="auto"/>
        <w:rPr>
          <w:sz w:val="20"/>
          <w:szCs w:val="20"/>
          <w:color w:val="auto"/>
        </w:rPr>
      </w:pPr>
      <w:r>
        <w:rPr>
          <w:rFonts w:ascii="Arial" w:cs="Arial" w:eastAsia="Arial" w:hAnsi="Arial"/>
          <w:sz w:val="16"/>
          <w:szCs w:val="16"/>
          <w:color w:val="auto"/>
        </w:rPr>
        <w:t>If the terms of a financing obligation are amended and accounted for as a debt modification by the Company, fees incurred directly with the lending institution are capitalized and amortized over the remaining contractual term using the effective interest method. Fees incurred with other parties are expensed as incurred. If the Company determines that there has been a substantial modification of a financing obligation, previously capitalized debt issuance costs are expensed and included in loss on extinguishment of debt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Net sales primarily consist of revenue from diamond, gemstone and jewelry retail sales and payment is required in full prior to order fulfillment. Delivery is determined to be the time of pickup for orders picked up in showrooms, and for shipped orders, typically within one to two business days after shipment. Credit is not extended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except through third-party credit cards or financing offerings. A return policy of 30 days from when the item is picked up or ready for shipment is typically provided; one complimentary resizing for standard ring styles is offered within 60 days of when an order is available for shipment or pickup; a lifetime manufacturing warranty is provided on all jewelry, with the exception of estate and vintage jewelry and center diamonds/gemstones; and a lifetime diamond upgrade program is included on all independently graded natural diamonds. The complimentary resizing, lifetime manufacturing warranty claims and lifetime diamond upgrades have not historically been material. An in-house three-year extended service plan, which provides full inspection, cleaning and certain repairs due to normal wear, is offered for an additional charge. An extended protection plan is also offered through a third party that has different terms ranging from 2 years to lifetime that vary based on the item purchased.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total net sales by geography for the years ended December 31, 2022, 2021 and 2020 (in thousands):</w:t>
      </w:r>
    </w:p>
    <w:p>
      <w:pPr>
        <w:spacing w:after="0" w:line="59"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2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For the Years Ended December 31,</w:t>
            </w:r>
          </w:p>
        </w:tc>
        <w:tc>
          <w:tcPr>
            <w:tcW w:w="1260" w:type="dxa"/>
            <w:vAlign w:val="bottom"/>
          </w:tcPr>
          <w:p>
            <w:pPr>
              <w:spacing w:after="0"/>
              <w:rPr>
                <w:sz w:val="20"/>
                <w:szCs w:val="20"/>
                <w:color w:val="auto"/>
              </w:rPr>
            </w:pPr>
          </w:p>
        </w:tc>
      </w:tr>
      <w:tr>
        <w:trPr>
          <w:trHeight w:val="41"/>
        </w:trPr>
        <w:tc>
          <w:tcPr>
            <w:tcW w:w="37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7"/>
        </w:trPr>
        <w:tc>
          <w:tcPr>
            <w:tcW w:w="3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40"/>
        </w:trPr>
        <w:tc>
          <w:tcPr>
            <w:tcW w:w="37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7"/>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413,678</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353,072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233,169</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26,204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27,117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18,651</w:t>
            </w:r>
          </w:p>
        </w:tc>
      </w:tr>
      <w:tr>
        <w:trPr>
          <w:trHeight w:val="41"/>
        </w:trPr>
        <w:tc>
          <w:tcPr>
            <w:tcW w:w="37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95"/>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sales</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439,882</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380,189</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251,820</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9"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 xml:space="preserve">Revenue is recognized under Financial Accounting Standards Board (“FASB”)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ASC 606 requires that revenue from customers be recognized as control of the promised goods is transferred to customers, which occurs upon delivery if the order is shipped, or at the time the customer picks up the completed product at a showroom.</w:t>
      </w:r>
    </w:p>
    <w:p>
      <w:pPr>
        <w:spacing w:after="0" w:line="222"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Revenue arrangements generally have one performance obligation and are reported net of estimated sales returns and allowances, which are determined based on historical product return rates and current economic conditions. The Company offers an in-house three-year extended service plan, which gives rise to an additional performance obligation, when purchased by the customer, which is recognized over the course of the plan. The Company also offers an extended protection plan in the capacity of an agent on behalf of a third-party that has different terms ranging from two years to lifetime that vary based on the item purchased. The commission that the Company receives from the third-party is recognized at the time of sale less an estimate of cancellations based on historical experience. There are no additional performance obligations in relation to the third-party plan.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Sales taxes are collected and remitted to taxing authorities, and the Company has elected to exclude sales taxes from revenues recognized under ASC 606.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significant financing component does not exist because customer payment is completed prior to order fulfillment.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Transactions where payment has been received from customers, but control has not transferred, are recorded as customer deposits in deferred revenue and revenue recognition is deferred until delivery has occurred. Deferred revenue also includes payments on the Company’s three-year extended service plan that customers have elected to purchase. As of December 31, 2022 and December 31, 2021, total deferred revenue was $18.6 million and $19.0 million, respectively, of which less than $0.1 million and $0.2 million, respectively, were included within other long-term liabilities in the consolidated balance sheets. During the years ended December 31, 2022, 2021 and 2020, the Company recognized $18.4 million, $9.6 million, and $8.1 million, respectively, of revenue that was deferred as of the last day of the respective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and Allowances</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 returns asset account and a refund liabilities account are maintained to record the effects of estimated product returns and sales returns allowance. Returns asset and refund liabilities are updated at the end of each financial reporting period and the effect of such changes are accounted for in the period in which such changes occur.</w:t>
      </w:r>
    </w:p>
    <w:p>
      <w:pPr>
        <w:spacing w:after="0" w:line="2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spacing w:after="0" w:line="21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 xml:space="preserve">As of December 31, 2022 and December 31, 2021, refund liabilities balances were $2.3 million and $2.3 million, respectively, and are included as a provision for sales returns and allowances within accrued expenses and other current liabilities in the consolidated balance sheets. See Note 6, </w:t>
      </w:r>
      <w:r>
        <w:rPr>
          <w:rFonts w:ascii="Arial" w:cs="Arial" w:eastAsia="Arial" w:hAnsi="Arial"/>
          <w:sz w:val="16"/>
          <w:szCs w:val="16"/>
          <w:i w:val="1"/>
          <w:iCs w:val="1"/>
          <w:color w:val="auto"/>
        </w:rPr>
        <w:t>Accrued</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 and Other Current Liabilities</w:t>
      </w:r>
      <w:r>
        <w:rPr>
          <w:rFonts w:ascii="Arial" w:cs="Arial" w:eastAsia="Arial" w:hAnsi="Arial"/>
          <w:sz w:val="16"/>
          <w:szCs w:val="16"/>
          <w:color w:val="auto"/>
        </w:rPr>
        <w:t>, for further discussion. As of December 31, 2022 and December 31, 2021, returns asset balances were $0.9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$1.1 million, respectively, and are included within prepaid expenses and other current assets in the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Fulfillment Costs</w:t>
      </w:r>
    </w:p>
    <w:p>
      <w:pPr>
        <w:spacing w:after="0" w:line="2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generally does not bill customers separately for shipping and handling charges. Fulfillment costs incurred by the Company when shipping to customers is reflected in cost of sales in the consolidated statements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Consignment Inventory Sales</w:t>
      </w:r>
    </w:p>
    <w:p>
      <w:pPr>
        <w:spacing w:after="0" w:line="25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Sales of consignment inventory are presented on a gross sales basis as control of the merchandise is maintained through the point of sale. The Company also provides independent advice, guidance and after-sales service to customers. Consigned products are selected at the discretion of the Company, and the determination of the selling price as well as responsibility of the physical security of the products is maintained by the Company. The products sold from consignment inventory are similar in nature to other products that the Company sells to customers and are sold on the same terms.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66"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Company purchases diamonds and gemstones from suppliers and utilizes third-party manufacturing suppliers for the production and assembly of substantially all jewelry sold by the Company. Cost of sales includes merchandise costs, inbound freight charges, costs of shipping orders to customers, costs and reserves for disposal of obsolete, slow-moving or defective items and shrinkage.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Selling, general and administrative expenses consist primarily of marketing, advertising and promotional expenses, payroll and related benefit costs for the Company’s employees, including equity-based compensation expense, merchant processing fees, certain facility-related costs, customer service, technology and depreciation expenses, as well as professional fees and other general corporate expenses.</w:t>
      </w:r>
    </w:p>
    <w:p>
      <w:pPr>
        <w:spacing w:after="0" w:line="2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Marketing, advertising and promotional costs are expensed as incurred and totaled approximately $97.3 million, $74.4 million and $47.1 million, for the years ended December 31, 2022, 2021 and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Gains or losses resulting from foreign currency transactions are included within other income (expense), net in the consolidated statements of operations. For the years ended December 31, 2022, 2021 and 2020, losses from foreign currency transactions were $0.5 million, $0.5 million and $0.3 million,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capitalizes certain legal, accounting and other third-party fees that are directly related to an anticipated equity financing until such transaction is consummated. After consummation of an equity financing, these costs are recorded as a reduction of the proceeds received. Should a planned equity financing be abandoned, terminated or significantly delayed, the deferred offering costs are immediately written off to operating expenses in the consolidated statements of operations in the period of determination.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Equity-based compensation is accounted for as an expense in accordance with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with the fair value recognition and measurement provisions of U.S. GAAP which requires compensation cost for the grant-date fair value of equity-based awards to be recognized over the requisite service period. The Company uses the straight-line method to amortize all stock awards granted over the requisite service period of the award. The Company accounts for forfeitures when they occur, and any compensation expense previously recognized on unvested equity-based awards will be reversed when forfeited.</w:t>
      </w:r>
    </w:p>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fair value of awards of restricted LLC Units is based on the fair value of the member unit underlying the awards as of the date of grant. The fair value of the underlying member units (referred to as Class M Units prior to conversion to common LLC Units in the IPO on a value-for-value basis) for grants prior to the Company’s IPO in September 2021 was determined by considering a number of objective, subjective and highly complex factors including independent third-party valuations of the Company’s member units, operating and financial performance, the lack of liquidity of member units and general and industry specific economic outlook among other factors.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restricted stock units (“RSUs”) is based on the fair value of the Class A common stock at the time of grant.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fair value of option-based awards is estimated using the Black-Scholes valuation model. The Black-Scholes model requires the use of highly subjective and complex assumptions, including the option’s expected term and the price volatility of the underlying stock. For inputs into the Black-Scholes model, the expected stock price volatility for the common stock is estimated by taking the average historic price volatility for industry peers based on daily price observations over a period equivalent to the expected term of the stock option grants. Industry peers consist of several public companies in the Company’s industry which are of similar size, complexity and stage of development. The risk-free interest rate for the expected term of the option is based on the U.S. Treasury implied yield at the date of grant. The Company has elected to use the “simplified method” to determine the expected term, which is the midpoint between the vesting date and the end of the contractual term, because it has insufficient history upon which to base an assumption about the term; the Company believes the simplified method approximates a term if it were to be based on expected life. The expected dividend yield is nil as the Company has not paid and does not anticipate paying dividends on its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Units</w:t>
      </w:r>
    </w:p>
    <w:p>
      <w:pPr>
        <w:spacing w:after="0" w:line="2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Member units were assessed at issuance or when the terms were changed or modified for classification (as liabilities, temporary equity, or permanent equity), and for embedded conversion and redemption features requiring bifurcation. The Class F Units (“Class F Units”) and Class M Units meet the criteria for classification as permanent equity. As discussed in Note 9, </w:t>
      </w:r>
      <w:r>
        <w:rPr>
          <w:rFonts w:ascii="Arial" w:cs="Arial" w:eastAsia="Arial" w:hAnsi="Arial"/>
          <w:sz w:val="16"/>
          <w:szCs w:val="16"/>
          <w:i w:val="1"/>
          <w:iCs w:val="1"/>
          <w:color w:val="auto"/>
        </w:rPr>
        <w:t>Stockholders’ Equity and Members Units Including Redeemable Convertible Class P</w:t>
      </w:r>
      <w:r>
        <w:rPr>
          <w:rFonts w:ascii="Arial" w:cs="Arial" w:eastAsia="Arial" w:hAnsi="Arial"/>
          <w:sz w:val="16"/>
          <w:szCs w:val="16"/>
          <w:color w:val="auto"/>
        </w:rPr>
        <w:t xml:space="preserve"> </w:t>
      </w:r>
      <w:r>
        <w:rPr>
          <w:rFonts w:ascii="Arial" w:cs="Arial" w:eastAsia="Arial" w:hAnsi="Arial"/>
          <w:sz w:val="16"/>
          <w:szCs w:val="16"/>
          <w:i w:val="1"/>
          <w:iCs w:val="1"/>
          <w:color w:val="auto"/>
        </w:rPr>
        <w:t>Units</w:t>
      </w:r>
      <w:r>
        <w:rPr>
          <w:rFonts w:ascii="Arial" w:cs="Arial" w:eastAsia="Arial" w:hAnsi="Arial"/>
          <w:sz w:val="16"/>
          <w:szCs w:val="16"/>
          <w:color w:val="auto"/>
        </w:rPr>
        <w:t>, the Class P Units were classified as temporary equity and adjusted each reporting period to their redemption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Under the LLC Agreement, the holder of any Class P Units had the right at any time, at such holder’s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to convert any such Class P Units into Class F Units on a one-to-one basis. Included in the conversion formula was a down round feature which provided the P Unitholder with protection if at any time after the original issuance of the Class P Units, the Company shall issue any Class F or Class M Units, for a consideration per unit less than the applicable conversion price in effect immediately prior to the issuance of such Class F or Class M Units, such Conversion Price shall be decreased based on a formula as described. The embedded conversion feature including down round protection qualifies for an exception under the derivative rules for bifurcation and all proceeds from issuance were allocated to the P Units.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Members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LLC Agreement provides for the distribution of cash in defined amounts sufficient to fund member income tax liabilities.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Brilliant Earth Group, Inc. accounts for its income taxes using the asset and liability method. Under this method, deferred tax assets and liabilities are recognized for the estimated future tax consequences attributable to differences between the financial statement carrying amounts of existing assets and liabilities and their respective tax bases. In assessing the realizability of deferred tax assets, management considers whether it is more-likely-than-not that the deferred tax assets will be realized. Deferred tax assets and liabilities are calculated by applying existing tax laws and the rates expected to apply to taxable income in the years in which those temporary differences are expected to be recovered or settled. The effect of a change in tax rates on deferred tax assets and liabilities is recognized in the year of the enacted rate change.</w:t>
      </w:r>
    </w:p>
    <w:p>
      <w:pPr>
        <w:spacing w:after="0" w:line="2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Uncertainty in income taxes is accounted for using a recognition and measurement threshold for tax positions taken or expected to be taken in a tax return, which are subject to examination by federal and state taxing authorities. The tax benefit from an uncertain tax position is recognized when it is more likely than not that the position will be sustained upon examination by taxing authorities based on the technical merits of the position. The amount of the tax benefit recognized is the largest amount of the benefit that has a greater than 50% likelihood of being realized upon ultimate settlement. The effective tax rate and the tax basis of assets and liabilities reflect management’s estimates of the ultimate outcome of various tax uncertainties. The Company recognizes penalties and interest related to uncertain tax positions within the provision (benefit) for income taxes line in the consolidated statements of operations. As of December 31, 2022 and 2021, no uncertain tax positions have been recorded. The Company will continue to monitor this position each interim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5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and also issued subsequent amendments to the initial guidance, ASC 2018-10, ASC 2018-11, ASU 2019-10, ASU 2020-02 and ASU 2020-05 (collectively, “ASC 842”). The standard requires the recognition of a liability for lease obligations and a corresponding ROU asset on the balance sheet, and additional disclosure regarding leasing arrangements. The Company adopted this guidance by applying the modified retrospective approach effective January 1, 2022. The Company elected to apply transition practical expedients, which allowed the Company to use its previous evaluations regarding if an arrangement contains a lease, if a lease is an operating or financing lease and what costs are capitalized as initial direct costs prior to adoption.</w:t>
      </w:r>
    </w:p>
    <w:p>
      <w:pPr>
        <w:spacing w:after="0" w:line="21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adoption of ASC 842 effective January 1, 2022 resulted in the recognition of operating lease ROU assets of $19.2 million and operating lease liabilities of $21.3 million in the Company’s consolidated balance sheet. In connection with the adoption, pre-existing liabilities for deferred rent and various lease incentives totaling $2.1 million were reclassified to the operating lease ROU assets. The Company’s financial position and operating results for reporting periods prior to January 1, 2022 have not been adjusted and continue to be presented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accounting standard in effect at that time. No cumulative effect adjustment was required to be recorded.</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modifies ASC 740 to reduce complexity while maintaining or improving the usefulness of the information provided to users of financial statements. ASU 2019-12 is effective for the Company for interim and annual reporting periods beginning after December 15, 2021. The Company adopted this guidance on January 1, 2022 on a prospective basis and the adoption did not have a material impact on the Company's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Issued but Not Yet Adopted</w:t>
      </w:r>
    </w:p>
    <w:p>
      <w:pPr>
        <w:spacing w:after="0" w:line="266"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Measurement of Credit Losses on Financial Instruments (Topic 326)</w:t>
      </w:r>
      <w:r>
        <w:rPr>
          <w:rFonts w:ascii="Arial" w:cs="Arial" w:eastAsia="Arial" w:hAnsi="Arial"/>
          <w:sz w:val="17"/>
          <w:szCs w:val="17"/>
          <w:color w:val="auto"/>
        </w:rPr>
        <w:t>. Topic 326 changes the impairment model for most financial assets. The new model uses a forward-looking expected loss method, which will generally result in earlier recognition of allowances for losses. Topic 326 is effective for the Company as of January 1, 2023. The Company does not expect the adoption of this standard to have a material impact on the Company's consolidated financial statements.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Basic earnings per share is computed by dividing net income applicable to Brilliant Earth Group, Inc. by the weighted average shares of Class A common stock outstanding (and Class D common stock if outstanding) during the period. Diluted earnings per share is computed by adjusting the net income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w:t>
      </w:r>
    </w:p>
    <w:p>
      <w:pPr>
        <w:spacing w:after="0" w:line="21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All earnings prior to September 23, 2021, the date of the IPO, were entirely allocable to the non-controlling interest and, as a result, earnings per share information is not applicable for reporting periods prior to this date. Consequently, only earnings per share for net income for periods subsequent to September 22, 2021 are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auto"/>
        </w:rPr>
        <w:t>Basic and diluted earnings per share of common stock for the year ended December 31, 2022 and the period from September 23, 2021 to December 31, 2021 have been computed as follows (in thousands, except share and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For the period September</w:t>
            </w:r>
          </w:p>
        </w:tc>
        <w:tc>
          <w:tcPr>
            <w:tcW w:w="0" w:type="dxa"/>
            <w:vAlign w:val="bottom"/>
          </w:tcPr>
          <w:p>
            <w:pPr>
              <w:spacing w:after="0"/>
              <w:rPr>
                <w:sz w:val="1"/>
                <w:szCs w:val="1"/>
                <w:color w:val="auto"/>
              </w:rPr>
            </w:pPr>
          </w:p>
        </w:tc>
      </w:tr>
      <w:tr>
        <w:trPr>
          <w:trHeight w:val="229"/>
        </w:trPr>
        <w:tc>
          <w:tcPr>
            <w:tcW w:w="6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Arial" w:cs="Arial" w:eastAsia="Arial" w:hAnsi="Arial"/>
                <w:sz w:val="16"/>
                <w:szCs w:val="16"/>
                <w:b w:val="1"/>
                <w:bCs w:val="1"/>
                <w:color w:val="auto"/>
                <w:w w:val="99"/>
              </w:rPr>
              <w:t>For the year ended December</w:t>
            </w:r>
          </w:p>
        </w:tc>
        <w:tc>
          <w:tcPr>
            <w:tcW w:w="120" w:type="dxa"/>
            <w:vAlign w:val="bottom"/>
          </w:tcPr>
          <w:p>
            <w:pPr>
              <w:spacing w:after="0"/>
              <w:rPr>
                <w:sz w:val="19"/>
                <w:szCs w:val="19"/>
                <w:color w:val="auto"/>
              </w:rPr>
            </w:pPr>
          </w:p>
        </w:tc>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23, 2021 to December 31,</w:t>
            </w:r>
          </w:p>
        </w:tc>
        <w:tc>
          <w:tcPr>
            <w:tcW w:w="0" w:type="dxa"/>
            <w:vAlign w:val="bottom"/>
          </w:tcPr>
          <w:p>
            <w:pPr>
              <w:spacing w:after="0"/>
              <w:rPr>
                <w:sz w:val="1"/>
                <w:szCs w:val="1"/>
                <w:color w:val="auto"/>
              </w:rPr>
            </w:pPr>
          </w:p>
        </w:tc>
      </w:tr>
      <w:tr>
        <w:trPr>
          <w:trHeight w:val="242"/>
        </w:trPr>
        <w:tc>
          <w:tcPr>
            <w:tcW w:w="6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jc w:val="right"/>
              <w:ind w:right="771"/>
              <w:spacing w:after="0"/>
              <w:rPr>
                <w:sz w:val="20"/>
                <w:szCs w:val="20"/>
                <w:color w:val="auto"/>
              </w:rPr>
            </w:pPr>
            <w:r>
              <w:rPr>
                <w:rFonts w:ascii="Arial" w:cs="Arial" w:eastAsia="Arial" w:hAnsi="Arial"/>
                <w:sz w:val="16"/>
                <w:szCs w:val="16"/>
                <w:b w:val="1"/>
                <w:bCs w:val="1"/>
                <w:color w:val="auto"/>
              </w:rPr>
              <w:t>31, 2022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33"/>
        </w:trPr>
        <w:tc>
          <w:tcPr>
            <w:tcW w:w="6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360"/>
              <w:spacing w:after="0"/>
              <w:rPr>
                <w:sz w:val="20"/>
                <w:szCs w:val="20"/>
                <w:color w:val="auto"/>
              </w:rPr>
            </w:pPr>
            <w:r>
              <w:rPr>
                <w:rFonts w:ascii="Arial" w:cs="Arial" w:eastAsia="Arial" w:hAnsi="Arial"/>
                <w:sz w:val="18"/>
                <w:szCs w:val="18"/>
                <w:color w:val="auto"/>
              </w:rPr>
              <w:t>Net income attributable to Brilliant Earth Group, Inc., BASIC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40"/>
        </w:trPr>
        <w:tc>
          <w:tcPr>
            <w:tcW w:w="6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2"/>
              </w:rPr>
              <w:t>Add: Net income impact from assumed redemption of all LLC Units to common stock</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0" w:type="dxa"/>
            <w:vAlign w:val="bottom"/>
          </w:tcPr>
          <w:p>
            <w:pPr>
              <w:spacing w:after="0"/>
              <w:rPr>
                <w:sz w:val="1"/>
                <w:szCs w:val="1"/>
                <w:color w:val="auto"/>
              </w:rPr>
            </w:pPr>
          </w:p>
        </w:tc>
      </w:tr>
      <w:tr>
        <w:trPr>
          <w:trHeight w:val="243"/>
        </w:trPr>
        <w:tc>
          <w:tcPr>
            <w:tcW w:w="6580" w:type="dxa"/>
            <w:vAlign w:val="bottom"/>
          </w:tcPr>
          <w:p>
            <w:pPr>
              <w:ind w:left="360"/>
              <w:spacing w:after="0"/>
              <w:rPr>
                <w:sz w:val="20"/>
                <w:szCs w:val="20"/>
                <w:color w:val="auto"/>
              </w:rPr>
            </w:pPr>
            <w:r>
              <w:rPr>
                <w:rFonts w:ascii="Arial" w:cs="Arial" w:eastAsia="Arial" w:hAnsi="Arial"/>
                <w:sz w:val="18"/>
                <w:szCs w:val="18"/>
                <w:color w:val="auto"/>
              </w:rPr>
              <w:t>Less: Income tax expense on net income attributable to NCI</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40"/>
        </w:trPr>
        <w:tc>
          <w:tcPr>
            <w:tcW w:w="65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Net income attributable to Brilliant Earth Group, Inc., after adjustment for assumed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14,656</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conversion, DILUTED</w:t>
            </w: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21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21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360"/>
              <w:spacing w:after="0"/>
              <w:rPr>
                <w:sz w:val="20"/>
                <w:szCs w:val="20"/>
                <w:color w:val="auto"/>
              </w:rPr>
            </w:pPr>
            <w:r>
              <w:rPr>
                <w:rFonts w:ascii="Arial" w:cs="Arial" w:eastAsia="Arial" w:hAnsi="Arial"/>
                <w:sz w:val="18"/>
                <w:szCs w:val="18"/>
                <w:color w:val="auto"/>
              </w:rPr>
              <w:t>Weighted average shares of common stock outstanding, BASIC</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10,687,732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9,590,443</w:t>
            </w:r>
          </w:p>
        </w:tc>
        <w:tc>
          <w:tcPr>
            <w:tcW w:w="0" w:type="dxa"/>
            <w:vAlign w:val="bottom"/>
          </w:tcPr>
          <w:p>
            <w:pPr>
              <w:spacing w:after="0"/>
              <w:rPr>
                <w:sz w:val="1"/>
                <w:szCs w:val="1"/>
                <w:color w:val="auto"/>
              </w:rPr>
            </w:pPr>
          </w:p>
        </w:tc>
      </w:tr>
      <w:tr>
        <w:trPr>
          <w:trHeight w:val="40"/>
        </w:trPr>
        <w:tc>
          <w:tcPr>
            <w:tcW w:w="6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Dilutive effects of:</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680"/>
              <w:spacing w:after="0"/>
              <w:rPr>
                <w:sz w:val="20"/>
                <w:szCs w:val="20"/>
                <w:color w:val="auto"/>
              </w:rPr>
            </w:pPr>
            <w:r>
              <w:rPr>
                <w:rFonts w:ascii="Arial" w:cs="Arial" w:eastAsia="Arial" w:hAnsi="Arial"/>
                <w:sz w:val="18"/>
                <w:szCs w:val="18"/>
                <w:color w:val="auto"/>
              </w:rPr>
              <w:t>Vested LLC Units that are exchangeable for common stock</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84,569,954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85,105,060</w:t>
            </w:r>
          </w:p>
        </w:tc>
        <w:tc>
          <w:tcPr>
            <w:tcW w:w="0" w:type="dxa"/>
            <w:vAlign w:val="bottom"/>
          </w:tcPr>
          <w:p>
            <w:pPr>
              <w:spacing w:after="0"/>
              <w:rPr>
                <w:sz w:val="1"/>
                <w:szCs w:val="1"/>
                <w:color w:val="auto"/>
              </w:rPr>
            </w:pPr>
          </w:p>
        </w:tc>
      </w:tr>
      <w:tr>
        <w:trPr>
          <w:trHeight w:val="41"/>
        </w:trPr>
        <w:tc>
          <w:tcPr>
            <w:tcW w:w="6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Unvested LLC Units that are exchangeable for common stock</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995,892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1,931,234</w:t>
            </w:r>
          </w:p>
        </w:tc>
        <w:tc>
          <w:tcPr>
            <w:tcW w:w="0" w:type="dxa"/>
            <w:vAlign w:val="bottom"/>
          </w:tcPr>
          <w:p>
            <w:pPr>
              <w:spacing w:after="0"/>
              <w:rPr>
                <w:sz w:val="1"/>
                <w:szCs w:val="1"/>
                <w:color w:val="auto"/>
              </w:rPr>
            </w:pPr>
          </w:p>
        </w:tc>
      </w:tr>
      <w:tr>
        <w:trPr>
          <w:trHeight w:val="243"/>
        </w:trPr>
        <w:tc>
          <w:tcPr>
            <w:tcW w:w="6580" w:type="dxa"/>
            <w:vAlign w:val="bottom"/>
          </w:tcPr>
          <w:p>
            <w:pPr>
              <w:ind w:left="680"/>
              <w:spacing w:after="0"/>
              <w:rPr>
                <w:sz w:val="20"/>
                <w:szCs w:val="20"/>
                <w:color w:val="auto"/>
              </w:rPr>
            </w:pPr>
            <w:r>
              <w:rPr>
                <w:rFonts w:ascii="Arial" w:cs="Arial" w:eastAsia="Arial" w:hAnsi="Arial"/>
                <w:sz w:val="18"/>
                <w:szCs w:val="18"/>
                <w:color w:val="auto"/>
              </w:rPr>
              <w:t>RSUs and stock options</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251,747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114,684</w:t>
            </w:r>
          </w:p>
        </w:tc>
        <w:tc>
          <w:tcPr>
            <w:tcW w:w="0" w:type="dxa"/>
            <w:vAlign w:val="bottom"/>
          </w:tcPr>
          <w:p>
            <w:pPr>
              <w:spacing w:after="0"/>
              <w:rPr>
                <w:sz w:val="1"/>
                <w:szCs w:val="1"/>
                <w:color w:val="auto"/>
              </w:rPr>
            </w:pPr>
          </w:p>
        </w:tc>
      </w:tr>
      <w:tr>
        <w:trPr>
          <w:trHeight w:val="41"/>
        </w:trPr>
        <w:tc>
          <w:tcPr>
            <w:tcW w:w="65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shares of common stock outstanding, DILUTED</w:t>
            </w:r>
          </w:p>
        </w:tc>
        <w:tc>
          <w:tcPr>
            <w:tcW w:w="120" w:type="dxa"/>
            <w:vAlign w:val="bottom"/>
            <w:tcBorders>
              <w:bottom w:val="single" w:sz="8" w:color="auto"/>
            </w:tcBorders>
            <w:shd w:val="clear" w:color="auto" w:fill="CCEEFF"/>
          </w:tcPr>
          <w:p>
            <w:pPr>
              <w:spacing w:after="0"/>
              <w:rPr>
                <w:sz w:val="24"/>
                <w:szCs w:val="24"/>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96,505,325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96,741,421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0.16</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0.15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income attributable to the non-controlling interest added back to net income in the fully dilutive computation has been adjusted for income taxes which would have been expensed had the income been recognized by Brilliant Earth Group, Inc., a taxable entity. The weighted average common shares outstanding in the diluted computation per share assumes all outstanding LLC Units are converted and the Company will elect to issue shares of common stock upon redemption rather than cash-settle.</w:t>
      </w:r>
    </w:p>
    <w:p>
      <w:pPr>
        <w:spacing w:after="0" w:line="200"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For the year ended December 31, 2022 and the period from September 23, 2021 to December 31, 2021, the dilutive impact of LLC Units convertible into common stock were included in the computation of diluted earnings per share under the if-converted method; the dilutive impact of unvested LLC Units, RSUs and stock options were included using the treasury stock method.</w:t>
      </w:r>
    </w:p>
    <w:p>
      <w:pPr>
        <w:spacing w:after="0" w:line="216"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For the year ended December 31, 2022, the impact of 1,112,615 of shares underlying stock options and 2,002,014 of RSUs, respectively, have been excluded from the computation of earnings per share because such impact is anti-dilutive. For the period from September 23, 2021 to December 31, 2021, the impact of 1,306,854 of shares underlying stock options and 224 of RSUs, respectively, have been excluded from the computation of earnings per share because such impact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NOTE 4. INVENTORIES, NET</w:t>
            </w: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80" w:type="dxa"/>
            <w:vAlign w:val="bottom"/>
          </w:tcPr>
          <w:p>
            <w:pPr>
              <w:spacing w:after="0"/>
              <w:rPr>
                <w:sz w:val="20"/>
                <w:szCs w:val="20"/>
                <w:color w:val="auto"/>
              </w:rPr>
            </w:pPr>
            <w:r>
              <w:rPr>
                <w:rFonts w:ascii="Arial" w:cs="Arial" w:eastAsia="Arial" w:hAnsi="Arial"/>
                <w:sz w:val="18"/>
                <w:szCs w:val="18"/>
                <w:color w:val="auto"/>
              </w:rPr>
              <w:t>Inventories, net consist of the following (in thousands):</w:t>
            </w: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91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jc w:val="right"/>
              <w:ind w:right="9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0"/>
        </w:trPr>
        <w:tc>
          <w:tcPr>
            <w:tcW w:w="508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Loose diamonds</w:t>
            </w:r>
          </w:p>
        </w:tc>
        <w:tc>
          <w:tcPr>
            <w:tcW w:w="1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4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9,013</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Fine jewelry and other</w:t>
            </w: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15,990</w:t>
            </w:r>
          </w:p>
        </w:tc>
        <w:tc>
          <w:tcPr>
            <w:tcW w:w="0" w:type="dxa"/>
            <w:vAlign w:val="bottom"/>
          </w:tcPr>
          <w:p>
            <w:pPr>
              <w:spacing w:after="0"/>
              <w:rPr>
                <w:sz w:val="1"/>
                <w:szCs w:val="1"/>
                <w:color w:val="auto"/>
              </w:rPr>
            </w:pPr>
          </w:p>
        </w:tc>
      </w:tr>
      <w:tr>
        <w:trPr>
          <w:trHeight w:val="40"/>
        </w:trPr>
        <w:tc>
          <w:tcPr>
            <w:tcW w:w="5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inventory obsolescence</w:t>
            </w:r>
          </w:p>
        </w:tc>
        <w:tc>
          <w:tcPr>
            <w:tcW w:w="12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1"/>
        </w:trPr>
        <w:tc>
          <w:tcPr>
            <w:tcW w:w="5080" w:type="dxa"/>
            <w:vAlign w:val="bottom"/>
          </w:tcPr>
          <w:p>
            <w:pPr>
              <w:ind w:left="140"/>
              <w:spacing w:after="0"/>
              <w:rPr>
                <w:sz w:val="20"/>
                <w:szCs w:val="20"/>
                <w:color w:val="auto"/>
              </w:rPr>
            </w:pPr>
            <w:r>
              <w:rPr>
                <w:rFonts w:ascii="Arial" w:cs="Arial" w:eastAsia="Arial" w:hAnsi="Arial"/>
                <w:sz w:val="18"/>
                <w:szCs w:val="18"/>
                <w:b w:val="1"/>
                <w:bCs w:val="1"/>
                <w:color w:val="auto"/>
              </w:rPr>
              <w:t>Total inventories, net</w:t>
            </w:r>
          </w:p>
        </w:tc>
        <w:tc>
          <w:tcPr>
            <w:tcW w:w="1260" w:type="dxa"/>
            <w:vAlign w:val="bottom"/>
          </w:tcPr>
          <w:p>
            <w:pPr>
              <w:spacing w:after="0"/>
              <w:rPr>
                <w:sz w:val="23"/>
                <w:szCs w:val="23"/>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39,331</w:t>
            </w:r>
          </w:p>
        </w:tc>
        <w:tc>
          <w:tcPr>
            <w:tcW w:w="20" w:type="dxa"/>
            <w:vAlign w:val="bottom"/>
            <w:tcBorders>
              <w:top w:val="single" w:sz="8" w:color="auto"/>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24,743</w:t>
            </w: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w w:val="96"/>
              </w:rPr>
              <w:t>The allowance for inventory obsolescence consists of the following (in thousands):</w:t>
            </w: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63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5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0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0"/>
        </w:trPr>
        <w:tc>
          <w:tcPr>
            <w:tcW w:w="50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Change in allowance for inventory obsolescence</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1"/>
        </w:trPr>
        <w:tc>
          <w:tcPr>
            <w:tcW w:w="50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Balance at end of period</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(260)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Provisions for inventory obsolescence included in cost of sales in the consolidated statements of operations were less than $0.1 million for the years ended December 31, 2022, and 2021, and $0.1 million for the year ended December 31, 2020, respectively.</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2022 and December 31, 2021, the Company had $27.6 million and $16.9 million, respectively, in consigned inventory held on behalf of suppliers which is not recorded in the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r>
              <w:rPr>
                <w:rFonts w:ascii="Arial" w:cs="Arial" w:eastAsia="Arial" w:hAnsi="Arial"/>
                <w:sz w:val="18"/>
                <w:szCs w:val="18"/>
                <w:b w:val="1"/>
                <w:bCs w:val="1"/>
                <w:color w:val="auto"/>
              </w:rPr>
              <w:t>NOTE 5. PROPERTY AND EQUIPMENT, NET</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73"/>
        </w:trPr>
        <w:tc>
          <w:tcPr>
            <w:tcW w:w="7520" w:type="dxa"/>
            <w:vAlign w:val="bottom"/>
          </w:tcPr>
          <w:p>
            <w:pPr>
              <w:spacing w:after="0"/>
              <w:rPr>
                <w:sz w:val="20"/>
                <w:szCs w:val="20"/>
                <w:color w:val="auto"/>
              </w:rPr>
            </w:pPr>
            <w:r>
              <w:rPr>
                <w:rFonts w:ascii="Arial" w:cs="Arial" w:eastAsia="Arial" w:hAnsi="Arial"/>
                <w:sz w:val="18"/>
                <w:szCs w:val="18"/>
                <w:color w:val="auto"/>
              </w:rPr>
              <w:t>Property and equipment, net, consist of the following (in thousands):</w:t>
            </w: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3"/>
        </w:trPr>
        <w:tc>
          <w:tcPr>
            <w:tcW w:w="75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37"/>
        </w:trPr>
        <w:tc>
          <w:tcPr>
            <w:tcW w:w="7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Pr>
          <w:p>
            <w:pPr>
              <w:spacing w:after="0"/>
              <w:rPr>
                <w:sz w:val="20"/>
                <w:szCs w:val="20"/>
                <w:color w:val="auto"/>
              </w:rPr>
            </w:pPr>
          </w:p>
        </w:tc>
      </w:tr>
      <w:tr>
        <w:trPr>
          <w:trHeight w:val="40"/>
        </w:trPr>
        <w:tc>
          <w:tcPr>
            <w:tcW w:w="75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7"/>
        </w:trPr>
        <w:tc>
          <w:tcPr>
            <w:tcW w:w="7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40"/>
        </w:trPr>
        <w:tc>
          <w:tcPr>
            <w:tcW w:w="75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40"/>
        </w:trPr>
        <w:tc>
          <w:tcPr>
            <w:tcW w:w="75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6,743</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40"/>
        </w:trPr>
        <w:tc>
          <w:tcPr>
            <w:tcW w:w="75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83"/>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Gross property and equipment</w:t>
            </w:r>
          </w:p>
        </w:tc>
        <w:tc>
          <w:tcPr>
            <w:tcW w:w="1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21,292</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9,856</w:t>
            </w:r>
          </w:p>
        </w:tc>
      </w:tr>
      <w:tr>
        <w:trPr>
          <w:trHeight w:val="40"/>
        </w:trPr>
        <w:tc>
          <w:tcPr>
            <w:tcW w:w="75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8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1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r>
      <w:tr>
        <w:trPr>
          <w:trHeight w:val="270"/>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Total property and equipment, net</w:t>
            </w:r>
          </w:p>
        </w:tc>
        <w:tc>
          <w:tcPr>
            <w:tcW w:w="11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16,554</w:t>
            </w:r>
          </w:p>
        </w:tc>
        <w:tc>
          <w:tcPr>
            <w:tcW w:w="100" w:type="dxa"/>
            <w:vAlign w:val="bottom"/>
          </w:tcPr>
          <w:p>
            <w:pPr>
              <w:spacing w:after="0"/>
              <w:rPr>
                <w:sz w:val="23"/>
                <w:szCs w:val="23"/>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6,732</w:t>
            </w:r>
          </w:p>
        </w:tc>
      </w:tr>
      <w:tr>
        <w:trPr>
          <w:trHeight w:val="27"/>
        </w:trPr>
        <w:tc>
          <w:tcPr>
            <w:tcW w:w="7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640"/>
        <w:spacing w:after="0" w:line="293" w:lineRule="auto"/>
        <w:rPr>
          <w:sz w:val="20"/>
          <w:szCs w:val="20"/>
          <w:color w:val="auto"/>
        </w:rPr>
      </w:pPr>
      <w:r>
        <w:rPr>
          <w:rFonts w:ascii="Arial" w:cs="Arial" w:eastAsia="Arial" w:hAnsi="Arial"/>
          <w:sz w:val="18"/>
          <w:szCs w:val="18"/>
          <w:color w:val="auto"/>
        </w:rPr>
        <w:t>Total depreciation expense was approximately $1.9 million, $0.9 million, and $0.6 million for the years ended December 31, 2022, 2021 and 2020,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NOTE 6. ACCRUED EXPENSES AND OTHER CURRENT LIABILITIES</w:t>
            </w:r>
          </w:p>
        </w:tc>
        <w:tc>
          <w:tcPr>
            <w:tcW w:w="1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9"/>
        </w:trPr>
        <w:tc>
          <w:tcPr>
            <w:tcW w:w="6340" w:type="dxa"/>
            <w:vAlign w:val="bottom"/>
          </w:tcPr>
          <w:p>
            <w:pPr>
              <w:spacing w:after="0"/>
              <w:rPr>
                <w:sz w:val="20"/>
                <w:szCs w:val="20"/>
                <w:color w:val="auto"/>
              </w:rPr>
            </w:pPr>
            <w:r>
              <w:rPr>
                <w:rFonts w:ascii="Arial" w:cs="Arial" w:eastAsia="Arial" w:hAnsi="Arial"/>
                <w:sz w:val="18"/>
                <w:szCs w:val="18"/>
                <w:color w:val="auto"/>
                <w:w w:val="93"/>
              </w:rPr>
              <w:t>Accrued expenses and other current liabilities consist of the following (in thousands):</w:t>
            </w: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513"/>
        </w:trPr>
        <w:tc>
          <w:tcPr>
            <w:tcW w:w="6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1660" w:type="dxa"/>
            <w:vAlign w:val="bottom"/>
          </w:tcPr>
          <w:p>
            <w:pPr>
              <w:spacing w:after="0"/>
              <w:rPr>
                <w:sz w:val="24"/>
                <w:szCs w:val="24"/>
                <w:color w:val="auto"/>
              </w:rPr>
            </w:pPr>
          </w:p>
        </w:tc>
      </w:tr>
      <w:tr>
        <w:trPr>
          <w:trHeight w:val="40"/>
        </w:trPr>
        <w:tc>
          <w:tcPr>
            <w:tcW w:w="634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7"/>
        </w:trPr>
        <w:tc>
          <w:tcPr>
            <w:tcW w:w="634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jc w:val="right"/>
              <w:ind w:right="930"/>
              <w:spacing w:after="0"/>
              <w:rPr>
                <w:sz w:val="20"/>
                <w:szCs w:val="20"/>
                <w:color w:val="auto"/>
              </w:rPr>
            </w:pPr>
            <w:r>
              <w:rPr>
                <w:rFonts w:ascii="Arial" w:cs="Arial" w:eastAsia="Arial" w:hAnsi="Arial"/>
                <w:sz w:val="18"/>
                <w:szCs w:val="18"/>
                <w:b w:val="1"/>
                <w:bCs w:val="1"/>
                <w:color w:val="auto"/>
              </w:rPr>
              <w:t>2021</w:t>
            </w:r>
          </w:p>
        </w:tc>
      </w:tr>
      <w:tr>
        <w:trPr>
          <w:trHeight w:val="40"/>
        </w:trPr>
        <w:tc>
          <w:tcPr>
            <w:tcW w:w="634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Vendor expenses</w:t>
            </w:r>
          </w:p>
        </w:tc>
        <w:tc>
          <w:tcPr>
            <w:tcW w:w="1600" w:type="dxa"/>
            <w:vAlign w:val="bottom"/>
            <w:tcBorders>
              <w:bottom w:val="single" w:sz="8" w:color="CCEEFF"/>
            </w:tcBorders>
            <w:shd w:val="clear" w:color="auto" w:fill="CCEEFF"/>
          </w:tcPr>
          <w:p>
            <w:pPr>
              <w:jc w:val="right"/>
              <w:ind w:right="14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14,769</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9,881</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Inventory received not billed</w:t>
            </w:r>
          </w:p>
        </w:tc>
        <w:tc>
          <w:tcPr>
            <w:tcW w:w="16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7,973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4,648</w:t>
            </w:r>
          </w:p>
        </w:tc>
      </w:tr>
      <w:tr>
        <w:trPr>
          <w:trHeight w:val="40"/>
        </w:trPr>
        <w:tc>
          <w:tcPr>
            <w:tcW w:w="6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Payroll expenses</w:t>
            </w:r>
          </w:p>
        </w:tc>
        <w:tc>
          <w:tcPr>
            <w:tcW w:w="16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4,498</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Sales and other tax payable</w:t>
            </w:r>
          </w:p>
        </w:tc>
        <w:tc>
          <w:tcPr>
            <w:tcW w:w="16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4,229</w:t>
            </w:r>
          </w:p>
        </w:tc>
      </w:tr>
      <w:tr>
        <w:trPr>
          <w:trHeight w:val="40"/>
        </w:trPr>
        <w:tc>
          <w:tcPr>
            <w:tcW w:w="6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6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sales returns and allowances</w:t>
            </w:r>
          </w:p>
        </w:tc>
        <w:tc>
          <w:tcPr>
            <w:tcW w:w="16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Current portion of TRA</w:t>
            </w:r>
          </w:p>
        </w:tc>
        <w:tc>
          <w:tcPr>
            <w:tcW w:w="16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6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8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r>
      <w:tr>
        <w:trPr>
          <w:trHeight w:val="270"/>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600" w:type="dxa"/>
            <w:vAlign w:val="bottom"/>
            <w:tcBorders>
              <w:top w:val="single" w:sz="8" w:color="auto"/>
              <w:bottom w:val="single" w:sz="8" w:color="auto"/>
            </w:tcBorders>
          </w:tcPr>
          <w:p>
            <w:pPr>
              <w:jc w:val="right"/>
              <w:ind w:right="14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37,833</w:t>
            </w:r>
          </w:p>
        </w:tc>
        <w:tc>
          <w:tcPr>
            <w:tcW w:w="100" w:type="dxa"/>
            <w:vAlign w:val="bottom"/>
          </w:tcPr>
          <w:p>
            <w:pPr>
              <w:spacing w:after="0"/>
              <w:rPr>
                <w:sz w:val="23"/>
                <w:szCs w:val="23"/>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28,756</w:t>
            </w:r>
          </w:p>
        </w:tc>
      </w:tr>
      <w:tr>
        <w:trPr>
          <w:trHeight w:val="27"/>
        </w:trPr>
        <w:tc>
          <w:tcPr>
            <w:tcW w:w="63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Included in accrued expenses and other current liabilities is a provision for sales returns and allowances. Returns are estimated based on past experience and current expectations and are recorded as an adjustment to revenue. Activity for the years ended December 31, 2022, 2021 and 2020 was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31,</w:t>
            </w:r>
          </w:p>
        </w:tc>
        <w:tc>
          <w:tcPr>
            <w:tcW w:w="56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0"/>
        </w:trPr>
        <w:tc>
          <w:tcPr>
            <w:tcW w:w="38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44"/>
        </w:trPr>
        <w:tc>
          <w:tcPr>
            <w:tcW w:w="388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9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952"/>
              <w:spacing w:after="0"/>
              <w:rPr>
                <w:sz w:val="20"/>
                <w:szCs w:val="20"/>
                <w:color w:val="auto"/>
              </w:rPr>
            </w:pPr>
            <w:r>
              <w:rPr>
                <w:rFonts w:ascii="Arial" w:cs="Arial" w:eastAsia="Arial" w:hAnsi="Arial"/>
                <w:sz w:val="16"/>
                <w:szCs w:val="16"/>
                <w:b w:val="1"/>
                <w:bCs w:val="1"/>
                <w:color w:val="auto"/>
              </w:rPr>
              <w:t>2020</w:t>
            </w:r>
          </w:p>
        </w:tc>
      </w:tr>
      <w:tr>
        <w:trPr>
          <w:trHeight w:val="33"/>
        </w:trPr>
        <w:tc>
          <w:tcPr>
            <w:tcW w:w="38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560" w:type="dxa"/>
            <w:vAlign w:val="bottom"/>
            <w:tcBorders>
              <w:bottom w:val="single" w:sz="8" w:color="CCEEFF"/>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21,455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15,329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16,712</w:t>
            </w:r>
          </w:p>
        </w:tc>
      </w:tr>
      <w:tr>
        <w:trPr>
          <w:trHeight w:val="40"/>
        </w:trPr>
        <w:tc>
          <w:tcPr>
            <w:tcW w:w="38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8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Returns and allowances</w:t>
            </w:r>
          </w:p>
        </w:tc>
        <w:tc>
          <w:tcPr>
            <w:tcW w:w="15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(21,461)</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(15,332)</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(15,710)</w:t>
            </w:r>
          </w:p>
        </w:tc>
      </w:tr>
      <w:tr>
        <w:trPr>
          <w:trHeight w:val="270"/>
        </w:trPr>
        <w:tc>
          <w:tcPr>
            <w:tcW w:w="3880" w:type="dxa"/>
            <w:vAlign w:val="bottom"/>
          </w:tcPr>
          <w:p>
            <w:pPr>
              <w:ind w:left="140"/>
              <w:spacing w:after="0"/>
              <w:rPr>
                <w:sz w:val="20"/>
                <w:szCs w:val="20"/>
                <w:color w:val="auto"/>
              </w:rPr>
            </w:pPr>
            <w:r>
              <w:rPr>
                <w:rFonts w:ascii="Arial" w:cs="Arial" w:eastAsia="Arial" w:hAnsi="Arial"/>
                <w:sz w:val="18"/>
                <w:szCs w:val="18"/>
                <w:b w:val="1"/>
                <w:bCs w:val="1"/>
                <w:color w:val="auto"/>
              </w:rPr>
              <w:t>Balance at end of period</w:t>
            </w:r>
          </w:p>
        </w:tc>
        <w:tc>
          <w:tcPr>
            <w:tcW w:w="156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2,332</w:t>
            </w:r>
          </w:p>
        </w:tc>
        <w:tc>
          <w:tcPr>
            <w:tcW w:w="80" w:type="dxa"/>
            <w:vAlign w:val="bottom"/>
          </w:tcPr>
          <w:p>
            <w:pPr>
              <w:spacing w:after="0"/>
              <w:rPr>
                <w:sz w:val="23"/>
                <w:szCs w:val="23"/>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2,338</w:t>
            </w:r>
          </w:p>
        </w:tc>
        <w:tc>
          <w:tcPr>
            <w:tcW w:w="100" w:type="dxa"/>
            <w:vAlign w:val="bottom"/>
          </w:tcPr>
          <w:p>
            <w:pPr>
              <w:spacing w:after="0"/>
              <w:rPr>
                <w:sz w:val="23"/>
                <w:szCs w:val="23"/>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2,341</w:t>
            </w:r>
          </w:p>
        </w:tc>
      </w:tr>
      <w:tr>
        <w:trPr>
          <w:trHeight w:val="27"/>
        </w:trPr>
        <w:tc>
          <w:tcPr>
            <w:tcW w:w="38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leases its executive offices, retail showrooms, office and operational locations under operating leases. The fixed, non-cancelable terms of our real estate leases are generally 5-10 years. Certain lease agreements include options to renew or terminate the lease, which are not reasonably certain to be exercised and therefore are not factored into the determination of lease payments. Most of the real estate leases require payment of real estate taxes, insurance and certain common area maintenance costs in addition to future minimum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lease ROU assets and lease liabilities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15175"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90"/>
              </w:rPr>
              <w:t>Classification</w:t>
            </w:r>
          </w:p>
        </w:tc>
      </w:tr>
      <w:tr>
        <w:trPr>
          <w:trHeight w:val="33"/>
        </w:trPr>
        <w:tc>
          <w:tcPr>
            <w:tcW w:w="3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44"/>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Operating ROU assets at cost</w:t>
            </w:r>
          </w:p>
        </w:tc>
        <w:tc>
          <w:tcPr>
            <w:tcW w:w="3940" w:type="dxa"/>
            <w:vAlign w:val="bottom"/>
          </w:tcPr>
          <w:p>
            <w:pPr>
              <w:jc w:val="center"/>
              <w:spacing w:after="0"/>
              <w:rPr>
                <w:sz w:val="20"/>
                <w:szCs w:val="20"/>
                <w:color w:val="auto"/>
              </w:rPr>
            </w:pPr>
            <w:r>
              <w:rPr>
                <w:rFonts w:ascii="Arial" w:cs="Arial" w:eastAsia="Arial" w:hAnsi="Arial"/>
                <w:sz w:val="16"/>
                <w:szCs w:val="16"/>
                <w:color w:val="auto"/>
                <w:w w:val="88"/>
              </w:rPr>
              <w:t>Operating lease right of use assets</w:t>
            </w:r>
          </w:p>
        </w:tc>
      </w:tr>
      <w:tr>
        <w:trPr>
          <w:trHeight w:val="283"/>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Accumulated amortization</w:t>
            </w:r>
          </w:p>
        </w:tc>
        <w:tc>
          <w:tcPr>
            <w:tcW w:w="3940" w:type="dxa"/>
            <w:vAlign w:val="bottom"/>
          </w:tcPr>
          <w:p>
            <w:pPr>
              <w:jc w:val="center"/>
              <w:spacing w:after="0"/>
              <w:rPr>
                <w:sz w:val="20"/>
                <w:szCs w:val="20"/>
                <w:color w:val="auto"/>
              </w:rPr>
            </w:pPr>
            <w:r>
              <w:rPr>
                <w:rFonts w:ascii="Arial" w:cs="Arial" w:eastAsia="Arial" w:hAnsi="Arial"/>
                <w:sz w:val="16"/>
                <w:szCs w:val="16"/>
                <w:color w:val="auto"/>
                <w:w w:val="88"/>
              </w:rPr>
              <w:t>Operating lease right of use assets</w:t>
            </w:r>
          </w:p>
        </w:tc>
      </w:tr>
      <w:tr>
        <w:trPr>
          <w:trHeight w:val="324"/>
        </w:trPr>
        <w:tc>
          <w:tcPr>
            <w:tcW w:w="4040" w:type="dxa"/>
            <w:vAlign w:val="bottom"/>
            <w:gridSpan w:val="2"/>
          </w:tcPr>
          <w:p>
            <w:pPr>
              <w:ind w:left="140"/>
              <w:spacing w:after="0"/>
              <w:rPr>
                <w:sz w:val="20"/>
                <w:szCs w:val="20"/>
                <w:color w:val="auto"/>
              </w:rPr>
            </w:pPr>
            <w:r>
              <w:rPr>
                <w:rFonts w:ascii="Arial" w:cs="Arial" w:eastAsia="Arial" w:hAnsi="Arial"/>
                <w:sz w:val="16"/>
                <w:szCs w:val="16"/>
                <w:b w:val="1"/>
                <w:bCs w:val="1"/>
                <w:color w:val="auto"/>
              </w:rPr>
              <w:t>Net book value</w:t>
            </w:r>
          </w:p>
        </w:tc>
        <w:tc>
          <w:tcPr>
            <w:tcW w:w="3940" w:type="dxa"/>
            <w:vAlign w:val="bottom"/>
          </w:tcPr>
          <w:p>
            <w:pPr>
              <w:spacing w:after="0"/>
              <w:rPr>
                <w:sz w:val="24"/>
                <w:szCs w:val="24"/>
                <w:color w:val="auto"/>
              </w:rPr>
            </w:pPr>
          </w:p>
        </w:tc>
      </w:tr>
      <w:tr>
        <w:trPr>
          <w:trHeight w:val="553"/>
        </w:trPr>
        <w:tc>
          <w:tcPr>
            <w:tcW w:w="404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90"/>
              </w:rPr>
              <w:t>Classification</w:t>
            </w:r>
          </w:p>
        </w:tc>
      </w:tr>
      <w:tr>
        <w:trPr>
          <w:trHeight w:val="33"/>
        </w:trPr>
        <w:tc>
          <w:tcPr>
            <w:tcW w:w="3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17"/>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Current:</w:t>
            </w:r>
          </w:p>
        </w:tc>
        <w:tc>
          <w:tcPr>
            <w:tcW w:w="3940" w:type="dxa"/>
            <w:vAlign w:val="bottom"/>
          </w:tcPr>
          <w:p>
            <w:pPr>
              <w:spacing w:after="0"/>
              <w:rPr>
                <w:sz w:val="18"/>
                <w:szCs w:val="18"/>
                <w:color w:val="auto"/>
              </w:rPr>
            </w:pPr>
          </w:p>
        </w:tc>
      </w:tr>
      <w:tr>
        <w:trPr>
          <w:trHeight w:val="283"/>
        </w:trPr>
        <w:tc>
          <w:tcPr>
            <w:tcW w:w="4040" w:type="dxa"/>
            <w:vAlign w:val="bottom"/>
            <w:gridSpan w:val="2"/>
          </w:tcPr>
          <w:p>
            <w:pPr>
              <w:ind w:left="140"/>
              <w:spacing w:after="0"/>
              <w:rPr>
                <w:sz w:val="20"/>
                <w:szCs w:val="20"/>
                <w:color w:val="auto"/>
              </w:rPr>
            </w:pPr>
            <w:r>
              <w:rPr>
                <w:rFonts w:ascii="Arial" w:cs="Arial" w:eastAsia="Arial" w:hAnsi="Arial"/>
                <w:sz w:val="16"/>
                <w:szCs w:val="16"/>
                <w:color w:val="auto"/>
              </w:rPr>
              <w:t>Operating leases</w:t>
            </w:r>
          </w:p>
        </w:tc>
        <w:tc>
          <w:tcPr>
            <w:tcW w:w="3940" w:type="dxa"/>
            <w:vAlign w:val="bottom"/>
          </w:tcPr>
          <w:p>
            <w:pPr>
              <w:jc w:val="center"/>
              <w:spacing w:after="0"/>
              <w:rPr>
                <w:sz w:val="20"/>
                <w:szCs w:val="20"/>
                <w:color w:val="auto"/>
              </w:rPr>
            </w:pPr>
            <w:r>
              <w:rPr>
                <w:rFonts w:ascii="Arial" w:cs="Arial" w:eastAsia="Arial" w:hAnsi="Arial"/>
                <w:sz w:val="16"/>
                <w:szCs w:val="16"/>
                <w:color w:val="auto"/>
                <w:w w:val="93"/>
              </w:rPr>
              <w:t>Current portion of operating lease liabilities</w:t>
            </w:r>
          </w:p>
        </w:tc>
      </w:tr>
      <w:tr>
        <w:trPr>
          <w:trHeight w:val="257"/>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Noncurrent:</w:t>
            </w:r>
          </w:p>
        </w:tc>
        <w:tc>
          <w:tcPr>
            <w:tcW w:w="3940" w:type="dxa"/>
            <w:vAlign w:val="bottom"/>
          </w:tcPr>
          <w:p>
            <w:pPr>
              <w:spacing w:after="0"/>
              <w:rPr>
                <w:sz w:val="22"/>
                <w:szCs w:val="22"/>
                <w:color w:val="auto"/>
              </w:rPr>
            </w:pPr>
          </w:p>
        </w:tc>
      </w:tr>
      <w:tr>
        <w:trPr>
          <w:trHeight w:val="283"/>
        </w:trPr>
        <w:tc>
          <w:tcPr>
            <w:tcW w:w="4040" w:type="dxa"/>
            <w:vAlign w:val="bottom"/>
            <w:gridSpan w:val="2"/>
          </w:tcPr>
          <w:p>
            <w:pPr>
              <w:ind w:left="140"/>
              <w:spacing w:after="0"/>
              <w:rPr>
                <w:sz w:val="20"/>
                <w:szCs w:val="20"/>
                <w:color w:val="auto"/>
              </w:rPr>
            </w:pPr>
            <w:r>
              <w:rPr>
                <w:rFonts w:ascii="Arial" w:cs="Arial" w:eastAsia="Arial" w:hAnsi="Arial"/>
                <w:sz w:val="16"/>
                <w:szCs w:val="16"/>
                <w:color w:val="auto"/>
              </w:rPr>
              <w:t>Operating leases</w:t>
            </w:r>
          </w:p>
        </w:tc>
        <w:tc>
          <w:tcPr>
            <w:tcW w:w="3940" w:type="dxa"/>
            <w:vAlign w:val="bottom"/>
          </w:tcPr>
          <w:p>
            <w:pPr>
              <w:jc w:val="center"/>
              <w:spacing w:after="0"/>
              <w:rPr>
                <w:sz w:val="20"/>
                <w:szCs w:val="20"/>
                <w:color w:val="auto"/>
              </w:rPr>
            </w:pPr>
            <w:r>
              <w:rPr>
                <w:rFonts w:ascii="Arial" w:cs="Arial" w:eastAsia="Arial" w:hAnsi="Arial"/>
                <w:sz w:val="16"/>
                <w:szCs w:val="16"/>
                <w:color w:val="auto"/>
                <w:w w:val="93"/>
              </w:rPr>
              <w:t>Operating lease liabilities</w:t>
            </w:r>
          </w:p>
        </w:tc>
      </w:tr>
      <w:tr>
        <w:trPr>
          <w:trHeight w:val="324"/>
        </w:trPr>
        <w:tc>
          <w:tcPr>
            <w:tcW w:w="40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lease liabilities</w:t>
            </w:r>
          </w:p>
        </w:tc>
        <w:tc>
          <w:tcPr>
            <w:tcW w:w="3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-1616075</wp:posOffset>
            </wp:positionV>
            <wp:extent cx="7115175" cy="180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517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-1229995</wp:posOffset>
            </wp:positionV>
            <wp:extent cx="711517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-878840</wp:posOffset>
            </wp:positionV>
            <wp:extent cx="711517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-527050</wp:posOffset>
            </wp:positionV>
            <wp:extent cx="7115175"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15175"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costs were as follows (in thousands):</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3940" w:type="dxa"/>
            <w:vAlign w:val="bottom"/>
          </w:tcPr>
          <w:p>
            <w:pPr>
              <w:ind w:left="1500"/>
              <w:spacing w:after="0"/>
              <w:rPr>
                <w:sz w:val="20"/>
                <w:szCs w:val="20"/>
                <w:color w:val="auto"/>
              </w:rPr>
            </w:pPr>
            <w:r>
              <w:rPr>
                <w:rFonts w:ascii="Arial" w:cs="Arial" w:eastAsia="Arial" w:hAnsi="Arial"/>
                <w:sz w:val="16"/>
                <w:szCs w:val="16"/>
                <w:b w:val="1"/>
                <w:bCs w:val="1"/>
                <w:color w:val="auto"/>
              </w:rPr>
              <w:t>Classification</w:t>
            </w:r>
          </w:p>
        </w:tc>
      </w:tr>
      <w:tr>
        <w:trPr>
          <w:trHeight w:val="33"/>
        </w:trPr>
        <w:tc>
          <w:tcPr>
            <w:tcW w:w="402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44"/>
        </w:trPr>
        <w:tc>
          <w:tcPr>
            <w:tcW w:w="4020" w:type="dxa"/>
            <w:vAlign w:val="bottom"/>
          </w:tcPr>
          <w:p>
            <w:pPr>
              <w:spacing w:after="0"/>
              <w:rPr>
                <w:sz w:val="20"/>
                <w:szCs w:val="20"/>
                <w:color w:val="auto"/>
              </w:rPr>
            </w:pPr>
            <w:r>
              <w:rPr>
                <w:rFonts w:ascii="Arial" w:cs="Arial" w:eastAsia="Arial" w:hAnsi="Arial"/>
                <w:sz w:val="16"/>
                <w:szCs w:val="16"/>
                <w:color w:val="auto"/>
              </w:rPr>
              <w:t>Operating lease costs</w:t>
            </w:r>
          </w:p>
        </w:tc>
        <w:tc>
          <w:tcPr>
            <w:tcW w:w="3940" w:type="dxa"/>
            <w:vAlign w:val="bottom"/>
          </w:tcPr>
          <w:p>
            <w:pPr>
              <w:spacing w:after="0"/>
              <w:rPr>
                <w:sz w:val="20"/>
                <w:szCs w:val="20"/>
                <w:color w:val="auto"/>
              </w:rPr>
            </w:pPr>
            <w:r>
              <w:rPr>
                <w:rFonts w:ascii="Arial" w:cs="Arial" w:eastAsia="Arial" w:hAnsi="Arial"/>
                <w:sz w:val="16"/>
                <w:szCs w:val="16"/>
                <w:color w:val="auto"/>
              </w:rPr>
              <w:t>Selling, general and administrative expense</w:t>
            </w:r>
          </w:p>
        </w:tc>
      </w:tr>
      <w:tr>
        <w:trPr>
          <w:trHeight w:val="283"/>
        </w:trPr>
        <w:tc>
          <w:tcPr>
            <w:tcW w:w="4020" w:type="dxa"/>
            <w:vAlign w:val="bottom"/>
          </w:tcPr>
          <w:p>
            <w:pPr>
              <w:spacing w:after="0"/>
              <w:rPr>
                <w:sz w:val="20"/>
                <w:szCs w:val="20"/>
                <w:color w:val="auto"/>
              </w:rPr>
            </w:pPr>
            <w:r>
              <w:rPr>
                <w:rFonts w:ascii="Arial" w:cs="Arial" w:eastAsia="Arial" w:hAnsi="Arial"/>
                <w:sz w:val="16"/>
                <w:szCs w:val="16"/>
                <w:color w:val="auto"/>
              </w:rPr>
              <w:t>Variable lease costs</w:t>
            </w:r>
          </w:p>
        </w:tc>
        <w:tc>
          <w:tcPr>
            <w:tcW w:w="3940" w:type="dxa"/>
            <w:vAlign w:val="bottom"/>
          </w:tcPr>
          <w:p>
            <w:pPr>
              <w:spacing w:after="0"/>
              <w:rPr>
                <w:sz w:val="20"/>
                <w:szCs w:val="20"/>
                <w:color w:val="auto"/>
              </w:rPr>
            </w:pPr>
            <w:r>
              <w:rPr>
                <w:rFonts w:ascii="Arial" w:cs="Arial" w:eastAsia="Arial" w:hAnsi="Arial"/>
                <w:sz w:val="16"/>
                <w:szCs w:val="16"/>
                <w:color w:val="auto"/>
              </w:rPr>
              <w:t>Selling, general and administrative expense</w:t>
            </w:r>
          </w:p>
        </w:tc>
      </w:tr>
      <w:tr>
        <w:trPr>
          <w:trHeight w:val="324"/>
        </w:trPr>
        <w:tc>
          <w:tcPr>
            <w:tcW w:w="4020" w:type="dxa"/>
            <w:vAlign w:val="bottom"/>
          </w:tcPr>
          <w:p>
            <w:pPr>
              <w:spacing w:after="0"/>
              <w:rPr>
                <w:sz w:val="20"/>
                <w:szCs w:val="20"/>
                <w:color w:val="auto"/>
              </w:rPr>
            </w:pPr>
            <w:r>
              <w:rPr>
                <w:rFonts w:ascii="Arial" w:cs="Arial" w:eastAsia="Arial" w:hAnsi="Arial"/>
                <w:sz w:val="16"/>
                <w:szCs w:val="16"/>
                <w:b w:val="1"/>
                <w:bCs w:val="1"/>
                <w:color w:val="auto"/>
              </w:rPr>
              <w:t>Total lease costs</w:t>
            </w:r>
          </w:p>
        </w:tc>
        <w:tc>
          <w:tcPr>
            <w:tcW w:w="3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205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The maturity analysis of the operating lease liabilities as of December 31, 2022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6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Years ending December 31,</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2024</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80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2026</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9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Thereafter</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Total minimum lease payments</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Less: imputed interest</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Net present value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80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Less: current portion</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Long-term portion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2780" w:type="dxa"/>
            <w:vAlign w:val="bottom"/>
          </w:tcPr>
          <w:p>
            <w:pPr>
              <w:ind w:left="260"/>
              <w:spacing w:after="0"/>
              <w:rPr>
                <w:sz w:val="20"/>
                <w:szCs w:val="20"/>
                <w:color w:val="auto"/>
              </w:rPr>
            </w:pPr>
            <w:r>
              <w:rPr>
                <w:rFonts w:ascii="Arial" w:cs="Arial" w:eastAsia="Arial" w:hAnsi="Arial"/>
                <w:sz w:val="18"/>
                <w:szCs w:val="18"/>
                <w:b w:val="1"/>
                <w:bCs w:val="1"/>
                <w:color w:val="auto"/>
              </w:rPr>
              <w:t>As of December 31, 2022</w:t>
            </w:r>
          </w:p>
        </w:tc>
      </w:tr>
      <w:tr>
        <w:trPr>
          <w:trHeight w:val="40"/>
        </w:trPr>
        <w:tc>
          <w:tcPr>
            <w:tcW w:w="38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780" w:type="dxa"/>
            <w:vAlign w:val="bottom"/>
          </w:tcPr>
          <w:p>
            <w:pPr>
              <w:ind w:left="2200"/>
              <w:spacing w:after="0"/>
              <w:rPr>
                <w:sz w:val="20"/>
                <w:szCs w:val="20"/>
                <w:color w:val="auto"/>
              </w:rPr>
            </w:pPr>
            <w:r>
              <w:rPr>
                <w:rFonts w:ascii="Arial" w:cs="Arial" w:eastAsia="Arial" w:hAnsi="Arial"/>
                <w:sz w:val="18"/>
                <w:szCs w:val="18"/>
                <w:color w:val="auto"/>
              </w:rPr>
              <w:t>31,041</w:t>
            </w:r>
          </w:p>
        </w:tc>
      </w:tr>
      <w:tr>
        <w:trPr>
          <w:trHeight w:val="283"/>
        </w:trPr>
        <w:tc>
          <w:tcPr>
            <w:tcW w:w="380" w:type="dxa"/>
            <w:vAlign w:val="bottom"/>
          </w:tcPr>
          <w:p>
            <w:pPr>
              <w:spacing w:after="0"/>
              <w:rPr>
                <w:sz w:val="24"/>
                <w:szCs w:val="24"/>
                <w:color w:val="auto"/>
              </w:rPr>
            </w:pPr>
          </w:p>
        </w:tc>
        <w:tc>
          <w:tcPr>
            <w:tcW w:w="2780" w:type="dxa"/>
            <w:vAlign w:val="bottom"/>
          </w:tcPr>
          <w:p>
            <w:pPr>
              <w:ind w:left="2220"/>
              <w:spacing w:after="0"/>
              <w:rPr>
                <w:sz w:val="20"/>
                <w:szCs w:val="20"/>
                <w:color w:val="auto"/>
              </w:rPr>
            </w:pPr>
            <w:r>
              <w:rPr>
                <w:rFonts w:ascii="Arial" w:cs="Arial" w:eastAsia="Arial" w:hAnsi="Arial"/>
                <w:sz w:val="18"/>
                <w:szCs w:val="18"/>
                <w:color w:val="auto"/>
                <w:w w:val="94"/>
              </w:rPr>
              <w:t>(3,229)</w:t>
            </w:r>
          </w:p>
        </w:tc>
      </w:tr>
      <w:tr>
        <w:trPr>
          <w:trHeight w:val="41"/>
        </w:trPr>
        <w:tc>
          <w:tcPr>
            <w:tcW w:w="38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r>
      <w:tr>
        <w:trPr>
          <w:trHeight w:val="236"/>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780" w:type="dxa"/>
            <w:vAlign w:val="bottom"/>
          </w:tcPr>
          <w:p>
            <w:pPr>
              <w:ind w:left="2200"/>
              <w:spacing w:after="0"/>
              <w:rPr>
                <w:sz w:val="20"/>
                <w:szCs w:val="20"/>
                <w:color w:val="auto"/>
              </w:rPr>
            </w:pPr>
            <w:r>
              <w:rPr>
                <w:rFonts w:ascii="Arial" w:cs="Arial" w:eastAsia="Arial" w:hAnsi="Arial"/>
                <w:sz w:val="18"/>
                <w:szCs w:val="18"/>
                <w:color w:val="auto"/>
              </w:rPr>
              <w:t>27,812</w:t>
            </w:r>
          </w:p>
        </w:tc>
      </w:tr>
      <w:tr>
        <w:trPr>
          <w:trHeight w:val="41"/>
        </w:trPr>
        <w:tc>
          <w:tcPr>
            <w:tcW w:w="38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278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As of December 31, 2022</w:t>
            </w:r>
          </w:p>
        </w:tc>
      </w:tr>
      <w:tr>
        <w:trPr>
          <w:trHeight w:val="40"/>
        </w:trPr>
        <w:tc>
          <w:tcPr>
            <w:tcW w:w="38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r>
      <w:tr>
        <w:trPr>
          <w:trHeight w:val="493"/>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780" w:type="dxa"/>
            <w:vAlign w:val="bottom"/>
          </w:tcPr>
          <w:p>
            <w:pPr>
              <w:jc w:val="right"/>
              <w:spacing w:after="0"/>
              <w:rPr>
                <w:sz w:val="20"/>
                <w:szCs w:val="20"/>
                <w:color w:val="auto"/>
              </w:rPr>
            </w:pPr>
            <w:r>
              <w:rPr>
                <w:rFonts w:ascii="Arial" w:cs="Arial" w:eastAsia="Arial" w:hAnsi="Arial"/>
                <w:sz w:val="18"/>
                <w:szCs w:val="18"/>
                <w:color w:val="auto"/>
              </w:rPr>
              <w:t>3,873</w:t>
            </w:r>
          </w:p>
        </w:tc>
      </w:tr>
      <w:tr>
        <w:trPr>
          <w:trHeight w:val="540"/>
        </w:trPr>
        <w:tc>
          <w:tcPr>
            <w:tcW w:w="38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28,537</w:t>
            </w:r>
          </w:p>
        </w:tc>
      </w:tr>
      <w:tr>
        <w:trPr>
          <w:trHeight w:val="41"/>
        </w:trPr>
        <w:tc>
          <w:tcPr>
            <w:tcW w:w="38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780" w:type="dxa"/>
            <w:vAlign w:val="bottom"/>
          </w:tcPr>
          <w:p>
            <w:pPr>
              <w:jc w:val="right"/>
              <w:spacing w:after="0"/>
              <w:rPr>
                <w:sz w:val="20"/>
                <w:szCs w:val="20"/>
                <w:color w:val="auto"/>
              </w:rPr>
            </w:pPr>
            <w:r>
              <w:rPr>
                <w:rFonts w:ascii="Arial" w:cs="Arial" w:eastAsia="Arial" w:hAnsi="Arial"/>
                <w:sz w:val="18"/>
                <w:szCs w:val="18"/>
                <w:color w:val="auto"/>
              </w:rPr>
              <w:t>32,410</w:t>
            </w:r>
          </w:p>
        </w:tc>
      </w:tr>
      <w:tr>
        <w:trPr>
          <w:trHeight w:val="40"/>
        </w:trPr>
        <w:tc>
          <w:tcPr>
            <w:tcW w:w="38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For the year ended December 31, 2022</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4,372</w:t>
            </w:r>
          </w:p>
        </w:tc>
      </w:tr>
      <w:tr>
        <w:trPr>
          <w:trHeight w:val="284"/>
        </w:trPr>
        <w:tc>
          <w:tcPr>
            <w:tcW w:w="14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913</w:t>
            </w:r>
          </w:p>
        </w:tc>
      </w:tr>
      <w:tr>
        <w:trPr>
          <w:trHeight w:val="40"/>
        </w:trPr>
        <w:tc>
          <w:tcPr>
            <w:tcW w:w="14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37"/>
        </w:trPr>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5,285</w:t>
            </w:r>
          </w:p>
        </w:tc>
      </w:tr>
      <w:tr>
        <w:trPr>
          <w:trHeight w:val="40"/>
        </w:trPr>
        <w:tc>
          <w:tcPr>
            <w:tcW w:w="14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Amount</w:t>
      </w:r>
    </w:p>
    <w:p>
      <w:pPr>
        <w:spacing w:after="0" w:line="337" w:lineRule="exact"/>
        <w:rPr>
          <w:sz w:val="20"/>
          <w:szCs w:val="20"/>
          <w:color w:val="auto"/>
        </w:rPr>
      </w:pPr>
    </w:p>
    <w:p>
      <w:pPr>
        <w:ind w:left="800"/>
        <w:spacing w:after="0"/>
        <w:tabs>
          <w:tab w:leader="none" w:pos="2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5,235</w:t>
      </w:r>
    </w:p>
    <w:p>
      <w:pPr>
        <w:spacing w:after="0" w:line="7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5,830</w:t>
      </w:r>
    </w:p>
    <w:p>
      <w:pPr>
        <w:spacing w:after="0" w:line="7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5,822</w:t>
      </w:r>
    </w:p>
    <w:p>
      <w:pPr>
        <w:spacing w:after="0" w:line="7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5,515</w:t>
      </w:r>
    </w:p>
    <w:p>
      <w:pPr>
        <w:spacing w:after="0" w:line="7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4,061</w:t>
      </w:r>
    </w:p>
    <w:p>
      <w:pPr>
        <w:spacing w:after="0" w:line="7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11,854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40640</wp:posOffset>
            </wp:positionV>
            <wp:extent cx="15259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38,317</w:t>
      </w:r>
    </w:p>
    <w:p>
      <w:pPr>
        <w:spacing w:after="0" w:line="8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(5,907)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40640</wp:posOffset>
            </wp:positionV>
            <wp:extent cx="15259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32,410</w:t>
      </w:r>
    </w:p>
    <w:p>
      <w:pPr>
        <w:spacing w:after="0" w:line="8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40640</wp:posOffset>
            </wp:positionV>
            <wp:extent cx="15259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66" w:lineRule="exact"/>
        <w:rPr>
          <w:sz w:val="20"/>
          <w:szCs w:val="20"/>
          <w:color w:val="auto"/>
        </w:rPr>
      </w:pPr>
    </w:p>
    <w:p>
      <w:pPr>
        <w:ind w:left="800"/>
        <w:spacing w:after="0"/>
        <w:tabs>
          <w:tab w:leader="none" w:pos="26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28,537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43180</wp:posOffset>
            </wp:positionV>
            <wp:extent cx="15259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2590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68580</wp:posOffset>
            </wp:positionV>
            <wp:extent cx="15259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980" w:space="80"/>
            <w:col w:w="3180"/>
          </w:cols>
          <w:pgMar w:left="320" w:top="139" w:right="339" w:bottom="1440" w:gutter="0" w:footer="0" w:header="0"/>
          <w:type w:val="continuous"/>
        </w:sectPr>
      </w:pPr>
    </w:p>
    <w:p>
      <w:pPr>
        <w:spacing w:after="0" w:line="210" w:lineRule="exact"/>
        <w:rPr>
          <w:sz w:val="20"/>
          <w:szCs w:val="20"/>
          <w:color w:val="auto"/>
        </w:rPr>
      </w:pPr>
    </w:p>
    <w:p>
      <w:pPr>
        <w:ind w:right="200" w:firstLine="8"/>
        <w:spacing w:after="0" w:line="324" w:lineRule="auto"/>
        <w:tabs>
          <w:tab w:leader="none" w:pos="229"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Future minimum </w:t>
      </w:r>
      <w:r>
        <w:rPr>
          <w:rFonts w:ascii="Arial" w:cs="Arial" w:eastAsia="Arial" w:hAnsi="Arial"/>
          <w:sz w:val="17"/>
          <w:szCs w:val="17"/>
          <w:color w:val="auto"/>
        </w:rPr>
        <w:t>lease payments exclude $18.1 million of future payments required under signed lease agreements that have not yet commenced. These</w:t>
      </w:r>
      <w:r>
        <w:rPr>
          <w:rFonts w:ascii="Arial" w:cs="Arial" w:eastAsia="Arial" w:hAnsi="Arial"/>
          <w:sz w:val="16"/>
          <w:szCs w:val="16"/>
          <w:color w:val="auto"/>
        </w:rPr>
        <w:t xml:space="preserve"> </w:t>
      </w:r>
      <w:r>
        <w:rPr>
          <w:rFonts w:ascii="Arial" w:cs="Arial" w:eastAsia="Arial" w:hAnsi="Arial"/>
          <w:sz w:val="17"/>
          <w:szCs w:val="17"/>
          <w:color w:val="auto"/>
        </w:rPr>
        <w:t>operating leases will commence during fiscal year 2023 with lease terms ranging from six to ten years.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At December 31, 2021, minimum lease payments for operating leases having an initial term in excess of one year under the previous lease standard (ASC 840) were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Pr>
          <w:p>
            <w:pPr>
              <w:jc w:val="right"/>
              <w:ind w:right="790"/>
              <w:spacing w:after="0"/>
              <w:rPr>
                <w:sz w:val="20"/>
                <w:szCs w:val="20"/>
                <w:color w:val="auto"/>
              </w:rPr>
            </w:pPr>
            <w:r>
              <w:rPr>
                <w:rFonts w:ascii="Arial" w:cs="Arial" w:eastAsia="Arial" w:hAnsi="Arial"/>
                <w:sz w:val="18"/>
                <w:szCs w:val="18"/>
                <w:b w:val="1"/>
                <w:bCs w:val="1"/>
                <w:color w:val="auto"/>
              </w:rPr>
              <w:t>Amount</w:t>
            </w:r>
          </w:p>
        </w:tc>
      </w:tr>
      <w:tr>
        <w:trPr>
          <w:trHeight w:val="40"/>
        </w:trPr>
        <w:tc>
          <w:tcPr>
            <w:tcW w:w="88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17"/>
        </w:trPr>
        <w:tc>
          <w:tcPr>
            <w:tcW w:w="8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Years ending December 31,</w:t>
            </w:r>
          </w:p>
        </w:tc>
        <w:tc>
          <w:tcPr>
            <w:tcW w:w="5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r>
      <w:tr>
        <w:trPr>
          <w:trHeight w:val="251"/>
        </w:trPr>
        <w:tc>
          <w:tcPr>
            <w:tcW w:w="8840" w:type="dxa"/>
            <w:vAlign w:val="bottom"/>
          </w:tcPr>
          <w:p>
            <w:pPr>
              <w:ind w:left="140"/>
              <w:spacing w:after="0"/>
              <w:rPr>
                <w:sz w:val="20"/>
                <w:szCs w:val="20"/>
                <w:color w:val="auto"/>
              </w:rPr>
            </w:pPr>
            <w:r>
              <w:rPr>
                <w:rFonts w:ascii="Arial" w:cs="Arial" w:eastAsia="Arial" w:hAnsi="Arial"/>
                <w:sz w:val="16"/>
                <w:szCs w:val="16"/>
                <w:color w:val="auto"/>
              </w:rPr>
              <w:t>2022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3,507</w:t>
            </w:r>
          </w:p>
        </w:tc>
      </w:tr>
      <w:tr>
        <w:trPr>
          <w:trHeight w:val="33"/>
        </w:trPr>
        <w:tc>
          <w:tcPr>
            <w:tcW w:w="8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63"/>
        </w:trPr>
        <w:tc>
          <w:tcPr>
            <w:tcW w:w="8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2023</w:t>
            </w:r>
          </w:p>
        </w:tc>
        <w:tc>
          <w:tcPr>
            <w:tcW w:w="5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3,680</w:t>
            </w:r>
          </w:p>
        </w:tc>
      </w:tr>
      <w:tr>
        <w:trPr>
          <w:trHeight w:val="251"/>
        </w:trPr>
        <w:tc>
          <w:tcPr>
            <w:tcW w:w="8840" w:type="dxa"/>
            <w:vAlign w:val="bottom"/>
          </w:tcPr>
          <w:p>
            <w:pPr>
              <w:ind w:left="140"/>
              <w:spacing w:after="0"/>
              <w:rPr>
                <w:sz w:val="20"/>
                <w:szCs w:val="20"/>
                <w:color w:val="auto"/>
              </w:rPr>
            </w:pPr>
            <w:r>
              <w:rPr>
                <w:rFonts w:ascii="Arial" w:cs="Arial" w:eastAsia="Arial" w:hAnsi="Arial"/>
                <w:sz w:val="16"/>
                <w:szCs w:val="16"/>
                <w:color w:val="auto"/>
              </w:rPr>
              <w:t>2024</w:t>
            </w:r>
          </w:p>
        </w:tc>
        <w:tc>
          <w:tcPr>
            <w:tcW w:w="5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3,530</w:t>
            </w:r>
          </w:p>
        </w:tc>
      </w:tr>
      <w:tr>
        <w:trPr>
          <w:trHeight w:val="33"/>
        </w:trPr>
        <w:tc>
          <w:tcPr>
            <w:tcW w:w="8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63"/>
        </w:trPr>
        <w:tc>
          <w:tcPr>
            <w:tcW w:w="8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5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r>
      <w:tr>
        <w:trPr>
          <w:trHeight w:val="251"/>
        </w:trPr>
        <w:tc>
          <w:tcPr>
            <w:tcW w:w="8840" w:type="dxa"/>
            <w:vAlign w:val="bottom"/>
          </w:tcPr>
          <w:p>
            <w:pPr>
              <w:ind w:left="140"/>
              <w:spacing w:after="0"/>
              <w:rPr>
                <w:sz w:val="20"/>
                <w:szCs w:val="20"/>
                <w:color w:val="auto"/>
              </w:rPr>
            </w:pPr>
            <w:r>
              <w:rPr>
                <w:rFonts w:ascii="Arial" w:cs="Arial" w:eastAsia="Arial" w:hAnsi="Arial"/>
                <w:sz w:val="16"/>
                <w:szCs w:val="16"/>
                <w:color w:val="auto"/>
              </w:rPr>
              <w:t>2026</w:t>
            </w:r>
          </w:p>
        </w:tc>
        <w:tc>
          <w:tcPr>
            <w:tcW w:w="5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3,103</w:t>
            </w:r>
          </w:p>
        </w:tc>
      </w:tr>
      <w:tr>
        <w:trPr>
          <w:trHeight w:val="33"/>
        </w:trPr>
        <w:tc>
          <w:tcPr>
            <w:tcW w:w="8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83"/>
        </w:trPr>
        <w:tc>
          <w:tcPr>
            <w:tcW w:w="8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7,897</w:t>
            </w:r>
          </w:p>
        </w:tc>
      </w:tr>
      <w:tr>
        <w:trPr>
          <w:trHeight w:val="244"/>
        </w:trPr>
        <w:tc>
          <w:tcPr>
            <w:tcW w:w="8840" w:type="dxa"/>
            <w:vAlign w:val="bottom"/>
          </w:tcPr>
          <w:p>
            <w:pPr>
              <w:ind w:left="240"/>
              <w:spacing w:after="0"/>
              <w:rPr>
                <w:sz w:val="20"/>
                <w:szCs w:val="20"/>
                <w:color w:val="auto"/>
              </w:rPr>
            </w:pPr>
            <w:r>
              <w:rPr>
                <w:rFonts w:ascii="Arial" w:cs="Arial" w:eastAsia="Arial" w:hAnsi="Arial"/>
                <w:sz w:val="16"/>
                <w:szCs w:val="16"/>
                <w:b w:val="1"/>
                <w:bCs w:val="1"/>
                <w:color w:val="auto"/>
              </w:rPr>
              <w:t>Total minimum lease payments</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25,166</w:t>
            </w:r>
          </w:p>
        </w:tc>
      </w:tr>
    </w:tbl>
    <w:p>
      <w:pPr>
        <w:spacing w:after="0" w:line="343" w:lineRule="exact"/>
        <w:rPr>
          <w:sz w:val="20"/>
          <w:szCs w:val="20"/>
          <w:color w:val="auto"/>
        </w:rPr>
      </w:pPr>
    </w:p>
    <w:p>
      <w:pPr>
        <w:ind w:right="280"/>
        <w:spacing w:after="0" w:line="290" w:lineRule="auto"/>
        <w:rPr>
          <w:sz w:val="20"/>
          <w:szCs w:val="20"/>
          <w:color w:val="auto"/>
        </w:rPr>
      </w:pPr>
      <w:r>
        <w:rPr>
          <w:rFonts w:ascii="Arial" w:cs="Arial" w:eastAsia="Arial" w:hAnsi="Arial"/>
          <w:sz w:val="18"/>
          <w:szCs w:val="18"/>
          <w:color w:val="auto"/>
        </w:rPr>
        <w:t>The following table summarizes the weighted-average remaining lease term and weighted-average discount rate on long-term leases as of December 31, 2022 (in thousands):</w:t>
      </w:r>
    </w:p>
    <w:tbl>
      <w:tblPr>
        <w:tblLayout w:type="fixed"/>
        <w:tblInd w:w="0" w:type="dxa"/>
        <w:tblCellMar>
          <w:top w:w="0" w:type="dxa"/>
          <w:left w:w="0" w:type="dxa"/>
          <w:bottom w:w="0" w:type="dxa"/>
          <w:right w:w="0" w:type="dxa"/>
        </w:tblCellMar>
      </w:tblPr>
      <w:tr>
        <w:trPr>
          <w:trHeight w:val="26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 operating leases</w:t>
            </w:r>
          </w:p>
        </w:tc>
        <w:tc>
          <w:tcPr>
            <w:tcW w:w="17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years</w:t>
            </w:r>
          </w:p>
        </w:tc>
      </w:tr>
      <w:tr>
        <w:trPr>
          <w:trHeight w:val="251"/>
        </w:trPr>
        <w:tc>
          <w:tcPr>
            <w:tcW w:w="7920" w:type="dxa"/>
            <w:vAlign w:val="bottom"/>
          </w:tcPr>
          <w:p>
            <w:pPr>
              <w:ind w:left="20"/>
              <w:spacing w:after="0"/>
              <w:rPr>
                <w:sz w:val="20"/>
                <w:szCs w:val="20"/>
                <w:color w:val="auto"/>
              </w:rPr>
            </w:pPr>
            <w:r>
              <w:rPr>
                <w:rFonts w:ascii="Arial" w:cs="Arial" w:eastAsia="Arial" w:hAnsi="Arial"/>
                <w:sz w:val="16"/>
                <w:szCs w:val="16"/>
                <w:color w:val="auto"/>
              </w:rPr>
              <w:t>Weighted-average discount rate - operating leases</w:t>
            </w:r>
          </w:p>
        </w:tc>
        <w:tc>
          <w:tcPr>
            <w:tcW w:w="17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33"/>
        </w:trPr>
        <w:tc>
          <w:tcPr>
            <w:tcW w:w="7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24"/>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ROU assets and lease obligations recognized upon adoption of ASC 842 on January 1, 2022:</w:t>
            </w:r>
          </w:p>
        </w:tc>
        <w:tc>
          <w:tcPr>
            <w:tcW w:w="17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3"/>
        </w:trPr>
        <w:tc>
          <w:tcPr>
            <w:tcW w:w="7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4"/>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ROU assets</w:t>
            </w:r>
          </w:p>
        </w:tc>
        <w:tc>
          <w:tcPr>
            <w:tcW w:w="17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19,173</w:t>
            </w:r>
          </w:p>
        </w:tc>
      </w:tr>
      <w:tr>
        <w:trPr>
          <w:trHeight w:val="250"/>
        </w:trPr>
        <w:tc>
          <w:tcPr>
            <w:tcW w:w="7920" w:type="dxa"/>
            <w:vAlign w:val="bottom"/>
          </w:tcPr>
          <w:p>
            <w:pPr>
              <w:ind w:left="140"/>
              <w:spacing w:after="0"/>
              <w:rPr>
                <w:sz w:val="20"/>
                <w:szCs w:val="20"/>
                <w:color w:val="auto"/>
              </w:rPr>
            </w:pPr>
            <w:r>
              <w:rPr>
                <w:rFonts w:ascii="Arial" w:cs="Arial" w:eastAsia="Arial" w:hAnsi="Arial"/>
                <w:sz w:val="16"/>
                <w:szCs w:val="16"/>
                <w:color w:val="auto"/>
              </w:rPr>
              <w:t>Operating lease obligations</w:t>
            </w:r>
          </w:p>
        </w:tc>
        <w:tc>
          <w:tcPr>
            <w:tcW w:w="17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(21,316)</w:t>
            </w:r>
          </w:p>
        </w:tc>
      </w:tr>
      <w:tr>
        <w:trPr>
          <w:trHeight w:val="33"/>
        </w:trPr>
        <w:tc>
          <w:tcPr>
            <w:tcW w:w="7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 related to operating leases as of December 31, 2022 is as follows:</w:t>
            </w:r>
          </w:p>
        </w:tc>
        <w:tc>
          <w:tcPr>
            <w:tcW w:w="17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3"/>
        </w:trPr>
        <w:tc>
          <w:tcPr>
            <w:tcW w:w="7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paid for amounts included in lease liabilities for the year ended December 31, 2022:</w:t>
            </w:r>
          </w:p>
        </w:tc>
        <w:tc>
          <w:tcPr>
            <w:tcW w:w="17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50"/>
        </w:trPr>
        <w:tc>
          <w:tcPr>
            <w:tcW w:w="7920" w:type="dxa"/>
            <w:vAlign w:val="bottom"/>
          </w:tcPr>
          <w:p>
            <w:pPr>
              <w:ind w:left="140"/>
              <w:spacing w:after="0"/>
              <w:rPr>
                <w:sz w:val="20"/>
                <w:szCs w:val="20"/>
                <w:color w:val="auto"/>
              </w:rPr>
            </w:pPr>
            <w:r>
              <w:rPr>
                <w:rFonts w:ascii="Arial" w:cs="Arial" w:eastAsia="Arial" w:hAnsi="Arial"/>
                <w:sz w:val="16"/>
                <w:szCs w:val="16"/>
                <w:color w:val="auto"/>
              </w:rPr>
              <w:t>Operating cash flows from operating leases</w:t>
            </w:r>
          </w:p>
        </w:tc>
        <w:tc>
          <w:tcPr>
            <w:tcW w:w="17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2,876</w:t>
            </w:r>
          </w:p>
        </w:tc>
      </w:tr>
      <w:tr>
        <w:trPr>
          <w:trHeight w:val="33"/>
        </w:trPr>
        <w:tc>
          <w:tcPr>
            <w:tcW w:w="7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432"/>
        </w:trPr>
        <w:tc>
          <w:tcPr>
            <w:tcW w:w="79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50"/>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ROU assets obtained in exchange for new operating lease liabilities</w:t>
            </w:r>
          </w:p>
        </w:tc>
        <w:tc>
          <w:tcPr>
            <w:tcW w:w="17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13,970</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the net carrying amount of the Term Loan (as defined below) as of December 31, 2022 and December 31, 2021, net of debt issuance costs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December 31, 2022</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4"/>
              </w:rPr>
              <w:t>December 31, 2021</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Outstanding</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Net carrying</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Outstanding</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rPr>
              <w:t>Net carrying</w:t>
            </w:r>
          </w:p>
        </w:tc>
      </w:tr>
      <w:tr>
        <w:trPr>
          <w:trHeight w:val="210"/>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principal</w:t>
            </w: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7"/>
              </w:rPr>
              <w:t>Debt issuance costs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amount</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principal</w:t>
            </w:r>
          </w:p>
        </w:tc>
        <w:tc>
          <w:tcPr>
            <w:tcW w:w="15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7"/>
              </w:rPr>
              <w:t>Debt issuance costs</w:t>
            </w:r>
          </w:p>
        </w:tc>
        <w:tc>
          <w:tcPr>
            <w:tcW w:w="200" w:type="dxa"/>
            <w:vAlign w:val="bottom"/>
          </w:tcPr>
          <w:p>
            <w:pPr>
              <w:spacing w:after="0"/>
              <w:rPr>
                <w:sz w:val="18"/>
                <w:szCs w:val="18"/>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33"/>
        </w:trPr>
        <w:tc>
          <w:tcPr>
            <w:tcW w:w="2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63,375</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63,578</w:t>
            </w:r>
          </w:p>
        </w:tc>
      </w:tr>
      <w:tr>
        <w:trPr>
          <w:trHeight w:val="247"/>
        </w:trPr>
        <w:tc>
          <w:tcPr>
            <w:tcW w:w="2180" w:type="dxa"/>
            <w:vAlign w:val="bottom"/>
          </w:tcPr>
          <w:p>
            <w:pPr>
              <w:ind w:left="140"/>
              <w:spacing w:after="0"/>
              <w:rPr>
                <w:sz w:val="20"/>
                <w:szCs w:val="20"/>
                <w:color w:val="auto"/>
              </w:rPr>
            </w:pPr>
            <w:r>
              <w:rPr>
                <w:rFonts w:ascii="Arial" w:cs="Arial" w:eastAsia="Arial" w:hAnsi="Arial"/>
                <w:sz w:val="16"/>
                <w:szCs w:val="16"/>
                <w:b w:val="1"/>
                <w:bCs w:val="1"/>
                <w:color w:val="auto"/>
              </w:rPr>
              <w:t>Total debt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63,375</w:t>
            </w:r>
          </w:p>
        </w:tc>
        <w:tc>
          <w:tcPr>
            <w:tcW w:w="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(663)</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62,712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65,000</w:t>
            </w:r>
          </w:p>
        </w:tc>
        <w:tc>
          <w:tcPr>
            <w:tcW w:w="1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(1,422)</w:t>
            </w:r>
          </w:p>
        </w:tc>
        <w:tc>
          <w:tcPr>
            <w:tcW w:w="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63,578</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0"/>
        </w:trPr>
        <w:tc>
          <w:tcPr>
            <w:tcW w:w="2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3"/>
        </w:trPr>
        <w:tc>
          <w:tcPr>
            <w:tcW w:w="2180" w:type="dxa"/>
            <w:vAlign w:val="bottom"/>
          </w:tcPr>
          <w:p>
            <w:pPr>
              <w:ind w:left="20"/>
              <w:spacing w:after="0"/>
              <w:rPr>
                <w:sz w:val="20"/>
                <w:szCs w:val="20"/>
                <w:color w:val="auto"/>
              </w:rPr>
            </w:pPr>
            <w:r>
              <w:rPr>
                <w:rFonts w:ascii="Arial" w:cs="Arial" w:eastAsia="Arial" w:hAnsi="Arial"/>
                <w:sz w:val="16"/>
                <w:szCs w:val="16"/>
                <w:color w:val="auto"/>
              </w:rPr>
              <w:t>Current portion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3,250</w:t>
            </w:r>
          </w:p>
        </w:tc>
        <w:tc>
          <w:tcPr>
            <w:tcW w:w="80" w:type="dxa"/>
            <w:vAlign w:val="bottom"/>
          </w:tcPr>
          <w:p>
            <w:pPr>
              <w:spacing w:after="0"/>
              <w:rPr>
                <w:sz w:val="19"/>
                <w:szCs w:val="19"/>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30,789</w:t>
            </w:r>
          </w:p>
        </w:tc>
        <w:tc>
          <w:tcPr>
            <w:tcW w:w="10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30,789</w:t>
            </w:r>
          </w:p>
        </w:tc>
      </w:tr>
      <w:tr>
        <w:trPr>
          <w:trHeight w:val="33"/>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60,125</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34,211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32,789</w:t>
            </w:r>
          </w:p>
        </w:tc>
      </w:tr>
      <w:tr>
        <w:trPr>
          <w:trHeight w:val="247"/>
        </w:trPr>
        <w:tc>
          <w:tcPr>
            <w:tcW w:w="2180" w:type="dxa"/>
            <w:vAlign w:val="bottom"/>
          </w:tcPr>
          <w:p>
            <w:pPr>
              <w:ind w:left="140"/>
              <w:spacing w:after="0"/>
              <w:rPr>
                <w:sz w:val="20"/>
                <w:szCs w:val="20"/>
                <w:color w:val="auto"/>
              </w:rPr>
            </w:pPr>
            <w:r>
              <w:rPr>
                <w:rFonts w:ascii="Arial" w:cs="Arial" w:eastAsia="Arial" w:hAnsi="Arial"/>
                <w:sz w:val="16"/>
                <w:szCs w:val="16"/>
                <w:b w:val="1"/>
                <w:bCs w:val="1"/>
                <w:color w:val="auto"/>
              </w:rPr>
              <w:t>Total debt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63,375</w:t>
            </w:r>
          </w:p>
        </w:tc>
        <w:tc>
          <w:tcPr>
            <w:tcW w:w="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(663)</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62,712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65,000</w:t>
            </w:r>
          </w:p>
        </w:tc>
        <w:tc>
          <w:tcPr>
            <w:tcW w:w="1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(1,422)</w:t>
            </w:r>
          </w:p>
        </w:tc>
        <w:tc>
          <w:tcPr>
            <w:tcW w:w="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63,578</w:t>
            </w:r>
          </w:p>
        </w:tc>
      </w:tr>
      <w:tr>
        <w:trPr>
          <w:trHeight w:val="24"/>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Agreement - Runway Growth Credit Finance Corp.</w:t>
      </w:r>
    </w:p>
    <w:p>
      <w:pPr>
        <w:spacing w:after="0" w:line="252"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On September 30, 2019, the Company entered into a Loan and Security Agreement with Runway Growth Finance Corp. (f/k/a Runway Growth Credit Fund Inc.) (“Runway”) which, as subsequently amended, provided for up to $65.0 million of borrowings (as subsequently amended, the “Runway Term Loan”). The Runway Term Loan bore interest at a variable rate equal to LIBOR (at a floor of 0.50%) plus 7.75%. The Runway Term Loan was secured by substantially all of the assets of the Company and required us to comply with various affirmative and negative debt covenants.</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origination of the Runway Term Loan Agreement, a warrant for 333,333 Class P Units was issued. The fair value of the warrant was $0.1 million at the time of issuance which was accounted for as a debt origination cost (contra-liability). The warrants had a carrying value of $6.4 million as of September 22, 2021 (after the mark-to-market adjustment as of the date of exercise) and were converted upon exercise into 534,589 newly issued LLC Units on a net settlement basis, elected at the option of the holder.</w:t>
      </w:r>
    </w:p>
    <w:p>
      <w:pPr>
        <w:spacing w:after="0" w:line="20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Company was required to make interest-only payments on the Runway Term Loan through April 15, 2022, at which time the Runway Term Loan began amortizing, with equal monthly payments of principal, which would fully amortize the principal amount of the Term Loan by October 15, 2023, plus interest being paid by the Company to Runway in consecutive monthly installments until October 15, 2023. The Term Loan carried a prepayment fee of 3.00% declining to 0.00% based on the anniversary date of payment, and a final payment fee equal to 4.50% of the principal amount repaid upon prepayment, plus $0.2 million.</w:t>
      </w:r>
    </w:p>
    <w:p>
      <w:pPr>
        <w:spacing w:after="0" w:line="23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On May 24, 2022, concurrently with entry into the SVB Credit Agreement (as defined below), the Company repaid all outstanding amounts under the Runway Term Loan, totaling $58.2 million with proceeds from the SVB Credit Agreement. In connection with the repayment and termination of the Runway Term Loan, the Company was required to pay a 1.00% prepayment fee, plus a final payment fee. The Runway Term Loan was scheduled to mature on October 15, 2023. As a result of the extinguishment of the Runway Term Loan, the Company recognized a loss on debt extinguishment of $0.6 million associated with the prepayment fee and the write-off of unamortized debt issuance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 Silicon Valley Bank</w:t>
      </w:r>
    </w:p>
    <w:p>
      <w:pPr>
        <w:spacing w:after="0" w:line="252"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On May 24, 2022 (the “Closing Date”), Brilliant Earth, LLC, as borrower, and Silicon Valley Bank, as administrative agent and collateral agent for the lenders, entered into a credit agreement (the “SVB Credit Agreement”) which provides for a secured term loan credit facility of $65.0 million (the “SVB Term Loan Facility”) and a secured revolving credit facility in an amount of up to $40.0 million (the “SVB Revolving Credit Facility”, and together with the Term Loan Facility, the “SVB Credit Facilities”).</w:t>
      </w:r>
    </w:p>
    <w:p>
      <w:pPr>
        <w:spacing w:after="0" w:line="220"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The SVB Credit Facilities were used to refinance existing indebtedness, pay related fees and expenses, and will be used from and after the Closing Date for working capital and general corporate purposes. The Credit Facilities mature on May 24, 2027 (the “SVB Maturity Date”). As of December 31, 2022, there are no amounts outstanding under the SVB Revolving Credit Facility and there were $63.4 million of total debt outstanding under the SVB Term Loan Facility, of which $60.1 million is classified at long-term debt.</w:t>
      </w:r>
    </w:p>
    <w:p>
      <w:pPr>
        <w:spacing w:after="0" w:line="22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SVB Credit Facilities are secured by substantially all assets of Brilliant Earth, LLC and any of its future material subsidiaries, subject to customary exceptions. Brilliant Earth, LLC’s future material subsidiaries (subject to certain customary exceptions) will guarantee repayment of the SVB Credit Facilities.</w:t>
      </w:r>
    </w:p>
    <w:p>
      <w:pPr>
        <w:spacing w:after="0" w:line="217" w:lineRule="exact"/>
        <w:rPr>
          <w:sz w:val="20"/>
          <w:szCs w:val="20"/>
          <w:color w:val="auto"/>
        </w:rPr>
      </w:pPr>
    </w:p>
    <w:p>
      <w:pPr>
        <w:ind w:right="320"/>
        <w:spacing w:after="0" w:line="320" w:lineRule="auto"/>
        <w:rPr>
          <w:sz w:val="20"/>
          <w:szCs w:val="20"/>
          <w:color w:val="auto"/>
        </w:rPr>
      </w:pPr>
      <w:r>
        <w:rPr>
          <w:rFonts w:ascii="Arial" w:cs="Arial" w:eastAsia="Arial" w:hAnsi="Arial"/>
          <w:sz w:val="16"/>
          <w:szCs w:val="16"/>
          <w:color w:val="auto"/>
        </w:rPr>
        <w:t>Borrowings under the SVB Credit Facilities bear interest at either (a) a secured overnight financing rate plus an annual adjustment of 0.125%, plus an applicable margin of 2.25% to 2.75%, depending on the Consolidated Total Leverage Ratio (defined below), or an alternate base rate plus an applicable margin of 1.25% to 1.75%, depending on the Consolidated Total Leverage Ratio, each subject to a 0.00% floor. In addition, Brilliant Earth, LLC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agreed to pay a commitment fee on the first day of each quarter on the unused amount of the SVB Revolving Credit Facility, equal to 0.25% to 0.35% per annum depending on the Consolidated Total Leverage Ratio. The Consolidated Total Leverage Ratio is defined as the ratio, as of the last day of any four fiscal quarter period, of (a) Consolidated Total Indebtedness of the Company and its subsidiaries to (b) the Consolidated EBITDA for such period (each term as further defined in the Credit Agreement).</w:t>
      </w:r>
    </w:p>
    <w:p>
      <w:pPr>
        <w:spacing w:after="0" w:line="220"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The SVB Term Loan Facility is required to be repaid on the last day of each calendar quarter (commencing on September 30, 2022), in an amount equal to 1.25% per quarter through June 30, 2024, 1.875% per quarter from September 30, 2024 through June 30, 2025, and 2.50% per quarter thereafter, with the balance payable on the SVB Maturity Date. The SVB Term Loan Facility is also subject to certain mandatory prepayment requirements in connection with asset sales, casualty events and debt incurrence, subject to customary exceptions.</w:t>
      </w:r>
    </w:p>
    <w:p>
      <w:pPr>
        <w:spacing w:after="0" w:line="220"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The SVB Credit Facilities are subject to customary affirmative covenants and negative covenants as well as financial maintenance covenants. The financial covenants are tested at the end of each fiscal quarter, beginning with the quarter ended June 30, 2022, and requires that (a) the Company and its subsidiaries not have a Consolidated Fixed Charge Coverage Ratio (defined as the ratio of (i) Consolidated EBITDA, 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 1.25 to 1.00, (b) the Company and its subsidiaries not have a Consolidated Total Leverage Ratio of more than 4.00 to 1.00, and (c) Brilliant Earth, LLC and its subsidiaries not have a Consolidated Borrower Leverage Ratio (defined substantially similar as Consolidated Total Leverage Ratio, but limited to Brilliant Earth, LLC and its subsidiaries) in excess of 3.00 to 1.00 (which level is subject to temporary increases to 4.00 to 1.00 in connection with certain acquisitions). As of December 31, 2022 the Company was in compliance with such covenants.</w:t>
      </w:r>
    </w:p>
    <w:p>
      <w:pPr>
        <w:spacing w:after="0" w:line="21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At December 31, 2022, deferred issuance costs included in other assets totaled $0.5 million, net of accumulated amortization of $0.1 million. At December 31, 2022, deferred issuance costs included in long-term debt totaled $0.8 million, net of accumulated amortization of $0.1 million. These costs are being amortized to interest expense over the term of the loan.</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debt effective interest rate was 7.18%, 11.68%, and 13.01% for the years ended December 31, 2022, 2021, and 2020, respectively. Interest expense was $4.1 million, $5.9 million and $3.8 million; and the amortization of deferred issuance costs was $0.6 million, $1.7 million and $1.1 million for the years ended December 31, 2022, 2021, and 2020,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aggregate future principal payments under the SVB Term Loan Facility were as follows (in thousands):</w:t>
      </w:r>
    </w:p>
    <w:p>
      <w:pPr>
        <w:spacing w:after="0" w:line="302"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20" w:type="dxa"/>
            <w:vAlign w:val="bottom"/>
          </w:tcPr>
          <w:p>
            <w:pPr>
              <w:jc w:val="right"/>
              <w:ind w:right="1090"/>
              <w:spacing w:after="0"/>
              <w:rPr>
                <w:sz w:val="20"/>
                <w:szCs w:val="20"/>
                <w:color w:val="auto"/>
              </w:rPr>
            </w:pPr>
            <w:r>
              <w:rPr>
                <w:rFonts w:ascii="Arial" w:cs="Arial" w:eastAsia="Arial" w:hAnsi="Arial"/>
                <w:sz w:val="18"/>
                <w:szCs w:val="18"/>
                <w:b w:val="1"/>
                <w:bCs w:val="1"/>
                <w:color w:val="auto"/>
              </w:rPr>
              <w:t>Principal</w:t>
            </w:r>
          </w:p>
        </w:tc>
      </w:tr>
      <w:tr>
        <w:trPr>
          <w:trHeight w:val="40"/>
        </w:trPr>
        <w:tc>
          <w:tcPr>
            <w:tcW w:w="67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r>
      <w:tr>
        <w:trPr>
          <w:trHeight w:val="244"/>
        </w:trPr>
        <w:tc>
          <w:tcPr>
            <w:tcW w:w="6720" w:type="dxa"/>
            <w:vAlign w:val="bottom"/>
            <w:tcBorders>
              <w:bottom w:val="single" w:sz="8" w:color="CCEEFF"/>
            </w:tcBorders>
            <w:shd w:val="clear" w:color="auto" w:fill="CCEEFF"/>
          </w:tcPr>
          <w:p>
            <w:pPr>
              <w:jc w:val="right"/>
              <w:ind w:right="4530"/>
              <w:spacing w:after="0"/>
              <w:rPr>
                <w:sz w:val="20"/>
                <w:szCs w:val="20"/>
                <w:color w:val="auto"/>
              </w:rPr>
            </w:pPr>
            <w:r>
              <w:rPr>
                <w:rFonts w:ascii="Arial" w:cs="Arial" w:eastAsia="Arial" w:hAnsi="Arial"/>
                <w:sz w:val="18"/>
                <w:szCs w:val="18"/>
                <w:b w:val="1"/>
                <w:bCs w:val="1"/>
                <w:color w:val="auto"/>
                <w:w w:val="88"/>
              </w:rPr>
              <w:t>Years ending December 31,</w:t>
            </w:r>
          </w:p>
        </w:tc>
        <w:tc>
          <w:tcPr>
            <w:tcW w:w="6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jc w:val="right"/>
              <w:ind w:right="6170"/>
              <w:spacing w:after="0"/>
              <w:rPr>
                <w:sz w:val="20"/>
                <w:szCs w:val="20"/>
                <w:color w:val="auto"/>
              </w:rPr>
            </w:pPr>
            <w:r>
              <w:rPr>
                <w:rFonts w:ascii="Arial" w:cs="Arial" w:eastAsia="Arial" w:hAnsi="Arial"/>
                <w:sz w:val="18"/>
                <w:szCs w:val="18"/>
                <w:color w:val="auto"/>
              </w:rPr>
              <w:t>2023</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242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40"/>
        </w:trPr>
        <w:tc>
          <w:tcPr>
            <w:tcW w:w="6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20" w:type="dxa"/>
            <w:vAlign w:val="bottom"/>
          </w:tcPr>
          <w:p>
            <w:pPr>
              <w:spacing w:after="0"/>
              <w:rPr>
                <w:sz w:val="3"/>
                <w:szCs w:val="3"/>
                <w:color w:val="auto"/>
              </w:rPr>
            </w:pPr>
          </w:p>
        </w:tc>
      </w:tr>
      <w:tr>
        <w:trPr>
          <w:trHeight w:val="263"/>
        </w:trPr>
        <w:tc>
          <w:tcPr>
            <w:tcW w:w="6720" w:type="dxa"/>
            <w:vAlign w:val="bottom"/>
            <w:tcBorders>
              <w:bottom w:val="single" w:sz="8" w:color="CCEEFF"/>
            </w:tcBorders>
            <w:shd w:val="clear" w:color="auto" w:fill="CCEEFF"/>
          </w:tcPr>
          <w:p>
            <w:pPr>
              <w:jc w:val="right"/>
              <w:ind w:right="6170"/>
              <w:spacing w:after="0"/>
              <w:rPr>
                <w:sz w:val="20"/>
                <w:szCs w:val="20"/>
                <w:color w:val="auto"/>
              </w:rPr>
            </w:pPr>
            <w:r>
              <w:rPr>
                <w:rFonts w:ascii="Arial" w:cs="Arial" w:eastAsia="Arial" w:hAnsi="Arial"/>
                <w:sz w:val="18"/>
                <w:szCs w:val="18"/>
                <w:color w:val="auto"/>
              </w:rPr>
              <w:t>2024</w:t>
            </w:r>
          </w:p>
        </w:tc>
        <w:tc>
          <w:tcPr>
            <w:tcW w:w="62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r>
      <w:tr>
        <w:trPr>
          <w:trHeight w:val="243"/>
        </w:trPr>
        <w:tc>
          <w:tcPr>
            <w:tcW w:w="6720" w:type="dxa"/>
            <w:vAlign w:val="bottom"/>
          </w:tcPr>
          <w:p>
            <w:pPr>
              <w:jc w:val="right"/>
              <w:ind w:right="6170"/>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5,688</w:t>
            </w:r>
          </w:p>
        </w:tc>
      </w:tr>
      <w:tr>
        <w:trPr>
          <w:trHeight w:val="40"/>
        </w:trPr>
        <w:tc>
          <w:tcPr>
            <w:tcW w:w="6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20" w:type="dxa"/>
            <w:vAlign w:val="bottom"/>
          </w:tcPr>
          <w:p>
            <w:pPr>
              <w:spacing w:after="0"/>
              <w:rPr>
                <w:sz w:val="3"/>
                <w:szCs w:val="3"/>
                <w:color w:val="auto"/>
              </w:rPr>
            </w:pPr>
          </w:p>
        </w:tc>
      </w:tr>
      <w:tr>
        <w:trPr>
          <w:trHeight w:val="263"/>
        </w:trPr>
        <w:tc>
          <w:tcPr>
            <w:tcW w:w="6720" w:type="dxa"/>
            <w:vAlign w:val="bottom"/>
            <w:tcBorders>
              <w:bottom w:val="single" w:sz="8" w:color="CCEEFF"/>
            </w:tcBorders>
            <w:shd w:val="clear" w:color="auto" w:fill="CCEEFF"/>
          </w:tcPr>
          <w:p>
            <w:pPr>
              <w:jc w:val="right"/>
              <w:ind w:right="6170"/>
              <w:spacing w:after="0"/>
              <w:rPr>
                <w:sz w:val="20"/>
                <w:szCs w:val="20"/>
                <w:color w:val="auto"/>
              </w:rPr>
            </w:pPr>
            <w:r>
              <w:rPr>
                <w:rFonts w:ascii="Arial" w:cs="Arial" w:eastAsia="Arial" w:hAnsi="Arial"/>
                <w:sz w:val="18"/>
                <w:szCs w:val="18"/>
                <w:color w:val="auto"/>
              </w:rPr>
              <w:t>2026</w:t>
            </w:r>
          </w:p>
        </w:tc>
        <w:tc>
          <w:tcPr>
            <w:tcW w:w="62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43"/>
        </w:trPr>
        <w:tc>
          <w:tcPr>
            <w:tcW w:w="6720" w:type="dxa"/>
            <w:vAlign w:val="bottom"/>
          </w:tcPr>
          <w:p>
            <w:pPr>
              <w:jc w:val="right"/>
              <w:ind w:right="6170"/>
              <w:spacing w:after="0"/>
              <w:rPr>
                <w:sz w:val="20"/>
                <w:szCs w:val="20"/>
                <w:color w:val="auto"/>
              </w:rPr>
            </w:pPr>
            <w:r>
              <w:rPr>
                <w:rFonts w:ascii="Arial" w:cs="Arial" w:eastAsia="Arial" w:hAnsi="Arial"/>
                <w:sz w:val="18"/>
                <w:szCs w:val="18"/>
                <w:color w:val="auto"/>
              </w:rPr>
              <w:t>2027</w:t>
            </w:r>
          </w:p>
        </w:tc>
        <w:tc>
          <w:tcPr>
            <w:tcW w:w="62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43,875</w:t>
            </w:r>
          </w:p>
        </w:tc>
      </w:tr>
      <w:tr>
        <w:trPr>
          <w:trHeight w:val="40"/>
        </w:trPr>
        <w:tc>
          <w:tcPr>
            <w:tcW w:w="67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r>
      <w:tr>
        <w:trPr>
          <w:trHeight w:val="296"/>
        </w:trPr>
        <w:tc>
          <w:tcPr>
            <w:tcW w:w="6720" w:type="dxa"/>
            <w:vAlign w:val="bottom"/>
            <w:tcBorders>
              <w:bottom w:val="single" w:sz="8" w:color="CCEEFF"/>
            </w:tcBorders>
            <w:shd w:val="clear" w:color="auto" w:fill="CCEEFF"/>
          </w:tcPr>
          <w:p>
            <w:pPr>
              <w:jc w:val="right"/>
              <w:ind w:right="3170"/>
              <w:spacing w:after="0"/>
              <w:rPr>
                <w:sz w:val="20"/>
                <w:szCs w:val="20"/>
                <w:color w:val="auto"/>
              </w:rPr>
            </w:pPr>
            <w:r>
              <w:rPr>
                <w:rFonts w:ascii="Arial" w:cs="Arial" w:eastAsia="Arial" w:hAnsi="Arial"/>
                <w:sz w:val="18"/>
                <w:szCs w:val="18"/>
                <w:b w:val="1"/>
                <w:bCs w:val="1"/>
                <w:color w:val="auto"/>
                <w:w w:val="95"/>
              </w:rPr>
              <w:t>Total aggregate future principal payments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63,375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under Paycheck Protection Program</w:t>
      </w:r>
    </w:p>
    <w:p>
      <w:pPr>
        <w:spacing w:after="0" w:line="26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April 2020, in connection with the significant negative business impact of the COVID-19 pandemic, the Company applied for and received a $2.7 million PPP Loan under the CARES Act that bore interest at 1.00% per annum. The Company elected to repay the PPP Loan in full early during the year ended December 31, 2020, including interest expense of less than $0.1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AND MEMBERS UNITS INCLUDING REDEEMABLE CONVERTIBLE CLASS P UNITS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Units</w:t>
      </w:r>
    </w:p>
    <w:p>
      <w:pPr>
        <w:spacing w:after="0" w:line="2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As discussed in Note 1, </w:t>
      </w:r>
      <w:r>
        <w:rPr>
          <w:rFonts w:ascii="Arial" w:cs="Arial" w:eastAsia="Arial" w:hAnsi="Arial"/>
          <w:sz w:val="18"/>
          <w:szCs w:val="18"/>
          <w:i w:val="1"/>
          <w:iCs w:val="1"/>
          <w:color w:val="auto"/>
        </w:rPr>
        <w:t>Business and Organization, Conversion of Class F, P and M Units at Time of IPO,</w:t>
      </w:r>
      <w:r>
        <w:rPr>
          <w:rFonts w:ascii="Arial" w:cs="Arial" w:eastAsia="Arial" w:hAnsi="Arial"/>
          <w:sz w:val="18"/>
          <w:szCs w:val="18"/>
          <w:color w:val="auto"/>
        </w:rPr>
        <w:t xml:space="preserve"> the number of Class F, P and M Units presented in these financial statements for periods prior to the IPO have been retroactively adjusted to reflect the conversion ratios of 1.8942, 1.9080 and 1.7735 for the Class F Units, P Units and M Units, respectively. At September 22, 2021, the following summarizes the Company’s units authorized, issued and outstanding:</w:t>
      </w:r>
    </w:p>
    <w:p>
      <w:pPr>
        <w:spacing w:after="0" w:line="277"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Units issued and</w:t>
            </w:r>
          </w:p>
        </w:tc>
      </w:tr>
      <w:tr>
        <w:trPr>
          <w:trHeight w:val="234"/>
        </w:trPr>
        <w:tc>
          <w:tcPr>
            <w:tcW w:w="3820" w:type="dxa"/>
            <w:vAlign w:val="bottom"/>
          </w:tcPr>
          <w:p>
            <w:pPr>
              <w:spacing w:after="0"/>
              <w:rPr>
                <w:sz w:val="20"/>
                <w:szCs w:val="20"/>
                <w:color w:val="auto"/>
              </w:rPr>
            </w:pPr>
          </w:p>
        </w:tc>
        <w:tc>
          <w:tcPr>
            <w:tcW w:w="1900" w:type="dxa"/>
            <w:vAlign w:val="bottom"/>
            <w:gridSpan w:val="2"/>
          </w:tcPr>
          <w:p>
            <w:pPr>
              <w:ind w:left="260"/>
              <w:spacing w:after="0"/>
              <w:rPr>
                <w:sz w:val="20"/>
                <w:szCs w:val="20"/>
                <w:color w:val="auto"/>
              </w:rPr>
            </w:pPr>
            <w:r>
              <w:rPr>
                <w:rFonts w:ascii="Arial" w:cs="Arial" w:eastAsia="Arial" w:hAnsi="Arial"/>
                <w:sz w:val="18"/>
                <w:szCs w:val="18"/>
                <w:b w:val="1"/>
                <w:bCs w:val="1"/>
                <w:color w:val="auto"/>
              </w:rPr>
              <w:t>Units authorized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r>
      <w:tr>
        <w:trPr>
          <w:trHeight w:val="41"/>
        </w:trPr>
        <w:tc>
          <w:tcPr>
            <w:tcW w:w="382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257"/>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F Units</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50,954,445</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50,232,863</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Class P Units</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33,162,444</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32,435,595</w:t>
            </w:r>
          </w:p>
        </w:tc>
      </w:tr>
      <w:tr>
        <w:trPr>
          <w:trHeight w:val="40"/>
        </w:trPr>
        <w:tc>
          <w:tcPr>
            <w:tcW w:w="38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Pr>
          <w:p>
            <w:pPr>
              <w:spacing w:after="0"/>
              <w:rPr>
                <w:sz w:val="3"/>
                <w:szCs w:val="3"/>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M Units</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7,791,744</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3,904,237</w:t>
            </w:r>
          </w:p>
        </w:tc>
      </w:tr>
      <w:tr>
        <w:trPr>
          <w:trHeight w:val="40"/>
        </w:trPr>
        <w:tc>
          <w:tcPr>
            <w:tcW w:w="38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r>
    </w:tbl>
    <w:p>
      <w:pPr>
        <w:spacing w:after="0" w:line="32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Prior to the reorganization, offering and other transactions completed in connection with the IPO, the business and affairs of the Brilliant Earth, LLC were managed by a board. The Class F Unit holders elected four members and the Class P Unit holders elected three members to the board. The Class F Units and the Class P Units were voting units and the unit holders voted together as a single class on an as-converted basis. The Class M Units were non-voting Units.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Under the LLC Agreement prior to the reorganization, offering and other transactions completed in connection with the IPO, distributions were made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Members in the following order and priority:</w:t>
      </w:r>
    </w:p>
    <w:p>
      <w:pPr>
        <w:spacing w:after="0" w:line="251" w:lineRule="exact"/>
        <w:rPr>
          <w:sz w:val="20"/>
          <w:szCs w:val="20"/>
          <w:color w:val="auto"/>
        </w:rPr>
      </w:pPr>
    </w:p>
    <w:p>
      <w:pPr>
        <w:ind w:left="660" w:right="320" w:hanging="328"/>
        <w:spacing w:after="0" w:line="266"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First, ratably among the holders of the Class P Units, until each holder of Class P Units has received an aggregate amount per unit equal to the Original Class P Purchase Price;</w:t>
      </w:r>
    </w:p>
    <w:p>
      <w:pPr>
        <w:spacing w:after="0" w:line="1" w:lineRule="exact"/>
        <w:rPr>
          <w:rFonts w:ascii="Arial" w:cs="Arial" w:eastAsia="Arial" w:hAnsi="Arial"/>
          <w:sz w:val="18"/>
          <w:szCs w:val="18"/>
          <w:color w:val="auto"/>
        </w:rPr>
      </w:pPr>
    </w:p>
    <w:p>
      <w:pPr>
        <w:ind w:left="660" w:right="120" w:hanging="328"/>
        <w:spacing w:after="0" w:line="258"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Second, ratably among the holders of the Class F Units until the holders of the Class F Units have received an aggregate amount per unit equal to the Original Class P Purchase Price; and</w:t>
      </w:r>
    </w:p>
    <w:p>
      <w:pPr>
        <w:jc w:val="both"/>
        <w:ind w:left="660" w:right="40" w:hanging="328"/>
        <w:spacing w:after="0" w:line="27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Third, ratably among the holders of the Class F Units, the Class P Units (treating each Class P Unit as the number of Class F Units into which it is then convertible) based on the total outstanding Units held by each Member and the Class M Units which participate only upon the occurrence of certain events as described in the LLC Agreement.</w:t>
      </w:r>
    </w:p>
    <w:p>
      <w:pPr>
        <w:spacing w:after="0" w:line="216" w:lineRule="exact"/>
        <w:rPr>
          <w:sz w:val="20"/>
          <w:szCs w:val="20"/>
          <w:color w:val="auto"/>
        </w:rPr>
      </w:pPr>
    </w:p>
    <w:p>
      <w:pPr>
        <w:ind w:right="720"/>
        <w:spacing w:after="0" w:line="293" w:lineRule="auto"/>
        <w:rPr>
          <w:sz w:val="20"/>
          <w:szCs w:val="20"/>
          <w:color w:val="auto"/>
        </w:rPr>
      </w:pPr>
      <w:r>
        <w:rPr>
          <w:rFonts w:ascii="Arial" w:cs="Arial" w:eastAsia="Arial" w:hAnsi="Arial"/>
          <w:sz w:val="18"/>
          <w:szCs w:val="18"/>
          <w:color w:val="auto"/>
        </w:rPr>
        <w:t>Distributions using reasonable efforts are allowed to provide cash for payment of income tax obligations which are treated as advance payment of distributions on liquidation and prior to liquidation.</w:t>
      </w:r>
    </w:p>
    <w:p>
      <w:pPr>
        <w:spacing w:after="0" w:line="197"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Allocation of profits and losses to the classes of member units were determined by Brilliant Earth, LLC based on the provisions in the LLC Agreement. Under the Agreement, cumulative net losses were allocated to the F Units; subsequent net income was allocated to the Class F Units until cumulative net losses have been recovered. Thereafter, net income was allocated pro rata to the Class P Units and Class F Units based on their relative percent of capital. The Class M Units share only in cumulative net profits in excess of thresholds determined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year ended December 31, 2020, net income of $11.3 million was allocated to the Class F Units to recover previous cumulative net losses and the balance of $10.3 million was allocated pro rata to the Class F and Class P Units and no net income was allocable to the Class M Units. For the period ended September 22, 2021, net income of $14.0 million was allocated pro rata to the Class F and Class P Units and no net income was allocable to the Class M Units.</w:t>
      </w:r>
    </w:p>
    <w:p>
      <w:pPr>
        <w:spacing w:after="0" w:line="214"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Notwithstanding anything to the contrary in the LLC Agreement, in December 2020, the requisite members and the board of the Company agreed to make a special/specified distribution to the Members holding Class P Units and Class F Units on a one-time basis in the amounts of $10.0 million and $20.0 million, respectively, using proceeds from a loan refinancing. This distribution was treated as an advance of, and was offset against, future distributions to be made under the LLC Agreement to such Specified Member.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Class P Units and Classification as Temporary Equity Carried at Redemption Value</w:t>
      </w:r>
    </w:p>
    <w:p>
      <w:pPr>
        <w:spacing w:after="0" w:line="266"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The Class P Units had an embedded conversion feature which allowed the holders, at their option, to convert Class P Units into Class F Units on a one-for-one basis. The units also had an embedded redemption feature which was included in an investor rights agreement and was an integral part of the LLC Agreement that allowed the Class P Unit holders to “put” any or all of their units to the Company for settlement in cash currently, or if the Company was unable to satisfy the put in accordance with the investor rights agreement, over time under a senior secured promissory note with interest and principal due over two years. The repurchase price was the greater of the fair market value of the member units or the original purchase price less previous distributions, excluding tax distributions. The conversion and redemption features were evaluated under the guidance in ASC 815-10, and the Company determined that bifurcation was not required.</w:t>
      </w:r>
    </w:p>
    <w:p>
      <w:pPr>
        <w:spacing w:after="0" w:line="223" w:lineRule="exact"/>
        <w:rPr>
          <w:sz w:val="20"/>
          <w:szCs w:val="20"/>
          <w:color w:val="auto"/>
        </w:rPr>
      </w:pPr>
    </w:p>
    <w:p>
      <w:pPr>
        <w:jc w:val="both"/>
        <w:ind w:right="280"/>
        <w:spacing w:after="0" w:line="320" w:lineRule="auto"/>
        <w:rPr>
          <w:sz w:val="20"/>
          <w:szCs w:val="20"/>
          <w:color w:val="auto"/>
        </w:rPr>
      </w:pPr>
      <w:r>
        <w:rPr>
          <w:rFonts w:ascii="Arial" w:cs="Arial" w:eastAsia="Arial" w:hAnsi="Arial"/>
          <w:sz w:val="16"/>
          <w:szCs w:val="16"/>
          <w:color w:val="auto"/>
        </w:rPr>
        <w:t>The Class P Units were classified as temporary equity until such time as the conditions are removed or lapse, since the redemption feature is beyond the control of Brilliant Earth, LLC. Since the redemption feature was exercisable, the Class P Units were adjusted each reporting period to their redemption value through a reclassification from the carrying value of the Class F Units to the carrying value of the Class P Units for the change in the period.</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discussed below, the carrying value of the redeemable convertible preferred units was increased by $327.2 million for the period ended September 22, 2021, and decreased by $8.5 million for the year ended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Class P units and Fair Value Disclosures</w:t>
      </w:r>
    </w:p>
    <w:p>
      <w:pPr>
        <w:spacing w:after="0" w:line="2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As discussed in Note 1, </w:t>
      </w:r>
      <w:r>
        <w:rPr>
          <w:rFonts w:ascii="Arial" w:cs="Arial" w:eastAsia="Arial" w:hAnsi="Arial"/>
          <w:sz w:val="18"/>
          <w:szCs w:val="18"/>
          <w:i w:val="1"/>
          <w:iCs w:val="1"/>
          <w:color w:val="auto"/>
        </w:rPr>
        <w:t>Business and Organization</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the Reorganization, Offering and Other Transactions Completed in Connection with the</w:t>
      </w:r>
      <w:r>
        <w:rPr>
          <w:rFonts w:ascii="Arial" w:cs="Arial" w:eastAsia="Arial" w:hAnsi="Arial"/>
          <w:sz w:val="18"/>
          <w:szCs w:val="18"/>
          <w:color w:val="auto"/>
        </w:rPr>
        <w:t xml:space="preserve"> </w:t>
      </w:r>
      <w:r>
        <w:rPr>
          <w:rFonts w:ascii="Arial" w:cs="Arial" w:eastAsia="Arial" w:hAnsi="Arial"/>
          <w:sz w:val="18"/>
          <w:szCs w:val="18"/>
          <w:i w:val="1"/>
          <w:iCs w:val="1"/>
          <w:color w:val="auto"/>
        </w:rPr>
        <w:t>IPO</w:t>
      </w:r>
      <w:r>
        <w:rPr>
          <w:rFonts w:ascii="Arial" w:cs="Arial" w:eastAsia="Arial" w:hAnsi="Arial"/>
          <w:sz w:val="18"/>
          <w:szCs w:val="18"/>
          <w:color w:val="auto"/>
        </w:rPr>
        <w:t>, warrants were exercised to Class P Units into newly issued LLC Units on a net settlement basis as of September 22, 2021. Warrants for Class P Units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the following as of September 22, 2021:</w:t>
      </w:r>
    </w:p>
    <w:p>
      <w:pPr>
        <w:spacing w:after="0" w:line="261"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 units</w:t>
            </w:r>
          </w:p>
        </w:tc>
        <w:tc>
          <w:tcPr>
            <w:tcW w:w="186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Issue date</w:t>
            </w:r>
          </w:p>
        </w:tc>
        <w:tc>
          <w:tcPr>
            <w:tcW w:w="188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Expiration date</w:t>
            </w: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Exercise price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 per</w:t>
            </w:r>
          </w:p>
        </w:tc>
        <w:tc>
          <w:tcPr>
            <w:tcW w:w="0" w:type="dxa"/>
            <w:vAlign w:val="bottom"/>
          </w:tcPr>
          <w:p>
            <w:pPr>
              <w:spacing w:after="0"/>
              <w:rPr>
                <w:sz w:val="1"/>
                <w:szCs w:val="1"/>
                <w:color w:val="auto"/>
              </w:rPr>
            </w:pPr>
          </w:p>
        </w:tc>
      </w:tr>
      <w:tr>
        <w:trPr>
          <w:trHeight w:val="234"/>
        </w:trPr>
        <w:tc>
          <w:tcPr>
            <w:tcW w:w="1760" w:type="dxa"/>
            <w:vAlign w:val="bottom"/>
          </w:tcPr>
          <w:p>
            <w:pPr>
              <w:jc w:val="right"/>
              <w:ind w:right="190"/>
              <w:spacing w:after="0"/>
              <w:rPr>
                <w:sz w:val="20"/>
                <w:szCs w:val="20"/>
                <w:color w:val="auto"/>
              </w:rPr>
            </w:pPr>
            <w:r>
              <w:rPr>
                <w:rFonts w:ascii="Arial" w:cs="Arial" w:eastAsia="Arial" w:hAnsi="Arial"/>
                <w:sz w:val="18"/>
                <w:szCs w:val="18"/>
                <w:b w:val="1"/>
                <w:bCs w:val="1"/>
                <w:color w:val="auto"/>
              </w:rPr>
              <w:t>under warrants</w:t>
            </w:r>
          </w:p>
        </w:tc>
        <w:tc>
          <w:tcPr>
            <w:tcW w:w="1860" w:type="dxa"/>
            <w:vAlign w:val="bottom"/>
            <w:gridSpan w:val="2"/>
            <w:vMerge w:val="continue"/>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warrant on issue date</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497,292</w:t>
            </w:r>
          </w:p>
        </w:tc>
        <w:tc>
          <w:tcPr>
            <w:tcW w:w="17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9/30/2019</w:t>
            </w: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9/30/2029</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$3.52</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$0.17</w:t>
            </w:r>
          </w:p>
        </w:tc>
        <w:tc>
          <w:tcPr>
            <w:tcW w:w="0" w:type="dxa"/>
            <w:vAlign w:val="bottom"/>
          </w:tcPr>
          <w:p>
            <w:pPr>
              <w:spacing w:after="0"/>
              <w:rPr>
                <w:sz w:val="1"/>
                <w:szCs w:val="1"/>
                <w:color w:val="auto"/>
              </w:rPr>
            </w:pPr>
          </w:p>
        </w:tc>
      </w:tr>
      <w:tr>
        <w:trPr>
          <w:trHeight w:val="243"/>
        </w:trPr>
        <w:tc>
          <w:tcPr>
            <w:tcW w:w="1760" w:type="dxa"/>
            <w:vAlign w:val="bottom"/>
          </w:tcPr>
          <w:p>
            <w:pPr>
              <w:jc w:val="right"/>
              <w:spacing w:after="0"/>
              <w:rPr>
                <w:sz w:val="20"/>
                <w:szCs w:val="20"/>
                <w:color w:val="auto"/>
              </w:rPr>
            </w:pPr>
            <w:r>
              <w:rPr>
                <w:rFonts w:ascii="Arial" w:cs="Arial" w:eastAsia="Arial" w:hAnsi="Arial"/>
                <w:sz w:val="18"/>
                <w:szCs w:val="18"/>
                <w:color w:val="auto"/>
              </w:rPr>
              <w:t>37,297</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12/17/2020</w:t>
            </w:r>
          </w:p>
        </w:tc>
        <w:tc>
          <w:tcPr>
            <w:tcW w:w="100" w:type="dxa"/>
            <w:vAlign w:val="bottom"/>
          </w:tcPr>
          <w:p>
            <w:pPr>
              <w:spacing w:after="0"/>
              <w:rPr>
                <w:sz w:val="21"/>
                <w:szCs w:val="21"/>
                <w:color w:val="auto"/>
              </w:rPr>
            </w:pPr>
          </w:p>
        </w:tc>
        <w:tc>
          <w:tcPr>
            <w:tcW w:w="1780" w:type="dxa"/>
            <w:vAlign w:val="bottom"/>
          </w:tcPr>
          <w:p>
            <w:pPr>
              <w:jc w:val="right"/>
              <w:ind w:right="390"/>
              <w:spacing w:after="0"/>
              <w:rPr>
                <w:sz w:val="20"/>
                <w:szCs w:val="20"/>
                <w:color w:val="auto"/>
              </w:rPr>
            </w:pPr>
            <w:r>
              <w:rPr>
                <w:rFonts w:ascii="Arial" w:cs="Arial" w:eastAsia="Arial" w:hAnsi="Arial"/>
                <w:sz w:val="18"/>
                <w:szCs w:val="18"/>
                <w:color w:val="auto"/>
              </w:rPr>
              <w:t>12/17/2030</w:t>
            </w:r>
          </w:p>
        </w:tc>
        <w:tc>
          <w:tcPr>
            <w:tcW w:w="10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$6.70</w:t>
            </w:r>
          </w:p>
        </w:tc>
        <w:tc>
          <w:tcPr>
            <w:tcW w:w="10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0" w:type="dxa"/>
            <w:vAlign w:val="bottom"/>
          </w:tcPr>
          <w:p>
            <w:pPr>
              <w:spacing w:after="0"/>
              <w:rPr>
                <w:sz w:val="1"/>
                <w:szCs w:val="1"/>
                <w:color w:val="auto"/>
              </w:rPr>
            </w:pPr>
          </w:p>
        </w:tc>
      </w:tr>
      <w:tr>
        <w:trPr>
          <w:trHeight w:val="40"/>
        </w:trPr>
        <w:tc>
          <w:tcPr>
            <w:tcW w:w="1760" w:type="dxa"/>
            <w:vAlign w:val="bottom"/>
            <w:tcBorders>
              <w:bottom w:val="single" w:sz="8" w:color="auto"/>
            </w:tcBorders>
          </w:tcPr>
          <w:p>
            <w:pPr>
              <w:spacing w:after="0"/>
              <w:rPr>
                <w:sz w:val="3"/>
                <w:szCs w:val="3"/>
                <w:color w:val="auto"/>
              </w:rPr>
            </w:pPr>
          </w:p>
        </w:tc>
        <w:tc>
          <w:tcPr>
            <w:tcW w:w="17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534,589</w:t>
            </w:r>
          </w:p>
        </w:tc>
        <w:tc>
          <w:tcPr>
            <w:tcW w:w="1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Warrants for Class P Units were issued to Runway in connection with borrowings. The fair value on the date of issue was recorded as a debt issuance cost (contra-liability) and a liability because the Class P Units underlying the warrants were classified outside of members’ deficit. The fair value of warrants were remeasured each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period using Level 3 inputs with the increase or decrease charged to other income or expense in the consolidated statements of operations. Fair value remeasurements during the period ended September 22, 2021 and for the year ended December 31, 2020 are discussed below.</w:t>
      </w:r>
    </w:p>
    <w:p>
      <w:pPr>
        <w:spacing w:after="0" w:line="173"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Fair Value Measurement for Class P Unit Redemption Value, Warrants Exercisable into Class P Units, and Valuation as of the Grant Date of Class M Units</w:t>
      </w:r>
    </w:p>
    <w:p>
      <w:pPr>
        <w:spacing w:after="0" w:line="19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Measurements of the redemption value of the Class P Units, the fair value of warrants that were exercisable into Class P Units, and the valuation as of the grant date of Class M Units were the responsibility Brilliant Earth, LLC with assistance from independent third-party valuations.</w:t>
      </w:r>
    </w:p>
    <w:p>
      <w:pPr>
        <w:spacing w:after="0" w:line="187"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color w:val="auto"/>
        </w:rPr>
        <w:t xml:space="preserve">Measurements of the redemption value of the Class P Units and the fair value warrants exercisable into Class P Units were determined in accordance with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The objective of fair value measurements is estimation of an exit price from the perspective of a market participant that holds the asset or owes the liability. As such, unobservable inputs reflect market participant assumptions about risk, both in terms of the inherent risks in a valuation technique, as well as the inputs to that valuation technique. Although unobservable inputs used in determining the fair value by market participants may consider Brilliant Earth, LLC's own data, the metrics are not entity-specific because they do not incorporate the asset’s current use or any specific advantages or disadvantages Brilliant Earth, LLC derives from the asset.</w:t>
      </w:r>
    </w:p>
    <w:p>
      <w:pPr>
        <w:spacing w:after="0" w:line="210"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 xml:space="preserve">Measurements of the grant date fair value of Class M Units were determined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ASC 718 defines fair value as the amount at which asset (or liability) could be bought (or incurred) or sold (or settled) in a current transaction between willing parties, that is, other than a forced or liquidated sale, and excludes the effect of certain conditions, restrictions and other features that would be considered in a true fair value measurement.</w:t>
      </w:r>
    </w:p>
    <w:p>
      <w:pPr>
        <w:spacing w:after="0" w:line="22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 the six months ended June 30, 2021 and year ending December 31, 2020, fair value measurements were based on an estimate of the implied equity value of the Company using a combination of guideline public company analysis, a guideline transaction analysis, and a discounted cash flows analysis, with a 33.3% weighting given to each method. The enterprise value was then adjusted for cash and interest-bearing debt to determine equity value. In determining fair value for the relevant period, the aggregate equity value for the Company was then allocated to each instrument with consideration given to the preferences of each class of units using a hypothetical distribution of value (commonly referred to as the “waterfall”). Then, the allocation to the fair value on the grant date for Class M Units were further adjusted using the Black-Scholes option pricing model.</w:t>
      </w:r>
    </w:p>
    <w:p>
      <w:pPr>
        <w:spacing w:after="0" w:line="19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the period from July 1, 2021 to September 22, 2021, the enterprise value determined using the method described in the preceding paragraph was further adjusted to reflect the potential for an exit event based on the contemplated initial public offering using a guideline company analysis. The derived equity value was then allocated to each instrument as described in the preceding paragraph. Key inputs included valuations of guideline companies and transactions. The guideline company and transaction methods also considered a control premium. The discounted cash flow analysis included estimates of the Company's future financial performance discounted at a rate that considered the cost of capital and venture capital required rates of return studies. All inputs were Level 3 in the fair value hierarchy. Level 3 inputs into the Black-Scholes model to Class M Units included the expected price volatility estimated by taking the average historic price volatility for industry peers consisting of several public companies in our industry that are of similar size, complexity, and stage of development and the risk-free interest rate for the expected term of the grant. All Class M Units were converted into Common LLC Units at the time of the IPO and ceased to exist as of September 22, 2021, and therefore, were no longer remeasured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The quantitative information about certain significant Level 3 unobservable inputs for the three valuation methods and for Black-Scholes are summarized as follows:</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4120" w:type="dxa"/>
            <w:vAlign w:val="bottom"/>
            <w:gridSpan w:val="3"/>
          </w:tcPr>
          <w:p>
            <w:pPr>
              <w:ind w:left="1520"/>
              <w:spacing w:after="0"/>
              <w:rPr>
                <w:sz w:val="20"/>
                <w:szCs w:val="20"/>
                <w:color w:val="auto"/>
              </w:rPr>
            </w:pPr>
            <w:r>
              <w:rPr>
                <w:rFonts w:ascii="Arial" w:cs="Arial" w:eastAsia="Arial" w:hAnsi="Arial"/>
                <w:sz w:val="18"/>
                <w:szCs w:val="18"/>
                <w:b w:val="1"/>
                <w:bCs w:val="1"/>
                <w:color w:val="auto"/>
              </w:rPr>
              <w:t>Periods ended</w:t>
            </w:r>
          </w:p>
        </w:tc>
      </w:tr>
      <w:tr>
        <w:trPr>
          <w:trHeight w:val="41"/>
        </w:trPr>
        <w:tc>
          <w:tcPr>
            <w:tcW w:w="5300" w:type="dxa"/>
            <w:vAlign w:val="bottom"/>
          </w:tcPr>
          <w:p>
            <w:pPr>
              <w:spacing w:after="0"/>
              <w:rPr>
                <w:sz w:val="3"/>
                <w:szCs w:val="3"/>
                <w:color w:val="auto"/>
              </w:rPr>
            </w:pPr>
          </w:p>
        </w:tc>
        <w:tc>
          <w:tcPr>
            <w:tcW w:w="2060" w:type="dxa"/>
            <w:vAlign w:val="bottom"/>
            <w:tcBorders>
              <w:bottom w:val="single" w:sz="8" w:color="auto"/>
            </w:tcBorders>
            <w:gridSpan w:val="2"/>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37"/>
        </w:trPr>
        <w:tc>
          <w:tcPr>
            <w:tcW w:w="5300" w:type="dxa"/>
            <w:vAlign w:val="bottom"/>
          </w:tcPr>
          <w:p>
            <w:pPr>
              <w:spacing w:after="0"/>
              <w:rPr>
                <w:sz w:val="20"/>
                <w:szCs w:val="20"/>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September 22,</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40"/>
        </w:trPr>
        <w:tc>
          <w:tcPr>
            <w:tcW w:w="530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37"/>
        </w:trPr>
        <w:tc>
          <w:tcPr>
            <w:tcW w:w="530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40"/>
        </w:trPr>
        <w:tc>
          <w:tcPr>
            <w:tcW w:w="5300" w:type="dxa"/>
            <w:vAlign w:val="bottom"/>
            <w:tcBorders>
              <w:bottom w:val="single" w:sz="8" w:color="CCEEFF"/>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Guideline company and transaction analysis:</w:t>
            </w:r>
          </w:p>
        </w:tc>
        <w:tc>
          <w:tcPr>
            <w:tcW w:w="1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Control premium</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20.00%</w:t>
            </w:r>
          </w:p>
        </w:tc>
        <w:tc>
          <w:tcPr>
            <w:tcW w:w="8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20.00%</w:t>
            </w:r>
          </w:p>
        </w:tc>
      </w:tr>
      <w:tr>
        <w:trPr>
          <w:trHeight w:val="41"/>
        </w:trPr>
        <w:tc>
          <w:tcPr>
            <w:tcW w:w="53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60" w:type="dxa"/>
            <w:vAlign w:val="bottom"/>
          </w:tcPr>
          <w:p>
            <w:pPr>
              <w:spacing w:after="0"/>
              <w:rPr>
                <w:sz w:val="3"/>
                <w:szCs w:val="3"/>
                <w:color w:val="auto"/>
              </w:rPr>
            </w:pPr>
          </w:p>
        </w:tc>
      </w:tr>
      <w:tr>
        <w:trPr>
          <w:trHeight w:val="26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Discounted cash flow analysis:</w:t>
            </w:r>
          </w:p>
        </w:tc>
        <w:tc>
          <w:tcPr>
            <w:tcW w:w="1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22.00%</w:t>
            </w:r>
          </w:p>
        </w:tc>
        <w:tc>
          <w:tcPr>
            <w:tcW w:w="8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22.00% to 25.00%</w:t>
            </w:r>
          </w:p>
        </w:tc>
      </w:tr>
      <w:tr>
        <w:trPr>
          <w:trHeight w:val="40"/>
        </w:trPr>
        <w:tc>
          <w:tcPr>
            <w:tcW w:w="53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60" w:type="dxa"/>
            <w:vAlign w:val="bottom"/>
          </w:tcPr>
          <w:p>
            <w:pPr>
              <w:spacing w:after="0"/>
              <w:rPr>
                <w:sz w:val="3"/>
                <w:szCs w:val="3"/>
                <w:color w:val="auto"/>
              </w:rPr>
            </w:pPr>
          </w:p>
        </w:tc>
      </w:tr>
      <w:tr>
        <w:trPr>
          <w:trHeight w:val="26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 pricing model inputs for warrants and Class M Units:</w:t>
            </w:r>
          </w:p>
        </w:tc>
        <w:tc>
          <w:tcPr>
            <w:tcW w:w="1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40.00%</w:t>
            </w:r>
          </w:p>
        </w:tc>
        <w:tc>
          <w:tcPr>
            <w:tcW w:w="8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45.00%</w:t>
            </w:r>
          </w:p>
        </w:tc>
      </w:tr>
      <w:tr>
        <w:trPr>
          <w:trHeight w:val="40"/>
        </w:trPr>
        <w:tc>
          <w:tcPr>
            <w:tcW w:w="53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60" w:type="dxa"/>
            <w:vAlign w:val="bottom"/>
          </w:tcPr>
          <w:p>
            <w:pPr>
              <w:spacing w:after="0"/>
              <w:rPr>
                <w:sz w:val="3"/>
                <w:szCs w:val="3"/>
                <w:color w:val="auto"/>
              </w:rPr>
            </w:pPr>
          </w:p>
        </w:tc>
      </w:tr>
      <w:tr>
        <w:trPr>
          <w:trHeight w:val="26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to Liquidity in years</w:t>
            </w:r>
          </w:p>
        </w:tc>
        <w:tc>
          <w:tcPr>
            <w:tcW w:w="2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0.8 to 1.0</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 to 1.5</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Risk free rate</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0.07%</w:t>
            </w:r>
          </w:p>
        </w:tc>
        <w:tc>
          <w:tcPr>
            <w:tcW w:w="8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0.10%</w:t>
            </w:r>
          </w:p>
        </w:tc>
      </w:tr>
      <w:tr>
        <w:trPr>
          <w:trHeight w:val="41"/>
        </w:trPr>
        <w:tc>
          <w:tcPr>
            <w:tcW w:w="53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60" w:type="dxa"/>
            <w:vAlign w:val="bottom"/>
          </w:tcPr>
          <w:p>
            <w:pPr>
              <w:spacing w:after="0"/>
              <w:rPr>
                <w:sz w:val="3"/>
                <w:szCs w:val="3"/>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for lack of marketability</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7.50% to 10.00%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12.00% to 15.00%</w:t>
            </w:r>
          </w:p>
        </w:tc>
      </w:tr>
      <w:tr>
        <w:trPr>
          <w:trHeight w:val="40"/>
        </w:trPr>
        <w:tc>
          <w:tcPr>
            <w:tcW w:w="5300" w:type="dxa"/>
            <w:vAlign w:val="bottom"/>
            <w:shd w:val="clear" w:color="auto" w:fill="CCEEFF"/>
          </w:tcPr>
          <w:p>
            <w:pPr>
              <w:spacing w:after="0"/>
              <w:rPr>
                <w:sz w:val="3"/>
                <w:szCs w:val="3"/>
                <w:color w:val="auto"/>
              </w:rPr>
            </w:pPr>
          </w:p>
        </w:tc>
        <w:tc>
          <w:tcPr>
            <w:tcW w:w="1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amounts using Level 3 inputs from January 1, 2020 through September 22, 2021 were as follows (in thousands):</w:t>
      </w:r>
    </w:p>
    <w:p>
      <w:pPr>
        <w:spacing w:after="0" w:line="316"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Class P Unit redemption</w:t>
            </w:r>
          </w:p>
        </w:tc>
        <w:tc>
          <w:tcPr>
            <w:tcW w:w="180" w:type="dxa"/>
            <w:vAlign w:val="bottom"/>
          </w:tcPr>
          <w:p>
            <w:pPr>
              <w:spacing w:after="0"/>
              <w:rPr>
                <w:sz w:val="18"/>
                <w:szCs w:val="18"/>
                <w:color w:val="auto"/>
              </w:rPr>
            </w:pPr>
          </w:p>
        </w:tc>
        <w:tc>
          <w:tcPr>
            <w:tcW w:w="200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Class P Unit warrant</w:t>
            </w:r>
          </w:p>
        </w:tc>
      </w:tr>
      <w:tr>
        <w:trPr>
          <w:trHeight w:val="234"/>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2000" w:type="dxa"/>
            <w:vAlign w:val="bottom"/>
          </w:tcPr>
          <w:p>
            <w:pPr>
              <w:jc w:val="right"/>
              <w:ind w:right="710"/>
              <w:spacing w:after="0"/>
              <w:rPr>
                <w:sz w:val="20"/>
                <w:szCs w:val="20"/>
                <w:color w:val="auto"/>
              </w:rPr>
            </w:pPr>
            <w:r>
              <w:rPr>
                <w:rFonts w:ascii="Arial" w:cs="Arial" w:eastAsia="Arial" w:hAnsi="Arial"/>
                <w:sz w:val="18"/>
                <w:szCs w:val="18"/>
                <w:b w:val="1"/>
                <w:bCs w:val="1"/>
                <w:color w:val="auto"/>
              </w:rPr>
              <w:t>liability</w:t>
            </w:r>
          </w:p>
        </w:tc>
      </w:tr>
      <w:tr>
        <w:trPr>
          <w:trHeight w:val="40"/>
        </w:trPr>
        <w:tc>
          <w:tcPr>
            <w:tcW w:w="4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4900" w:type="dxa"/>
            <w:vAlign w:val="bottom"/>
          </w:tcPr>
          <w:p>
            <w:pPr>
              <w:ind w:left="120"/>
              <w:spacing w:after="0"/>
              <w:rPr>
                <w:sz w:val="20"/>
                <w:szCs w:val="20"/>
                <w:color w:val="auto"/>
              </w:rPr>
            </w:pPr>
            <w:r>
              <w:rPr>
                <w:rFonts w:ascii="Arial" w:cs="Arial" w:eastAsia="Arial" w:hAnsi="Arial"/>
                <w:sz w:val="18"/>
                <w:szCs w:val="18"/>
                <w:color w:val="auto"/>
              </w:rPr>
              <w:t>Special distributions to members</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4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64"/>
        </w:trPr>
        <w:tc>
          <w:tcPr>
            <w:tcW w:w="4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allocable to Class P Units</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Pr>
          <w:p>
            <w:pPr>
              <w:ind w:left="120"/>
              <w:spacing w:after="0"/>
              <w:rPr>
                <w:sz w:val="20"/>
                <w:szCs w:val="20"/>
                <w:color w:val="auto"/>
              </w:rPr>
            </w:pPr>
            <w:r>
              <w:rPr>
                <w:rFonts w:ascii="Arial" w:cs="Arial" w:eastAsia="Arial" w:hAnsi="Arial"/>
                <w:sz w:val="18"/>
                <w:szCs w:val="18"/>
                <w:color w:val="auto"/>
              </w:rPr>
              <w:t>Increase/decrease</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(8,499)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0"/>
        </w:trPr>
        <w:tc>
          <w:tcPr>
            <w:tcW w:w="49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57"/>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4900" w:type="dxa"/>
            <w:vAlign w:val="bottom"/>
          </w:tcPr>
          <w:p>
            <w:pPr>
              <w:ind w:left="120"/>
              <w:spacing w:after="0"/>
              <w:rPr>
                <w:sz w:val="20"/>
                <w:szCs w:val="20"/>
                <w:color w:val="auto"/>
              </w:rPr>
            </w:pPr>
            <w:r>
              <w:rPr>
                <w:rFonts w:ascii="Arial" w:cs="Arial" w:eastAsia="Arial" w:hAnsi="Arial"/>
                <w:sz w:val="18"/>
                <w:szCs w:val="18"/>
                <w:color w:val="auto"/>
              </w:rPr>
              <w:t>Tax distributions to members</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(9,755)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4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29"/>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Net income allocable to Class P Units prior to the Reorganization</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51"/>
        </w:trPr>
        <w:tc>
          <w:tcPr>
            <w:tcW w:w="4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Transaction and IPO</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Pr>
          <w:p>
            <w:pPr>
              <w:ind w:left="120"/>
              <w:spacing w:after="0"/>
              <w:rPr>
                <w:sz w:val="20"/>
                <w:szCs w:val="20"/>
                <w:color w:val="auto"/>
              </w:rPr>
            </w:pPr>
            <w:r>
              <w:rPr>
                <w:rFonts w:ascii="Arial" w:cs="Arial" w:eastAsia="Arial" w:hAnsi="Arial"/>
                <w:sz w:val="18"/>
                <w:szCs w:val="18"/>
                <w:color w:val="auto"/>
              </w:rPr>
              <w:t>Increase/decrease</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327,189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6,331</w:t>
            </w:r>
          </w:p>
        </w:tc>
      </w:tr>
      <w:tr>
        <w:trPr>
          <w:trHeight w:val="40"/>
        </w:trPr>
        <w:tc>
          <w:tcPr>
            <w:tcW w:w="4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84"/>
        </w:trPr>
        <w:tc>
          <w:tcPr>
            <w:tcW w:w="4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Reorganization Transactions</w:t>
            </w:r>
          </w:p>
        </w:tc>
        <w:tc>
          <w:tcPr>
            <w:tcW w:w="12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(389,227)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(6,415)</w:t>
            </w:r>
          </w:p>
        </w:tc>
      </w:tr>
      <w:tr>
        <w:trPr>
          <w:trHeight w:val="27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Balance, September 22,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4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increase in the fair market value of the Class P Unit warrant liability was $6.3 million and recorded in other expense, net in the consolidated statements of operations for the year ended December 31, 2021.</w:t>
      </w:r>
    </w:p>
    <w:p>
      <w:pPr>
        <w:spacing w:after="0" w:line="1"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Application of these approaches involves the use of estimates, judgments and assumptions that are highly complex and subjective, such as those regarding expected future company financial performance, discount rates, valuations and selection of comparable companies, and the probability of possible future events. Changes in any or all these estimates and assumptions or the relationships between those assumptions impact the Company’s valuations as of each valuation date and may have a material impact on the valuation of Class 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Capitalization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capitalization and voting rights of the Company’s classes of equity as of December 31, 2022 and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c>
          <w:tcPr>
            <w:tcW w:w="16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gridSpan w:val="2"/>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200" w:type="dxa"/>
            <w:vAlign w:val="bottom"/>
          </w:tcPr>
          <w:p>
            <w:pPr>
              <w:spacing w:after="0"/>
              <w:rPr>
                <w:sz w:val="20"/>
                <w:szCs w:val="20"/>
                <w:color w:val="auto"/>
              </w:rPr>
            </w:pPr>
          </w:p>
        </w:tc>
        <w:tc>
          <w:tcPr>
            <w:tcW w:w="164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Authorized</w:t>
            </w:r>
          </w:p>
        </w:tc>
        <w:tc>
          <w:tcPr>
            <w:tcW w:w="212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90"/>
              </w:rPr>
              <w:t>Issued &amp;</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Votes per</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Economic</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212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90"/>
              </w:rPr>
              <w:t>Outstanding</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share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Rights</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stock</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None</w:t>
            </w:r>
          </w:p>
        </w:tc>
        <w:tc>
          <w:tcPr>
            <w:tcW w:w="5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8"/>
              </w:rPr>
              <w:t>None</w:t>
            </w: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40"/>
              <w:spacing w:after="0"/>
              <w:rPr>
                <w:sz w:val="20"/>
                <w:szCs w:val="20"/>
                <w:color w:val="auto"/>
              </w:rPr>
            </w:pPr>
            <w:r>
              <w:rPr>
                <w:rFonts w:ascii="Arial" w:cs="Arial" w:eastAsia="Arial" w:hAnsi="Arial"/>
                <w:sz w:val="18"/>
                <w:szCs w:val="18"/>
                <w:color w:val="auto"/>
              </w:rPr>
              <w:t>Class A</w:t>
            </w:r>
          </w:p>
        </w:tc>
        <w:tc>
          <w:tcPr>
            <w:tcW w:w="1560" w:type="dxa"/>
            <w:vAlign w:val="bottom"/>
          </w:tcPr>
          <w:p>
            <w:pPr>
              <w:jc w:val="right"/>
              <w:spacing w:after="0"/>
              <w:rPr>
                <w:sz w:val="20"/>
                <w:szCs w:val="20"/>
                <w:color w:val="auto"/>
              </w:rPr>
            </w:pPr>
            <w:r>
              <w:rPr>
                <w:rFonts w:ascii="Arial" w:cs="Arial" w:eastAsia="Arial" w:hAnsi="Arial"/>
                <w:sz w:val="18"/>
                <w:szCs w:val="18"/>
                <w:color w:val="auto"/>
              </w:rPr>
              <w:t>1,200,000,000</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11,246,694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9,614,523</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40"/>
        </w:trPr>
        <w:tc>
          <w:tcPr>
            <w:tcW w:w="3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Class B</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35,482,534</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35,658,013</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43"/>
        </w:trPr>
        <w:tc>
          <w:tcPr>
            <w:tcW w:w="3200" w:type="dxa"/>
            <w:vAlign w:val="bottom"/>
          </w:tcPr>
          <w:p>
            <w:pPr>
              <w:ind w:left="240"/>
              <w:spacing w:after="0"/>
              <w:rPr>
                <w:sz w:val="20"/>
                <w:szCs w:val="20"/>
                <w:color w:val="auto"/>
              </w:rPr>
            </w:pPr>
            <w:r>
              <w:rPr>
                <w:rFonts w:ascii="Arial" w:cs="Arial" w:eastAsia="Arial" w:hAnsi="Arial"/>
                <w:sz w:val="18"/>
                <w:szCs w:val="18"/>
                <w:color w:val="auto"/>
              </w:rPr>
              <w:t>Class C</w:t>
            </w:r>
          </w:p>
        </w:tc>
        <w:tc>
          <w:tcPr>
            <w:tcW w:w="156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49,119,976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49,505,250</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41"/>
        </w:trPr>
        <w:tc>
          <w:tcPr>
            <w:tcW w:w="3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Class 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None</w:t>
            </w:r>
          </w:p>
        </w:tc>
        <w:tc>
          <w:tcPr>
            <w:tcW w:w="5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8"/>
              </w:rPr>
              <w:t>None</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reserved for issuances:</w:t>
            </w:r>
          </w:p>
        </w:tc>
        <w:tc>
          <w:tcPr>
            <w:tcW w:w="1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40"/>
              <w:spacing w:after="0"/>
              <w:rPr>
                <w:sz w:val="20"/>
                <w:szCs w:val="20"/>
                <w:color w:val="auto"/>
              </w:rPr>
            </w:pPr>
            <w:r>
              <w:rPr>
                <w:rFonts w:ascii="Arial" w:cs="Arial" w:eastAsia="Arial" w:hAnsi="Arial"/>
                <w:sz w:val="18"/>
                <w:szCs w:val="18"/>
                <w:color w:val="auto"/>
              </w:rPr>
              <w:t>Conversion of LLC Units</w:t>
            </w: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84,602,510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85,163,263</w:t>
            </w: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Unvested LLC Units</w:t>
            </w:r>
          </w:p>
        </w:tc>
        <w:tc>
          <w:tcPr>
            <w:tcW w:w="1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615,000</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1,901,977</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40"/>
              <w:spacing w:after="0"/>
              <w:rPr>
                <w:sz w:val="20"/>
                <w:szCs w:val="20"/>
                <w:color w:val="auto"/>
              </w:rPr>
            </w:pPr>
            <w:r>
              <w:rPr>
                <w:rFonts w:ascii="Arial" w:cs="Arial" w:eastAsia="Arial" w:hAnsi="Arial"/>
                <w:sz w:val="18"/>
                <w:szCs w:val="18"/>
                <w:color w:val="auto"/>
              </w:rPr>
              <w:t>Unvested RSUs</w:t>
            </w: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3,158,686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1,377,728</w:t>
            </w: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Stock options</w:t>
            </w:r>
          </w:p>
        </w:tc>
        <w:tc>
          <w:tcPr>
            <w:tcW w:w="1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857,615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1,449,181</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LLC Units</w:t>
            </w: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84,602,510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85,163,263</w:t>
            </w: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No</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40"/>
        </w:trPr>
        <w:tc>
          <w:tcPr>
            <w:tcW w:w="32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Board of Directors is authorized to direct the Company to issue shares of preferred stock in one or more series and the discretion to determine the number and designation of such series and the powers, rights, preferences, privileges and restrictions, including voting rights, dividend rights, conversion rights, redemption privileges and liquidation preferences, of each series of preferred stock. Through December 31, 2022, no series of preferred stock have been issued.</w:t>
      </w:r>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Shares of Class B and Class C common stock are not entitled to receive any distributions or dividends other than in connection with a liquidation and have no rights to convert into Class A common stock or Class D common stock, separate from an exchange or redemption of the LLC Interests corresponding to such shares of Class B common stock or Class C common stock, as applicable, as discussed below under </w:t>
      </w:r>
      <w:r>
        <w:rPr>
          <w:rFonts w:ascii="Arial" w:cs="Arial" w:eastAsia="Arial" w:hAnsi="Arial"/>
          <w:sz w:val="18"/>
          <w:szCs w:val="18"/>
          <w:i w:val="1"/>
          <w:iCs w:val="1"/>
          <w:color w:val="auto"/>
        </w:rPr>
        <w:t>Brilliant Earth, LLC</w:t>
      </w:r>
      <w:r>
        <w:rPr>
          <w:rFonts w:ascii="Arial" w:cs="Arial" w:eastAsia="Arial" w:hAnsi="Arial"/>
          <w:sz w:val="18"/>
          <w:szCs w:val="18"/>
          <w:color w:val="auto"/>
        </w:rPr>
        <w:t>. When a common unit is redeemed for cash or Class A or D common stock by a Continuing Equity Owner who holds shares of Class B common stock or Class C common stock, such Continuing Equity Owner will be required to surrender a share of Class B common stock or Class C common stock, as applicable, which will be cancelled for no consideration.</w:t>
      </w:r>
    </w:p>
    <w:p>
      <w:pPr>
        <w:spacing w:after="0" w:line="21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Company must, at all times, maintain (i) a one-to-one ratio between the number of shares of Class A common stock issued to Brilliant Earth Group, Inc. and the number of LLC Interests owned by Brilliant Earth Group, Inc., and (ii) maintain a one-to-one ratio between the number of shares of Class B and Class C common stock owned by the Continuing Equity Owners and the number of LLC Interests owned by them.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different classes of common stock as of December 31, 2022, are held as follows:</w:t>
      </w:r>
    </w:p>
    <w:p>
      <w:pPr>
        <w:spacing w:after="0" w:line="25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11,246,694 shares of Class A common stock were issued in the IPO, and through subsequent conversion of LLC Units and vesting of RSUs;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35,482,534 shares of Class B common stock are held by the Continuing Equity Owners excluding the Founders;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49,119,976 shares of Class C common stock are held by the Founders.</w:t>
      </w:r>
    </w:p>
    <w:p>
      <w:pPr>
        <w:spacing w:after="0" w:line="25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Class C and D common stock may only be held by the Founders and their respective permitted transferees. No shares of Class D common stock are outstanding, but may be issued in connection with an exchange by the Founders of their LLC Interests (along with an equal number of shares of Class C common stock and such shares shall be immediately cancelled).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Brilliant Earth, LLC</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December 31, 2022, Brilliant Earth Group, Inc. holds a 11.7% economic interest in Brilliant Earth, LLC through its ownership of 11,246,694 LLC Units, but consolidates Brilliant Earth, LLC as sole managing member. The remaining 84,602,510 LLC units representing an 88.3% interest are held by the Continuing Equity Owners and presented in the consolidated financial statements as a non-controlling interest.</w:t>
      </w:r>
    </w:p>
    <w:p>
      <w:pPr>
        <w:spacing w:after="0" w:line="19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organization agreements include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at the Company's election, a cash payment equal to a volume weighted average market price of one share of Class A common stock for each LLC Interest so redeemed, in each case, in accordance with the terms of the Brilliant Earth LLC Agreement. The redemption feature is not bifurcated from the underlying LLC Unit.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Additional LLC Units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LLC Agreement, the Company is required to cause Brilliant Earth, LLC to issue additional LLC Interests to the Company when the Company issues additional shares of Class A common stock. Other than as it relates to the issuance of Class A common stock in connection with an equity incentive program, the Company must contribute to Brilliant Earth, LLC net proceeds and property, if any, received by the Company with respect to the issuance of such additional shares of Class A common stock. The Company must cause Brilliant Earth, LLC to issue a number of LLC Interests equal to the number of shares of Class A common stock issued such that, at all times, the number of LLC Interests held by the Company equals the number of outstanding shares of Class A common stock.</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Between September 23, 2021 and December 31, 2021, the Company caused Brilliant Earth, LLC to issue to the Company a total of 9,583,332 LLC Units in connection with the issuance of Class A common stock in the IPO and 3,138 LLC Units for RSUs that vested, net of shares withheld for payroll taxes, during the period. The Company also caused Brilliant Earth Group, Inc. to issue 144,031 shares of Class B common stock to the Continuing Equity Owners associated with LLC units which vested during the period, of which 28,053 shares of Class B common stock was converted to Class A common stock. No stock options were exercised during the period.</w:t>
      </w:r>
    </w:p>
    <w:p>
      <w:pPr>
        <w:spacing w:after="0" w:line="215"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For the year ended December 31, 2022, the Company caused Brilliant Earth, LLC to issue to the Company a vested total of 351,119 LLC Units as a result of the issuance of Class A common stock related to the vesting of RSUs. The Company also caused Brilliant Earth Group, Inc. to issue 720,299 shares of Class B common stock to the Continuing Equity Owners associated with LLC units which vested during the year ended December 31, 2022. During the year ended December 31, 2022, there were 895,778 shares of Class B common stock, and 385,274 shares of Class C common stock, respectively, converted to Class A common stock related to the Continuing Equity Owners. There were no stock options exercised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Members Related to Their Income Tax Liabilities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a limited liability company treated as a partnership for income tax purposes, Brilliant Earth, LLC does not incur significant federal, state or local income taxes, as these taxes are primarily the obligations of its members. Under the LLC Agreement, Brilliant Earth, LLC is required to distribute cash, to the extent that Brilliant Earth, LLC has cash available, on a pro rata basis to its members to the extent necessary to cover the members’ tax liabilities, if any, with respect to each member’s share of Brilliant Earth, LLC taxable earnings. Brilliant Earth, LLC makes such tax distributions to its members quarterly, based on an estimated tax rate and projected year-to-date taxable income, with a final accounting once actual taxable income or loss has been determined. Such distributions totaled approximately $18.3 million and $21.4 million for the years ended December 31, 2022 and 2021, respectively. No distributions were made in the year ended December 31, 2020 as these distributions to, on or behalf of, members associated with their estimated income tax obligations for the year ended December 31, 2020 were paid in the second quarter of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Brilliant Earth, LLC Capitalization through September 23, 2021, the Date of the IPO</w:t>
      </w:r>
    </w:p>
    <w:p>
      <w:pPr>
        <w:spacing w:after="0" w:line="25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Prior to the completion of the reorganization and IPO transactions, Brilliant Earth, LLC had LLC Interests outstanding in the form of Class F, Class P and Class M Units. These units were converted into common LLC Units at the time of the IPO. The Class P Units were classified as redeemable securities presented in temporary equity and conversion to LLC Units was in the form of redemption at a value of $389.2 million as of September 22, 2021 after a mark-to-market adjustment of $327.2 million for the period from December 31, 2020 to September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color w:val="auto"/>
        </w:rPr>
        <w:t>The following presents the statement of changes in Class F, Class P, and Class M Units for the periods from January 1, 2020 to September 22, 2021 (in thousands except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40" w:type="dxa"/>
            <w:vAlign w:val="bottom"/>
            <w:gridSpan w:val="8"/>
          </w:tcPr>
          <w:p>
            <w:pPr>
              <w:jc w:val="right"/>
              <w:ind w:right="346"/>
              <w:spacing w:after="0"/>
              <w:rPr>
                <w:sz w:val="20"/>
                <w:szCs w:val="20"/>
                <w:color w:val="auto"/>
              </w:rPr>
            </w:pPr>
            <w:r>
              <w:rPr>
                <w:rFonts w:ascii="Arial" w:cs="Arial" w:eastAsia="Arial" w:hAnsi="Arial"/>
                <w:sz w:val="11"/>
                <w:szCs w:val="11"/>
                <w:b w:val="1"/>
                <w:bCs w:val="1"/>
                <w:color w:val="auto"/>
              </w:rPr>
              <w:t>Brilliant Earth, LLC (prior to reorganization transaction)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2060" w:type="dxa"/>
            <w:vAlign w:val="bottom"/>
            <w:tcBorders>
              <w:bottom w:val="single" w:sz="8" w:color="auto"/>
            </w:tcBorders>
            <w:gridSpan w:val="5"/>
          </w:tcPr>
          <w:p>
            <w:pPr>
              <w:spacing w:after="0"/>
              <w:rPr>
                <w:sz w:val="3"/>
                <w:szCs w:val="3"/>
                <w:color w:val="auto"/>
              </w:rPr>
            </w:pPr>
          </w:p>
        </w:tc>
        <w:tc>
          <w:tcPr>
            <w:tcW w:w="2040" w:type="dxa"/>
            <w:vAlign w:val="bottom"/>
            <w:tcBorders>
              <w:bottom w:val="single" w:sz="8" w:color="auto"/>
            </w:tcBorders>
            <w:gridSpan w:val="5"/>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2060" w:type="dxa"/>
            <w:vAlign w:val="bottom"/>
            <w:tcBorders>
              <w:right w:val="single" w:sz="8" w:color="auto"/>
            </w:tcBorders>
            <w:gridSpan w:val="5"/>
          </w:tcPr>
          <w:p>
            <w:pPr>
              <w:ind w:left="540"/>
              <w:spacing w:after="0"/>
              <w:rPr>
                <w:sz w:val="20"/>
                <w:szCs w:val="20"/>
                <w:color w:val="auto"/>
              </w:rPr>
            </w:pPr>
            <w:r>
              <w:rPr>
                <w:rFonts w:ascii="Arial" w:cs="Arial" w:eastAsia="Arial" w:hAnsi="Arial"/>
                <w:sz w:val="11"/>
                <w:szCs w:val="11"/>
                <w:b w:val="1"/>
                <w:bCs w:val="1"/>
                <w:color w:val="auto"/>
              </w:rPr>
              <w:t>Class P LLC Units</w:t>
            </w:r>
          </w:p>
        </w:tc>
        <w:tc>
          <w:tcPr>
            <w:tcW w:w="2040" w:type="dxa"/>
            <w:vAlign w:val="bottom"/>
            <w:gridSpan w:val="5"/>
          </w:tcPr>
          <w:p>
            <w:pPr>
              <w:ind w:left="540"/>
              <w:spacing w:after="0"/>
              <w:rPr>
                <w:sz w:val="20"/>
                <w:szCs w:val="20"/>
                <w:color w:val="auto"/>
              </w:rPr>
            </w:pPr>
            <w:r>
              <w:rPr>
                <w:rFonts w:ascii="Arial" w:cs="Arial" w:eastAsia="Arial" w:hAnsi="Arial"/>
                <w:sz w:val="11"/>
                <w:szCs w:val="11"/>
                <w:b w:val="1"/>
                <w:bCs w:val="1"/>
                <w:color w:val="auto"/>
              </w:rPr>
              <w:t>Class F LLC Units</w:t>
            </w:r>
          </w:p>
        </w:tc>
        <w:tc>
          <w:tcPr>
            <w:tcW w:w="1700" w:type="dxa"/>
            <w:vAlign w:val="bottom"/>
            <w:gridSpan w:val="3"/>
          </w:tcPr>
          <w:p>
            <w:pPr>
              <w:jc w:val="right"/>
              <w:ind w:right="206"/>
              <w:spacing w:after="0"/>
              <w:rPr>
                <w:sz w:val="20"/>
                <w:szCs w:val="20"/>
                <w:color w:val="auto"/>
              </w:rPr>
            </w:pPr>
            <w:r>
              <w:rPr>
                <w:rFonts w:ascii="Arial" w:cs="Arial" w:eastAsia="Arial" w:hAnsi="Arial"/>
                <w:sz w:val="11"/>
                <w:szCs w:val="11"/>
                <w:b w:val="1"/>
                <w:bCs w:val="1"/>
                <w:color w:val="auto"/>
              </w:rPr>
              <w:t>Class M LLC Units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4"/>
          </w:tcPr>
          <w:p>
            <w:pPr>
              <w:jc w:val="right"/>
              <w:ind w:right="186"/>
              <w:spacing w:after="0"/>
              <w:rPr>
                <w:sz w:val="20"/>
                <w:szCs w:val="20"/>
                <w:color w:val="auto"/>
              </w:rPr>
            </w:pPr>
            <w:r>
              <w:rPr>
                <w:rFonts w:ascii="Arial" w:cs="Arial" w:eastAsia="Arial" w:hAnsi="Arial"/>
                <w:sz w:val="11"/>
                <w:szCs w:val="11"/>
                <w:b w:val="1"/>
                <w:bCs w:val="1"/>
                <w:color w:val="auto"/>
              </w:rPr>
              <w:t>Class F Units and Class M Units</w:t>
            </w: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1020" w:type="dxa"/>
            <w:vAlign w:val="bottom"/>
            <w:gridSpan w:val="2"/>
          </w:tcPr>
          <w:p>
            <w:pPr>
              <w:ind w:left="360"/>
              <w:spacing w:after="0"/>
              <w:rPr>
                <w:sz w:val="20"/>
                <w:szCs w:val="20"/>
                <w:color w:val="auto"/>
              </w:rPr>
            </w:pPr>
            <w:r>
              <w:rPr>
                <w:rFonts w:ascii="Arial" w:cs="Arial" w:eastAsia="Arial" w:hAnsi="Arial"/>
                <w:sz w:val="11"/>
                <w:szCs w:val="11"/>
                <w:b w:val="1"/>
                <w:bCs w:val="1"/>
                <w:color w:val="auto"/>
              </w:rPr>
              <w:t>Units</w:t>
            </w:r>
          </w:p>
        </w:tc>
        <w:tc>
          <w:tcPr>
            <w:tcW w:w="180" w:type="dxa"/>
            <w:vAlign w:val="bottom"/>
          </w:tcPr>
          <w:p>
            <w:pPr>
              <w:spacing w:after="0"/>
              <w:rPr>
                <w:sz w:val="12"/>
                <w:szCs w:val="12"/>
                <w:color w:val="auto"/>
              </w:rPr>
            </w:pPr>
          </w:p>
        </w:tc>
        <w:tc>
          <w:tcPr>
            <w:tcW w:w="860" w:type="dxa"/>
            <w:vAlign w:val="bottom"/>
            <w:tcBorders>
              <w:right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020" w:type="dxa"/>
            <w:vAlign w:val="bottom"/>
            <w:gridSpan w:val="2"/>
          </w:tcPr>
          <w:p>
            <w:pPr>
              <w:ind w:left="360"/>
              <w:spacing w:after="0"/>
              <w:rPr>
                <w:sz w:val="20"/>
                <w:szCs w:val="20"/>
                <w:color w:val="auto"/>
              </w:rPr>
            </w:pPr>
            <w:r>
              <w:rPr>
                <w:rFonts w:ascii="Arial" w:cs="Arial" w:eastAsia="Arial" w:hAnsi="Arial"/>
                <w:sz w:val="11"/>
                <w:szCs w:val="11"/>
                <w:b w:val="1"/>
                <w:bCs w:val="1"/>
                <w:color w:val="auto"/>
              </w:rPr>
              <w:t>Units</w:t>
            </w:r>
          </w:p>
        </w:tc>
        <w:tc>
          <w:tcPr>
            <w:tcW w:w="160" w:type="dxa"/>
            <w:vAlign w:val="bottom"/>
          </w:tcPr>
          <w:p>
            <w:pPr>
              <w:spacing w:after="0"/>
              <w:rPr>
                <w:sz w:val="12"/>
                <w:szCs w:val="12"/>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Amounts</w:t>
            </w:r>
          </w:p>
        </w:tc>
        <w:tc>
          <w:tcPr>
            <w:tcW w:w="1020" w:type="dxa"/>
            <w:vAlign w:val="bottom"/>
            <w:gridSpan w:val="2"/>
          </w:tcPr>
          <w:p>
            <w:pPr>
              <w:ind w:left="360"/>
              <w:spacing w:after="0"/>
              <w:rPr>
                <w:sz w:val="20"/>
                <w:szCs w:val="20"/>
                <w:color w:val="auto"/>
              </w:rPr>
            </w:pPr>
            <w:r>
              <w:rPr>
                <w:rFonts w:ascii="Arial" w:cs="Arial" w:eastAsia="Arial" w:hAnsi="Arial"/>
                <w:sz w:val="11"/>
                <w:szCs w:val="11"/>
                <w:b w:val="1"/>
                <w:bCs w:val="1"/>
                <w:color w:val="auto"/>
              </w:rPr>
              <w:t>Units</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Amounts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220"/>
              <w:spacing w:after="0"/>
              <w:rPr>
                <w:sz w:val="20"/>
                <w:szCs w:val="20"/>
                <w:color w:val="auto"/>
              </w:rPr>
            </w:pPr>
            <w:r>
              <w:rPr>
                <w:rFonts w:ascii="Arial" w:cs="Arial" w:eastAsia="Arial" w:hAnsi="Arial"/>
                <w:sz w:val="11"/>
                <w:szCs w:val="11"/>
                <w:b w:val="1"/>
                <w:bCs w:val="1"/>
                <w:color w:val="auto"/>
              </w:rPr>
              <w:t>Total Units</w:t>
            </w:r>
          </w:p>
        </w:tc>
        <w:tc>
          <w:tcPr>
            <w:tcW w:w="100" w:type="dxa"/>
            <w:vAlign w:val="bottom"/>
          </w:tcPr>
          <w:p>
            <w:pPr>
              <w:spacing w:after="0"/>
              <w:rPr>
                <w:sz w:val="12"/>
                <w:szCs w:val="12"/>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Total Amounts</w:t>
            </w:r>
          </w:p>
        </w:tc>
        <w:tc>
          <w:tcPr>
            <w:tcW w:w="0" w:type="dxa"/>
            <w:vAlign w:val="bottom"/>
          </w:tcPr>
          <w:p>
            <w:pPr>
              <w:spacing w:after="0"/>
              <w:rPr>
                <w:sz w:val="1"/>
                <w:szCs w:val="1"/>
                <w:color w:val="auto"/>
              </w:rPr>
            </w:pPr>
          </w:p>
        </w:tc>
      </w:tr>
      <w:tr>
        <w:trPr>
          <w:trHeight w:val="36"/>
        </w:trPr>
        <w:tc>
          <w:tcPr>
            <w:tcW w:w="31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January 1, 2020</w:t>
            </w: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32,435,595</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80,829</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50,232,863</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(91,773)</w:t>
            </w:r>
          </w:p>
        </w:tc>
        <w:tc>
          <w:tcPr>
            <w:tcW w:w="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2,362,944</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546"/>
              <w:spacing w:after="0"/>
              <w:rPr>
                <w:sz w:val="20"/>
                <w:szCs w:val="20"/>
                <w:color w:val="auto"/>
              </w:rPr>
            </w:pPr>
            <w:r>
              <w:rPr>
                <w:rFonts w:ascii="Arial" w:cs="Arial" w:eastAsia="Arial" w:hAnsi="Arial"/>
                <w:sz w:val="11"/>
                <w:szCs w:val="11"/>
                <w:b w:val="1"/>
                <w:bCs w:val="1"/>
                <w:color w:val="auto"/>
                <w:w w:val="97"/>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254</w:t>
            </w:r>
          </w:p>
        </w:tc>
        <w:tc>
          <w:tcPr>
            <w:tcW w:w="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52,595,807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(91,519)</w:t>
            </w:r>
          </w:p>
        </w:tc>
        <w:tc>
          <w:tcPr>
            <w:tcW w:w="0" w:type="dxa"/>
            <w:vAlign w:val="bottom"/>
          </w:tcPr>
          <w:p>
            <w:pPr>
              <w:spacing w:after="0"/>
              <w:rPr>
                <w:sz w:val="1"/>
                <w:szCs w:val="1"/>
                <w:color w:val="auto"/>
              </w:rPr>
            </w:pPr>
          </w:p>
        </w:tc>
      </w:tr>
      <w:tr>
        <w:trPr>
          <w:trHeight w:val="153"/>
        </w:trPr>
        <w:tc>
          <w:tcPr>
            <w:tcW w:w="3120" w:type="dxa"/>
            <w:vAlign w:val="bottom"/>
          </w:tcPr>
          <w:p>
            <w:pPr>
              <w:ind w:left="20"/>
              <w:spacing w:after="0"/>
              <w:rPr>
                <w:sz w:val="20"/>
                <w:szCs w:val="20"/>
                <w:color w:val="auto"/>
              </w:rPr>
            </w:pPr>
            <w:r>
              <w:rPr>
                <w:rFonts w:ascii="Arial" w:cs="Arial" w:eastAsia="Arial" w:hAnsi="Arial"/>
                <w:sz w:val="11"/>
                <w:szCs w:val="11"/>
                <w:color w:val="auto"/>
              </w:rPr>
              <w:t>Special distribution to members</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(10,000)</w:t>
            </w:r>
          </w:p>
        </w:tc>
        <w:tc>
          <w:tcPr>
            <w:tcW w:w="100" w:type="dxa"/>
            <w:vAlign w:val="bottom"/>
            <w:tcBorders>
              <w:right w:val="single" w:sz="8" w:color="auto"/>
            </w:tcBorders>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(20,000)</w:t>
            </w:r>
          </w:p>
        </w:tc>
        <w:tc>
          <w:tcPr>
            <w:tcW w:w="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(20,000)</w:t>
            </w: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Vested Class M Units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174,847</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174,847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3"/>
        </w:trPr>
        <w:tc>
          <w:tcPr>
            <w:tcW w:w="3120" w:type="dxa"/>
            <w:vAlign w:val="bottom"/>
          </w:tcPr>
          <w:p>
            <w:pPr>
              <w:ind w:left="20"/>
              <w:spacing w:after="0"/>
              <w:rPr>
                <w:sz w:val="20"/>
                <w:szCs w:val="20"/>
                <w:color w:val="auto"/>
              </w:rPr>
            </w:pPr>
            <w:r>
              <w:rPr>
                <w:rFonts w:ascii="Arial" w:cs="Arial" w:eastAsia="Arial" w:hAnsi="Arial"/>
                <w:sz w:val="11"/>
                <w:szCs w:val="11"/>
                <w:color w:val="auto"/>
              </w:rPr>
              <w:t>Equity-based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46</w:t>
            </w: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b w:val="1"/>
                <w:bCs w:val="1"/>
                <w:color w:val="auto"/>
              </w:rPr>
              <w:t>46</w:t>
            </w: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3,997</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17,579</w:t>
            </w: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17,579</w:t>
            </w:r>
          </w:p>
        </w:tc>
        <w:tc>
          <w:tcPr>
            <w:tcW w:w="0" w:type="dxa"/>
            <w:vAlign w:val="bottom"/>
          </w:tcPr>
          <w:p>
            <w:pPr>
              <w:spacing w:after="0"/>
              <w:rPr>
                <w:sz w:val="1"/>
                <w:szCs w:val="1"/>
                <w:color w:val="auto"/>
              </w:rPr>
            </w:pPr>
          </w:p>
        </w:tc>
      </w:tr>
      <w:tr>
        <w:trPr>
          <w:trHeight w:val="152"/>
        </w:trPr>
        <w:tc>
          <w:tcPr>
            <w:tcW w:w="3120" w:type="dxa"/>
            <w:vAlign w:val="bottom"/>
          </w:tcPr>
          <w:p>
            <w:pPr>
              <w:ind w:left="20"/>
              <w:spacing w:after="0"/>
              <w:rPr>
                <w:sz w:val="20"/>
                <w:szCs w:val="20"/>
                <w:color w:val="auto"/>
              </w:rPr>
            </w:pPr>
            <w:r>
              <w:rPr>
                <w:rFonts w:ascii="Arial" w:cs="Arial" w:eastAsia="Arial" w:hAnsi="Arial"/>
                <w:sz w:val="11"/>
                <w:szCs w:val="11"/>
                <w:color w:val="auto"/>
                <w:w w:val="93"/>
              </w:rPr>
              <w:t>Adjustment of redeemable convertible preferred units to redemption</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8,499</w:t>
            </w:r>
          </w:p>
        </w:tc>
        <w:tc>
          <w:tcPr>
            <w:tcW w:w="0" w:type="dxa"/>
            <w:vAlign w:val="bottom"/>
          </w:tcPr>
          <w:p>
            <w:pPr>
              <w:spacing w:after="0"/>
              <w:rPr>
                <w:sz w:val="1"/>
                <w:szCs w:val="1"/>
                <w:color w:val="auto"/>
              </w:rPr>
            </w:pPr>
          </w:p>
        </w:tc>
      </w:tr>
      <w:tr>
        <w:trPr>
          <w:trHeight w:val="136"/>
        </w:trPr>
        <w:tc>
          <w:tcPr>
            <w:tcW w:w="3120" w:type="dxa"/>
            <w:vAlign w:val="bottom"/>
          </w:tcPr>
          <w:p>
            <w:pPr>
              <w:ind w:left="20"/>
              <w:spacing w:after="0"/>
              <w:rPr>
                <w:sz w:val="20"/>
                <w:szCs w:val="20"/>
                <w:color w:val="auto"/>
              </w:rPr>
            </w:pPr>
            <w:r>
              <w:rPr>
                <w:rFonts w:ascii="Arial" w:cs="Arial" w:eastAsia="Arial" w:hAnsi="Arial"/>
                <w:sz w:val="11"/>
                <w:szCs w:val="11"/>
                <w:color w:val="auto"/>
              </w:rPr>
              <w:t>value</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(8,499)</w:t>
            </w:r>
          </w:p>
        </w:tc>
        <w:tc>
          <w:tcPr>
            <w:tcW w:w="100" w:type="dxa"/>
            <w:vAlign w:val="bottom"/>
            <w:tcBorders>
              <w:right w:val="single" w:sz="8" w:color="auto"/>
            </w:tcBorders>
          </w:tcPr>
          <w:p>
            <w:pPr>
              <w:spacing w:after="0"/>
              <w:rPr>
                <w:sz w:val="11"/>
                <w:szCs w:val="1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8,499</w:t>
            </w:r>
          </w:p>
        </w:tc>
        <w:tc>
          <w:tcPr>
            <w:tcW w:w="80" w:type="dxa"/>
            <w:vAlign w:val="bottom"/>
          </w:tcPr>
          <w:p>
            <w:pPr>
              <w:spacing w:after="0"/>
              <w:rPr>
                <w:sz w:val="11"/>
                <w:szCs w:val="1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31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2020</w:t>
            </w: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32,435,595</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66,327</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50,232,863</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(85,695)</w:t>
            </w:r>
          </w:p>
        </w:tc>
        <w:tc>
          <w:tcPr>
            <w:tcW w:w="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2,537,791</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300</w:t>
            </w:r>
          </w:p>
        </w:tc>
        <w:tc>
          <w:tcPr>
            <w:tcW w:w="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52,770,654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(85,395)</w:t>
            </w:r>
          </w:p>
        </w:tc>
        <w:tc>
          <w:tcPr>
            <w:tcW w:w="0" w:type="dxa"/>
            <w:vAlign w:val="bottom"/>
          </w:tcPr>
          <w:p>
            <w:pPr>
              <w:spacing w:after="0"/>
              <w:rPr>
                <w:sz w:val="1"/>
                <w:szCs w:val="1"/>
                <w:color w:val="auto"/>
              </w:rPr>
            </w:pPr>
          </w:p>
        </w:tc>
      </w:tr>
      <w:tr>
        <w:trPr>
          <w:trHeight w:val="153"/>
        </w:trPr>
        <w:tc>
          <w:tcPr>
            <w:tcW w:w="3120" w:type="dxa"/>
            <w:vAlign w:val="bottom"/>
          </w:tcPr>
          <w:p>
            <w:pPr>
              <w:ind w:left="20"/>
              <w:spacing w:after="0"/>
              <w:rPr>
                <w:sz w:val="20"/>
                <w:szCs w:val="20"/>
                <w:color w:val="auto"/>
              </w:rPr>
            </w:pPr>
            <w:r>
              <w:rPr>
                <w:rFonts w:ascii="Arial" w:cs="Arial" w:eastAsia="Arial" w:hAnsi="Arial"/>
                <w:sz w:val="11"/>
                <w:szCs w:val="11"/>
                <w:color w:val="auto"/>
              </w:rPr>
              <w:t>Tax distributions to members</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(9,755)</w:t>
            </w:r>
          </w:p>
        </w:tc>
        <w:tc>
          <w:tcPr>
            <w:tcW w:w="100" w:type="dxa"/>
            <w:vAlign w:val="bottom"/>
            <w:tcBorders>
              <w:right w:val="single" w:sz="8" w:color="auto"/>
            </w:tcBorders>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(11,643)</w:t>
            </w:r>
          </w:p>
        </w:tc>
        <w:tc>
          <w:tcPr>
            <w:tcW w:w="8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(11,643)</w:t>
            </w: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Vested Class M Units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556,446</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556,446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3"/>
        </w:trPr>
        <w:tc>
          <w:tcPr>
            <w:tcW w:w="3120" w:type="dxa"/>
            <w:vAlign w:val="bottom"/>
          </w:tcPr>
          <w:p>
            <w:pPr>
              <w:ind w:left="20"/>
              <w:spacing w:after="0"/>
              <w:rPr>
                <w:sz w:val="20"/>
                <w:szCs w:val="20"/>
                <w:color w:val="auto"/>
              </w:rPr>
            </w:pPr>
            <w:r>
              <w:rPr>
                <w:rFonts w:ascii="Arial" w:cs="Arial" w:eastAsia="Arial" w:hAnsi="Arial"/>
                <w:sz w:val="11"/>
                <w:szCs w:val="11"/>
                <w:color w:val="auto"/>
              </w:rPr>
              <w:t>Equity-based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246</w:t>
            </w: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b w:val="1"/>
                <w:bCs w:val="1"/>
                <w:color w:val="auto"/>
              </w:rPr>
              <w:t>246</w:t>
            </w: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prior to the Reorganization Transactions and IPO</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5,466</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8,526</w:t>
            </w: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8,526</w:t>
            </w:r>
          </w:p>
        </w:tc>
        <w:tc>
          <w:tcPr>
            <w:tcW w:w="0" w:type="dxa"/>
            <w:vAlign w:val="bottom"/>
          </w:tcPr>
          <w:p>
            <w:pPr>
              <w:spacing w:after="0"/>
              <w:rPr>
                <w:sz w:val="1"/>
                <w:szCs w:val="1"/>
                <w:color w:val="auto"/>
              </w:rPr>
            </w:pPr>
          </w:p>
        </w:tc>
      </w:tr>
      <w:tr>
        <w:trPr>
          <w:trHeight w:val="152"/>
        </w:trPr>
        <w:tc>
          <w:tcPr>
            <w:tcW w:w="3120" w:type="dxa"/>
            <w:vAlign w:val="bottom"/>
          </w:tcPr>
          <w:p>
            <w:pPr>
              <w:ind w:left="20"/>
              <w:spacing w:after="0"/>
              <w:rPr>
                <w:sz w:val="20"/>
                <w:szCs w:val="20"/>
                <w:color w:val="auto"/>
              </w:rPr>
            </w:pPr>
            <w:r>
              <w:rPr>
                <w:rFonts w:ascii="Arial" w:cs="Arial" w:eastAsia="Arial" w:hAnsi="Arial"/>
                <w:sz w:val="11"/>
                <w:szCs w:val="11"/>
                <w:color w:val="auto"/>
                <w:w w:val="93"/>
              </w:rPr>
              <w:t>Adjustment of redeemable convertible preferred units to redemption</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(327,189)</w:t>
            </w:r>
          </w:p>
        </w:tc>
        <w:tc>
          <w:tcPr>
            <w:tcW w:w="0" w:type="dxa"/>
            <w:vAlign w:val="bottom"/>
          </w:tcPr>
          <w:p>
            <w:pPr>
              <w:spacing w:after="0"/>
              <w:rPr>
                <w:sz w:val="1"/>
                <w:szCs w:val="1"/>
                <w:color w:val="auto"/>
              </w:rPr>
            </w:pPr>
          </w:p>
        </w:tc>
      </w:tr>
      <w:tr>
        <w:trPr>
          <w:trHeight w:val="136"/>
        </w:trPr>
        <w:tc>
          <w:tcPr>
            <w:tcW w:w="3120" w:type="dxa"/>
            <w:vAlign w:val="bottom"/>
          </w:tcPr>
          <w:p>
            <w:pPr>
              <w:ind w:left="20"/>
              <w:spacing w:after="0"/>
              <w:rPr>
                <w:sz w:val="20"/>
                <w:szCs w:val="20"/>
                <w:color w:val="auto"/>
              </w:rPr>
            </w:pPr>
            <w:r>
              <w:rPr>
                <w:rFonts w:ascii="Arial" w:cs="Arial" w:eastAsia="Arial" w:hAnsi="Arial"/>
                <w:sz w:val="11"/>
                <w:szCs w:val="11"/>
                <w:color w:val="auto"/>
              </w:rPr>
              <w:t>value</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327,189</w:t>
            </w:r>
          </w:p>
        </w:tc>
        <w:tc>
          <w:tcPr>
            <w:tcW w:w="100" w:type="dxa"/>
            <w:vAlign w:val="bottom"/>
            <w:tcBorders>
              <w:right w:val="single" w:sz="8" w:color="auto"/>
            </w:tcBorders>
          </w:tcPr>
          <w:p>
            <w:pPr>
              <w:spacing w:after="0"/>
              <w:rPr>
                <w:sz w:val="11"/>
                <w:szCs w:val="1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(327,189)</w:t>
            </w:r>
          </w:p>
        </w:tc>
        <w:tc>
          <w:tcPr>
            <w:tcW w:w="80" w:type="dxa"/>
            <w:vAlign w:val="bottom"/>
          </w:tcPr>
          <w:p>
            <w:pPr>
              <w:spacing w:after="0"/>
              <w:rPr>
                <w:sz w:val="11"/>
                <w:szCs w:val="1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3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Reorganization Transactions</w:t>
            </w:r>
          </w:p>
        </w:tc>
        <w:tc>
          <w:tcPr>
            <w:tcW w:w="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w w:val="89"/>
              </w:rPr>
              <w:t>(32,435,595)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(389,227)</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(50,232,863)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416,001</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(3,094,237)</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5"/>
              </w:rPr>
              <w:t>(546)</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(53,327,100)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415,455</w:t>
            </w:r>
          </w:p>
        </w:tc>
        <w:tc>
          <w:tcPr>
            <w:tcW w:w="0" w:type="dxa"/>
            <w:vAlign w:val="bottom"/>
          </w:tcPr>
          <w:p>
            <w:pPr>
              <w:spacing w:after="0"/>
              <w:rPr>
                <w:sz w:val="1"/>
                <w:szCs w:val="1"/>
                <w:color w:val="auto"/>
              </w:rPr>
            </w:pPr>
          </w:p>
        </w:tc>
      </w:tr>
      <w:tr>
        <w:trPr>
          <w:trHeight w:val="178"/>
        </w:trPr>
        <w:tc>
          <w:tcPr>
            <w:tcW w:w="3120" w:type="dxa"/>
            <w:vAlign w:val="bottom"/>
          </w:tcPr>
          <w:p>
            <w:pPr>
              <w:ind w:left="20"/>
              <w:spacing w:after="0"/>
              <w:rPr>
                <w:sz w:val="20"/>
                <w:szCs w:val="20"/>
                <w:color w:val="auto"/>
              </w:rPr>
            </w:pPr>
            <w:r>
              <w:rPr>
                <w:rFonts w:ascii="Arial" w:cs="Arial" w:eastAsia="Arial" w:hAnsi="Arial"/>
                <w:sz w:val="11"/>
                <w:szCs w:val="11"/>
                <w:b w:val="1"/>
                <w:bCs w:val="1"/>
                <w:color w:val="auto"/>
                <w:w w:val="92"/>
              </w:rPr>
              <w:t>Balance, September 22, 2021 after Reorganization Transactions</w:t>
            </w:r>
          </w:p>
        </w:tc>
        <w:tc>
          <w:tcPr>
            <w:tcW w:w="9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1"/>
                <w:szCs w:val="11"/>
                <w:color w:val="auto"/>
                <w:w w:val="97"/>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EQUITY-BASED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the time of the IPO on September 23, 2021, the 2021 Incentive Award Plan and the 2021 Employee Stock Purchase Plan (the “2021 Plans”) were adopted to attract, retain, and motivate selected employees, consultants, and directors through the granting of equity-based compensation awards and cash-based performance bonus awards. The compensation committee or its approved designees, as defined, administer the 2021 Plans. Subject to the terms and conditions of the 2021 Plans,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Plans.</w:t>
      </w:r>
    </w:p>
    <w:p>
      <w:pPr>
        <w:spacing w:after="0" w:line="219"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As of December 31, 2022 we have reserved 11,404,638 shares of common stock for issuance pursuant to a variety of equity-based compensation awards, including stock options, stock appreciation rights, or SARs, restricted stock awards, restricted stock unit awards, and other equity-based awards under the 2021 Incentive Award Plan. In addition, 1,734,731 shares of Class A common stock are reserved for issuance under our Employee Stock Purchase Plan.</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number of shares initially reserved for issuance or transfer pursuant to awards under the 2021 Incentive Award Plan is increased by an annual increase on the first day of each fiscal year beginning in 2022 and ending in 2031, equal to the lesser of (A) 5% of the shares of common stock outstanding (on an as converted basis) on the last day of the immediately preceding fiscal year and (B) such smaller number of shares of stock as determined by the board of directors; provided, however, that no more than 81,929,342 shares of stock may be issued upon the exercise of incentive stock options. As of December 31, 2022, 7,032,467 shares of common stock are available for future grant under the 2021 Incentive Award Plan. All of the shares of Class A common stock reserved for issuance remain available. Vesting is subject to certain change in control provisions as provided in the award agreements.</w:t>
      </w:r>
    </w:p>
    <w:p>
      <w:pPr>
        <w:spacing w:after="0" w:line="19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Prior to the IPO, Class M Units were granted to certain employees at the Company’s discretion in consideration of services provided by employees. The agreements generally provide for 25% vesting on the first anniversary from the date of grant (or a shorter period at the Company's board of directors' discretion), with the remainder vesting monthly over the subsequent three years. Compensation cost related to these Class M Units was measured as of the grant date based on the fair value of the award and is being expensed ratably over the service period. Class M Units were issued and outstanding as of the date of grant. As discussed in Note 1, </w:t>
      </w:r>
      <w:r>
        <w:rPr>
          <w:rFonts w:ascii="Arial" w:cs="Arial" w:eastAsia="Arial" w:hAnsi="Arial"/>
          <w:sz w:val="16"/>
          <w:szCs w:val="16"/>
          <w:i w:val="1"/>
          <w:iCs w:val="1"/>
          <w:color w:val="auto"/>
        </w:rPr>
        <w:t>Business and organization</w:t>
      </w:r>
      <w:r>
        <w:rPr>
          <w:rFonts w:ascii="Arial" w:cs="Arial" w:eastAsia="Arial" w:hAnsi="Arial"/>
          <w:sz w:val="16"/>
          <w:szCs w:val="16"/>
          <w:color w:val="auto"/>
        </w:rPr>
        <w:t xml:space="preserve">, under </w:t>
      </w:r>
      <w:r>
        <w:rPr>
          <w:rFonts w:ascii="Arial" w:cs="Arial" w:eastAsia="Arial" w:hAnsi="Arial"/>
          <w:sz w:val="16"/>
          <w:szCs w:val="16"/>
          <w:i w:val="1"/>
          <w:iCs w:val="1"/>
          <w:color w:val="auto"/>
        </w:rPr>
        <w:t>Conversion of Class F, P and M units at time of IPO,</w:t>
      </w:r>
      <w:r>
        <w:rPr>
          <w:rFonts w:ascii="Arial" w:cs="Arial" w:eastAsia="Arial" w:hAnsi="Arial"/>
          <w:sz w:val="16"/>
          <w:szCs w:val="16"/>
          <w:color w:val="auto"/>
        </w:rPr>
        <w:t xml:space="preserve"> at the time of the IPO, the LLC Agreement was amended and restated to recapitalize all 2,006,212 unvested Class M Units into 2,046,008 unvested LLC Units after applying a conversion ratio of 1.8588 with a further adjustment for a distribution threshold (which impacted their allocation of value) so the economic effect of the exchange was a like-for-like value. The unamortized compensation and remaining vesting period for these awards prior to the IPO has been carried forward after the IPO without adjustment. The number of unvested Class M Units presented in these financial statements for periods prior to the IPO have been retroactively adjusted to reflect the conversion ratio similar to the presentation of a stock-split.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Restricted Stock Units</w:t>
      </w:r>
    </w:p>
    <w:p>
      <w:pPr>
        <w:spacing w:after="0" w:line="225" w:lineRule="exact"/>
        <w:rPr>
          <w:sz w:val="20"/>
          <w:szCs w:val="20"/>
          <w:color w:val="auto"/>
        </w:rPr>
      </w:pPr>
    </w:p>
    <w:p>
      <w:pPr>
        <w:ind w:right="120"/>
        <w:spacing w:after="0" w:line="313" w:lineRule="auto"/>
        <w:rPr>
          <w:sz w:val="20"/>
          <w:szCs w:val="20"/>
          <w:color w:val="auto"/>
        </w:rPr>
      </w:pPr>
      <w:r>
        <w:rPr>
          <w:rFonts w:ascii="Arial" w:cs="Arial" w:eastAsia="Arial" w:hAnsi="Arial"/>
          <w:sz w:val="16"/>
          <w:szCs w:val="16"/>
          <w:color w:val="auto"/>
        </w:rPr>
        <w:t>RSUs have a time-based vesting requirement (based on continuous employment). Upon vesting, the RSUs convert into Class A common stock; unvested RSUs are not considered outstanding shares of Class A common stock. The agreements generally provide for 25% vesting at the first anniversary of the date of the grant (or a shorter period at the Company</w:t>
      </w:r>
      <w:r>
        <w:rPr>
          <w:rFonts w:ascii="Arial" w:cs="Arial" w:eastAsia="Arial" w:hAnsi="Arial"/>
          <w:sz w:val="17"/>
          <w:szCs w:val="17"/>
          <w:color w:val="auto"/>
        </w:rPr>
        <w:t>’</w:t>
      </w:r>
      <w:r>
        <w:rPr>
          <w:rFonts w:ascii="Arial" w:cs="Arial" w:eastAsia="Arial" w:hAnsi="Arial"/>
          <w:sz w:val="16"/>
          <w:szCs w:val="16"/>
          <w:color w:val="auto"/>
        </w:rPr>
        <w:t>s board of director</w:t>
      </w:r>
      <w:r>
        <w:rPr>
          <w:rFonts w:ascii="Arial" w:cs="Arial" w:eastAsia="Arial" w:hAnsi="Arial"/>
          <w:sz w:val="17"/>
          <w:szCs w:val="17"/>
          <w:color w:val="auto"/>
        </w:rPr>
        <w:t>’</w:t>
      </w:r>
      <w:r>
        <w:rPr>
          <w:rFonts w:ascii="Arial" w:cs="Arial" w:eastAsia="Arial" w:hAnsi="Arial"/>
          <w:sz w:val="16"/>
          <w:szCs w:val="16"/>
          <w:color w:val="auto"/>
        </w:rPr>
        <w:t>s discretion), with the remainder vesting quarterly over the following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the Company’s RSUs for the year ended December 31, 2022:</w:t>
      </w:r>
    </w:p>
    <w:p>
      <w:pPr>
        <w:spacing w:after="0" w:line="59"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4900" w:type="dxa"/>
            <w:vAlign w:val="bottom"/>
          </w:tcPr>
          <w:p>
            <w:pPr>
              <w:spacing w:after="0"/>
              <w:rPr>
                <w:sz w:val="19"/>
                <w:szCs w:val="19"/>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Number of Restricted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b w:val="1"/>
                <w:bCs w:val="1"/>
                <w:color w:val="auto"/>
              </w:rPr>
              <w:t>Weighted average</w:t>
            </w:r>
          </w:p>
        </w:tc>
      </w:tr>
      <w:tr>
        <w:trPr>
          <w:trHeight w:val="234"/>
        </w:trPr>
        <w:tc>
          <w:tcPr>
            <w:tcW w:w="4900" w:type="dxa"/>
            <w:vAlign w:val="bottom"/>
          </w:tcPr>
          <w:p>
            <w:pPr>
              <w:spacing w:after="0"/>
              <w:rPr>
                <w:sz w:val="20"/>
                <w:szCs w:val="20"/>
                <w:color w:val="auto"/>
              </w:rPr>
            </w:pPr>
          </w:p>
        </w:tc>
        <w:tc>
          <w:tcPr>
            <w:tcW w:w="2020" w:type="dxa"/>
            <w:vAlign w:val="bottom"/>
          </w:tcPr>
          <w:p>
            <w:pPr>
              <w:jc w:val="right"/>
              <w:ind w:right="490"/>
              <w:spacing w:after="0"/>
              <w:rPr>
                <w:sz w:val="20"/>
                <w:szCs w:val="20"/>
                <w:color w:val="auto"/>
              </w:rPr>
            </w:pPr>
            <w:r>
              <w:rPr>
                <w:rFonts w:ascii="Arial" w:cs="Arial" w:eastAsia="Arial" w:hAnsi="Arial"/>
                <w:sz w:val="18"/>
                <w:szCs w:val="18"/>
                <w:b w:val="1"/>
                <w:bCs w:val="1"/>
                <w:color w:val="auto"/>
              </w:rPr>
              <w:t>Stock Units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grant date fair value</w:t>
            </w:r>
          </w:p>
        </w:tc>
      </w:tr>
      <w:tr>
        <w:trPr>
          <w:trHeight w:val="27"/>
        </w:trPr>
        <w:tc>
          <w:tcPr>
            <w:tcW w:w="49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2021, unvested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1,377,728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r>
      <w:tr>
        <w:trPr>
          <w:trHeight w:val="243"/>
        </w:trPr>
        <w:tc>
          <w:tcPr>
            <w:tcW w:w="4900" w:type="dxa"/>
            <w:vAlign w:val="bottom"/>
          </w:tcPr>
          <w:p>
            <w:pPr>
              <w:ind w:left="60"/>
              <w:spacing w:after="0"/>
              <w:rPr>
                <w:sz w:val="20"/>
                <w:szCs w:val="20"/>
                <w:color w:val="auto"/>
              </w:rPr>
            </w:pPr>
            <w:r>
              <w:rPr>
                <w:rFonts w:ascii="Arial" w:cs="Arial" w:eastAsia="Arial" w:hAnsi="Arial"/>
                <w:sz w:val="18"/>
                <w:szCs w:val="18"/>
                <w:color w:val="auto"/>
              </w:rPr>
              <w:t>Granted</w:t>
            </w:r>
          </w:p>
        </w:tc>
        <w:tc>
          <w:tcPr>
            <w:tcW w:w="2020" w:type="dxa"/>
            <w:vAlign w:val="bottom"/>
          </w:tcPr>
          <w:p>
            <w:pPr>
              <w:jc w:val="right"/>
              <w:spacing w:after="0"/>
              <w:rPr>
                <w:sz w:val="20"/>
                <w:szCs w:val="20"/>
                <w:color w:val="auto"/>
              </w:rPr>
            </w:pPr>
            <w:r>
              <w:rPr>
                <w:rFonts w:ascii="Arial" w:cs="Arial" w:eastAsia="Arial" w:hAnsi="Arial"/>
                <w:sz w:val="18"/>
                <w:szCs w:val="18"/>
                <w:color w:val="auto"/>
              </w:rPr>
              <w:t>2,891,551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40"/>
        </w:trPr>
        <w:tc>
          <w:tcPr>
            <w:tcW w:w="49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64"/>
        </w:trPr>
        <w:tc>
          <w:tcPr>
            <w:tcW w:w="49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(351,119)</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43"/>
        </w:trPr>
        <w:tc>
          <w:tcPr>
            <w:tcW w:w="4900" w:type="dxa"/>
            <w:vAlign w:val="bottom"/>
          </w:tcPr>
          <w:p>
            <w:pPr>
              <w:ind w:left="60"/>
              <w:spacing w:after="0"/>
              <w:rPr>
                <w:sz w:val="20"/>
                <w:szCs w:val="20"/>
                <w:color w:val="auto"/>
              </w:rPr>
            </w:pPr>
            <w:r>
              <w:rPr>
                <w:rFonts w:ascii="Arial" w:cs="Arial" w:eastAsia="Arial" w:hAnsi="Arial"/>
                <w:sz w:val="18"/>
                <w:szCs w:val="18"/>
                <w:color w:val="auto"/>
              </w:rPr>
              <w:t>Forfeited</w:t>
            </w:r>
          </w:p>
        </w:tc>
        <w:tc>
          <w:tcPr>
            <w:tcW w:w="2020" w:type="dxa"/>
            <w:vAlign w:val="bottom"/>
          </w:tcPr>
          <w:p>
            <w:pPr>
              <w:jc w:val="right"/>
              <w:spacing w:after="0"/>
              <w:rPr>
                <w:sz w:val="20"/>
                <w:szCs w:val="20"/>
                <w:color w:val="auto"/>
              </w:rPr>
            </w:pPr>
            <w:r>
              <w:rPr>
                <w:rFonts w:ascii="Arial" w:cs="Arial" w:eastAsia="Arial" w:hAnsi="Arial"/>
                <w:sz w:val="18"/>
                <w:szCs w:val="18"/>
                <w:color w:val="auto"/>
              </w:rPr>
              <w:t>(759,474)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41"/>
        </w:trPr>
        <w:tc>
          <w:tcPr>
            <w:tcW w:w="490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140" w:type="dxa"/>
            <w:vAlign w:val="bottom"/>
            <w:tcBorders>
              <w:bottom w:val="single" w:sz="8" w:color="CCEEFF"/>
            </w:tcBorders>
          </w:tcPr>
          <w:p>
            <w:pPr>
              <w:spacing w:after="0"/>
              <w:rPr>
                <w:sz w:val="3"/>
                <w:szCs w:val="3"/>
                <w:color w:val="auto"/>
              </w:rPr>
            </w:pPr>
          </w:p>
        </w:tc>
      </w:tr>
      <w:tr>
        <w:trPr>
          <w:trHeight w:val="295"/>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2022, unvested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3,158,686</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RSUs vested for the years ended December 31, 2022 and 2021, was $4.5 million, and $0.1 million, respectively.</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fair value of the RSUs was based on the fair value of a Class A share of common stock at the time of grant. Total compensation expense for RSUs was approximately $7.2 million for the year ended December 31, 2022, and $1.0 million for the period from September 23, 2021 to December 31, 2021, respectively, and is included in selling, general and administrative expenses in the consolidated statements of operations. The Company recognized $0.1 million of tax benefit associated with the equity-based compensation expense for RSUs for the year ended December 31, 2022, and nil for the year ended December 31, 2021, respectively.</w:t>
      </w:r>
    </w:p>
    <w:p>
      <w:pPr>
        <w:spacing w:after="0" w:line="2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unamortized compensation cost related to RSUs of $24.7 million as of December 31, 2022 is expected to be recognized over a weighted-average period of approximately 3.1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Stock Options</w:t>
      </w:r>
    </w:p>
    <w:p>
      <w:pPr>
        <w:spacing w:after="0" w:line="25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September 22, 2021, options to purchase 1,618,064 shares of Class A common stock with a strike price of $12.00 (per share underlying the option) were granted to certain executives, employees and members of the Board with the number of shares underlying the options determined based on the number of Class M Units reduced in the conversion of LLC Units. No additional options were granted subsequent to September 22, 2021. The awards have a time-based vesting requirement (based on continuous employment). Upon vesting, the stock options are exercisable into Class A common stock. Vesting is generally over four years from the date of grant of the related Class M Units and options may be exercised up to 10 years from the date of issuance.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the outstanding and exercisable stock options: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80" w:type="dxa"/>
            <w:vAlign w:val="bottom"/>
          </w:tcPr>
          <w:p>
            <w:pPr>
              <w:jc w:val="center"/>
              <w:ind w:left="39"/>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4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8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remaining</w:t>
            </w:r>
          </w:p>
        </w:tc>
      </w:tr>
      <w:tr>
        <w:trPr>
          <w:trHeight w:val="203"/>
        </w:trPr>
        <w:tc>
          <w:tcPr>
            <w:tcW w:w="4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Weighted average grant</w:t>
            </w:r>
          </w:p>
        </w:tc>
        <w:tc>
          <w:tcPr>
            <w:tcW w:w="1480" w:type="dxa"/>
            <w:vAlign w:val="bottom"/>
          </w:tcPr>
          <w:p>
            <w:pPr>
              <w:jc w:val="center"/>
              <w:ind w:left="19"/>
              <w:spacing w:after="0"/>
              <w:rPr>
                <w:sz w:val="20"/>
                <w:szCs w:val="20"/>
                <w:color w:val="auto"/>
              </w:rPr>
            </w:pPr>
            <w:r>
              <w:rPr>
                <w:rFonts w:ascii="Arial" w:cs="Arial" w:eastAsia="Arial" w:hAnsi="Arial"/>
                <w:sz w:val="16"/>
                <w:szCs w:val="16"/>
                <w:b w:val="1"/>
                <w:bCs w:val="1"/>
                <w:color w:val="auto"/>
                <w:w w:val="94"/>
              </w:rPr>
              <w:t>contractual term</w:t>
            </w:r>
          </w:p>
        </w:tc>
      </w:tr>
      <w:tr>
        <w:trPr>
          <w:trHeight w:val="210"/>
        </w:trPr>
        <w:tc>
          <w:tcPr>
            <w:tcW w:w="478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b w:val="1"/>
                <w:bCs w:val="1"/>
                <w:color w:val="auto"/>
                <w:w w:val="98"/>
              </w:rPr>
              <w:t>Number of 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exercise price</w:t>
            </w:r>
          </w:p>
        </w:tc>
        <w:tc>
          <w:tcPr>
            <w:tcW w:w="220" w:type="dxa"/>
            <w:vAlign w:val="bottom"/>
          </w:tcPr>
          <w:p>
            <w:pPr>
              <w:spacing w:after="0"/>
              <w:rPr>
                <w:sz w:val="18"/>
                <w:szCs w:val="18"/>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date fair value</w:t>
            </w:r>
          </w:p>
        </w:tc>
        <w:tc>
          <w:tcPr>
            <w:tcW w:w="1480" w:type="dxa"/>
            <w:vAlign w:val="bottom"/>
          </w:tcPr>
          <w:p>
            <w:pPr>
              <w:jc w:val="center"/>
              <w:ind w:left="39"/>
              <w:spacing w:after="0"/>
              <w:rPr>
                <w:sz w:val="20"/>
                <w:szCs w:val="20"/>
                <w:color w:val="auto"/>
              </w:rPr>
            </w:pPr>
            <w:r>
              <w:rPr>
                <w:rFonts w:ascii="Arial" w:cs="Arial" w:eastAsia="Arial" w:hAnsi="Arial"/>
                <w:sz w:val="16"/>
                <w:szCs w:val="16"/>
                <w:b w:val="1"/>
                <w:bCs w:val="1"/>
                <w:color w:val="auto"/>
                <w:w w:val="91"/>
              </w:rPr>
              <w:t>(years)</w:t>
            </w:r>
          </w:p>
        </w:tc>
      </w:tr>
      <w:tr>
        <w:trPr>
          <w:trHeight w:val="33"/>
        </w:trPr>
        <w:tc>
          <w:tcPr>
            <w:tcW w:w="4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3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2021</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1,612,133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23"/>
        </w:trPr>
        <w:tc>
          <w:tcPr>
            <w:tcW w:w="4780" w:type="dxa"/>
            <w:vAlign w:val="bottom"/>
          </w:tcPr>
          <w:p>
            <w:pPr>
              <w:ind w:left="80"/>
              <w:spacing w:after="0"/>
              <w:rPr>
                <w:sz w:val="20"/>
                <w:szCs w:val="20"/>
                <w:color w:val="auto"/>
              </w:rPr>
            </w:pPr>
            <w:r>
              <w:rPr>
                <w:rFonts w:ascii="Arial" w:cs="Arial" w:eastAsia="Arial" w:hAnsi="Arial"/>
                <w:sz w:val="16"/>
                <w:szCs w:val="16"/>
                <w:color w:val="auto"/>
              </w:rPr>
              <w:t>Forfeited</w:t>
            </w:r>
          </w:p>
        </w:tc>
        <w:tc>
          <w:tcPr>
            <w:tcW w:w="1520" w:type="dxa"/>
            <w:vAlign w:val="bottom"/>
          </w:tcPr>
          <w:p>
            <w:pPr>
              <w:jc w:val="right"/>
              <w:spacing w:after="0"/>
              <w:rPr>
                <w:sz w:val="20"/>
                <w:szCs w:val="20"/>
                <w:color w:val="auto"/>
              </w:rPr>
            </w:pPr>
            <w:r>
              <w:rPr>
                <w:rFonts w:ascii="Arial" w:cs="Arial" w:eastAsia="Arial" w:hAnsi="Arial"/>
                <w:sz w:val="16"/>
                <w:szCs w:val="16"/>
                <w:color w:val="auto"/>
              </w:rPr>
              <w:t>(754,518)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4.29</w:t>
            </w:r>
          </w:p>
        </w:tc>
        <w:tc>
          <w:tcPr>
            <w:tcW w:w="1480" w:type="dxa"/>
            <w:vAlign w:val="bottom"/>
          </w:tcPr>
          <w:p>
            <w:pPr>
              <w:spacing w:after="0"/>
              <w:rPr>
                <w:sz w:val="19"/>
                <w:szCs w:val="19"/>
                <w:color w:val="auto"/>
              </w:rPr>
            </w:pPr>
          </w:p>
        </w:tc>
      </w:tr>
      <w:tr>
        <w:trPr>
          <w:trHeight w:val="33"/>
        </w:trPr>
        <w:tc>
          <w:tcPr>
            <w:tcW w:w="47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7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857,615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166"/>
        </w:trPr>
        <w:tc>
          <w:tcPr>
            <w:tcW w:w="4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3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as of December 31, 2022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476,932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23"/>
        </w:trPr>
        <w:tc>
          <w:tcPr>
            <w:tcW w:w="4780" w:type="dxa"/>
            <w:vAlign w:val="bottom"/>
          </w:tcPr>
          <w:p>
            <w:pPr>
              <w:ind w:left="20"/>
              <w:spacing w:after="0"/>
              <w:rPr>
                <w:sz w:val="20"/>
                <w:szCs w:val="20"/>
                <w:color w:val="auto"/>
              </w:rPr>
            </w:pPr>
            <w:r>
              <w:rPr>
                <w:rFonts w:ascii="Arial" w:cs="Arial" w:eastAsia="Arial" w:hAnsi="Arial"/>
                <w:sz w:val="16"/>
                <w:szCs w:val="16"/>
                <w:color w:val="auto"/>
              </w:rPr>
              <w:t>Unvested as of December 31, 2022</w:t>
            </w:r>
          </w:p>
        </w:tc>
        <w:tc>
          <w:tcPr>
            <w:tcW w:w="1520" w:type="dxa"/>
            <w:vAlign w:val="bottom"/>
          </w:tcPr>
          <w:p>
            <w:pPr>
              <w:jc w:val="right"/>
              <w:spacing w:after="0"/>
              <w:rPr>
                <w:sz w:val="20"/>
                <w:szCs w:val="20"/>
                <w:color w:val="auto"/>
              </w:rPr>
            </w:pPr>
            <w:r>
              <w:rPr>
                <w:rFonts w:ascii="Arial" w:cs="Arial" w:eastAsia="Arial" w:hAnsi="Arial"/>
                <w:sz w:val="16"/>
                <w:szCs w:val="16"/>
                <w:color w:val="auto"/>
              </w:rPr>
              <w:t>380,683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4.29</w:t>
            </w:r>
          </w:p>
        </w:tc>
        <w:tc>
          <w:tcPr>
            <w:tcW w:w="14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47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7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857,615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As of December 31, 2022, the vested stock options did not have an aggregated intrinsic value as the exercise price exceeded the estimated fair market value of the stock options.</w:t>
      </w:r>
    </w:p>
    <w:p>
      <w:pPr>
        <w:spacing w:after="0" w:line="19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Since options represent equity awards, such awards are fair valued as of the grant date for the purposes of measurement and recognition under U.S. GAAP. To measure the fair value of an option, the Black Scholes valuation model was utilized. The value of the common stock underlying the award is based on the fair value of a share of Class A common stock. The valuation model requires the input of other highly subjective assumptions. Inputs to model for awards granted during the period from September 22, 2021 through December 31, 2022, are as follows: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263"/>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660" w:type="dxa"/>
            <w:vAlign w:val="bottom"/>
          </w:tcPr>
          <w:p>
            <w:pPr>
              <w:jc w:val="right"/>
              <w:spacing w:after="0"/>
              <w:rPr>
                <w:sz w:val="20"/>
                <w:szCs w:val="20"/>
                <w:color w:val="auto"/>
              </w:rPr>
            </w:pPr>
            <w:r>
              <w:rPr>
                <w:rFonts w:ascii="Arial" w:cs="Arial" w:eastAsia="Arial" w:hAnsi="Arial"/>
                <w:sz w:val="18"/>
                <w:szCs w:val="18"/>
                <w:color w:val="auto"/>
              </w:rPr>
              <w:t>Nil</w:t>
            </w:r>
          </w:p>
        </w:tc>
      </w:tr>
      <w:tr>
        <w:trPr>
          <w:trHeight w:val="41"/>
        </w:trPr>
        <w:tc>
          <w:tcPr>
            <w:tcW w:w="5420" w:type="dxa"/>
            <w:vAlign w:val="bottom"/>
          </w:tcPr>
          <w:p>
            <w:pPr>
              <w:spacing w:after="0"/>
              <w:rPr>
                <w:sz w:val="3"/>
                <w:szCs w:val="3"/>
                <w:color w:val="auto"/>
              </w:rPr>
            </w:pPr>
          </w:p>
        </w:tc>
        <w:tc>
          <w:tcPr>
            <w:tcW w:w="4660" w:type="dxa"/>
            <w:vAlign w:val="bottom"/>
          </w:tcPr>
          <w:p>
            <w:pPr>
              <w:spacing w:after="0"/>
              <w:rPr>
                <w:sz w:val="3"/>
                <w:szCs w:val="3"/>
                <w:color w:val="auto"/>
              </w:rPr>
            </w:pPr>
          </w:p>
        </w:tc>
      </w:tr>
      <w:tr>
        <w:trPr>
          <w:trHeight w:val="263"/>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to 6.3 Years</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4660" w:type="dxa"/>
            <w:vAlign w:val="bottom"/>
          </w:tcPr>
          <w:p>
            <w:pPr>
              <w:jc w:val="right"/>
              <w:spacing w:after="0"/>
              <w:rPr>
                <w:sz w:val="20"/>
                <w:szCs w:val="20"/>
                <w:color w:val="auto"/>
              </w:rPr>
            </w:pPr>
            <w:r>
              <w:rPr>
                <w:rFonts w:ascii="Arial" w:cs="Arial" w:eastAsia="Arial" w:hAnsi="Arial"/>
                <w:sz w:val="18"/>
                <w:szCs w:val="18"/>
                <w:color w:val="auto"/>
              </w:rPr>
              <w:t>0.9 %</w:t>
            </w:r>
          </w:p>
        </w:tc>
      </w:tr>
    </w:tbl>
    <w:p>
      <w:pPr>
        <w:spacing w:after="0" w:line="35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Total compensation expense for stock options was approximately $1.4 million for both the year ended December 31, 2022 and the period from September 22, 2021 to December 31, 2021, respectively, and is included in selling, general and administrative expenses in the consolidated statements of operations. No tax benefit was associated with the equity-based compensation expense for stock options.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December 31, 2022, total compensation expense related to unvested option awards not yet recognized was $1.6 million and the weighted-average period over which the compensation is expected to be recognized is 2.1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M Units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Prior to being recapitalized into Outstanding Restricted LLC Units as discussed in Note 1, </w:t>
      </w:r>
      <w:r>
        <w:rPr>
          <w:rFonts w:ascii="Arial" w:cs="Arial" w:eastAsia="Arial" w:hAnsi="Arial"/>
          <w:sz w:val="18"/>
          <w:szCs w:val="18"/>
          <w:i w:val="1"/>
          <w:iCs w:val="1"/>
          <w:color w:val="auto"/>
        </w:rPr>
        <w:t>Business and Organization, Summary of the Reorganization,</w:t>
      </w:r>
      <w:r>
        <w:rPr>
          <w:rFonts w:ascii="Arial" w:cs="Arial" w:eastAsia="Arial" w:hAnsi="Arial"/>
          <w:sz w:val="18"/>
          <w:szCs w:val="18"/>
          <w:color w:val="auto"/>
        </w:rPr>
        <w:t xml:space="preserve"> </w:t>
      </w:r>
      <w:r>
        <w:rPr>
          <w:rFonts w:ascii="Arial" w:cs="Arial" w:eastAsia="Arial" w:hAnsi="Arial"/>
          <w:sz w:val="18"/>
          <w:szCs w:val="18"/>
          <w:i w:val="1"/>
          <w:iCs w:val="1"/>
          <w:color w:val="auto"/>
        </w:rPr>
        <w:t>Offering and Other Transactions Completed in connection with the IPO</w:t>
      </w:r>
      <w:r>
        <w:rPr>
          <w:rFonts w:ascii="Arial" w:cs="Arial" w:eastAsia="Arial" w:hAnsi="Arial"/>
          <w:sz w:val="18"/>
          <w:szCs w:val="18"/>
          <w:color w:val="auto"/>
        </w:rPr>
        <w:t>, Class M Units were profit interests granted to certain employees at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without consideration. The agreements granted to date generally provide for 25.0% vesting on the first anniversary from the date of grant (or shorter period at management’s discretion), with the remainder vesting monthly over the subsequent three years. Compensation cost related to these Class M Units was measured as of the grant date based on the fair value of the award and was expensed ratably over the service period. Class M Units were deemed issued and outstanding as they vested.</w:t>
      </w:r>
    </w:p>
    <w:p>
      <w:pPr>
        <w:spacing w:after="0" w:line="23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fair value of grants of restricted Class M Units was based on the fair value of an unrestricted Class M Unit underlying the award until the recapitalization which occurred on September 22, 2021 as discussed in the table within the subsection "</w:t>
      </w:r>
      <w:r>
        <w:rPr>
          <w:rFonts w:ascii="Arial" w:cs="Arial" w:eastAsia="Arial" w:hAnsi="Arial"/>
          <w:sz w:val="18"/>
          <w:szCs w:val="18"/>
          <w:i w:val="1"/>
          <w:iCs w:val="1"/>
          <w:color w:val="auto"/>
        </w:rPr>
        <w:t>Outstanding Restricted LLC Units (formerly M</w:t>
      </w:r>
      <w:r>
        <w:rPr>
          <w:rFonts w:ascii="Arial" w:cs="Arial" w:eastAsia="Arial" w:hAnsi="Arial"/>
          <w:sz w:val="18"/>
          <w:szCs w:val="18"/>
          <w:color w:val="auto"/>
        </w:rPr>
        <w:t xml:space="preserve"> </w:t>
      </w:r>
      <w:r>
        <w:rPr>
          <w:rFonts w:ascii="Arial" w:cs="Arial" w:eastAsia="Arial" w:hAnsi="Arial"/>
          <w:sz w:val="18"/>
          <w:szCs w:val="18"/>
          <w:i w:val="1"/>
          <w:iCs w:val="1"/>
          <w:color w:val="auto"/>
        </w:rPr>
        <w:t>Units)</w:t>
      </w:r>
      <w:r>
        <w:rPr>
          <w:rFonts w:ascii="Arial" w:cs="Arial" w:eastAsia="Arial" w:hAnsi="Arial"/>
          <w:sz w:val="18"/>
          <w:szCs w:val="18"/>
          <w:color w:val="auto"/>
        </w:rPr>
        <w:t>" below.</w:t>
      </w:r>
    </w:p>
    <w:p>
      <w:pPr>
        <w:spacing w:after="0" w:line="2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Vested Class M Units were subject to repurchase at the option of the Company upon termination of the holder’s employment based on the then fair value of the units. No units had been repurchased through September 22,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Restricted LLC Units (formerly M Units)</w:t>
      </w:r>
    </w:p>
    <w:p>
      <w:pPr>
        <w:spacing w:after="0" w:line="22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 xml:space="preserve">As discussed above, restricted LLC Units were granted to certain executives, employees and members of the Board prior to the IPO and have been retroactively adjusted as described in Note 1, </w:t>
      </w:r>
      <w:r>
        <w:rPr>
          <w:rFonts w:ascii="Arial" w:cs="Arial" w:eastAsia="Arial" w:hAnsi="Arial"/>
          <w:sz w:val="16"/>
          <w:szCs w:val="16"/>
          <w:i w:val="1"/>
          <w:iCs w:val="1"/>
          <w:color w:val="auto"/>
        </w:rPr>
        <w:t>Business and Organization</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of Class F, P and M Units at Time of IPO</w:t>
      </w:r>
      <w:r>
        <w:rPr>
          <w:rFonts w:ascii="Arial" w:cs="Arial" w:eastAsia="Arial" w:hAnsi="Arial"/>
          <w:sz w:val="16"/>
          <w:szCs w:val="16"/>
          <w:color w:val="auto"/>
        </w:rPr>
        <w:t>. The awards have a time-based vesting requirement (based on continuous employment). Upon grant, the awards are issued and outstanding common LLC Units but subject to forfeiture in the event of a termination of service; unvested awards are outstanding LLC units. Vesting is generally over four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The following table summarizes the activity related to the unvested LLC Units:</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95"/>
        </w:trPr>
        <w:tc>
          <w:tcPr>
            <w:tcW w:w="67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b w:val="1"/>
                <w:bCs w:val="1"/>
                <w:color w:val="auto"/>
              </w:rPr>
              <w:t>Weighted average</w:t>
            </w:r>
          </w:p>
        </w:tc>
      </w:tr>
      <w:tr>
        <w:trPr>
          <w:trHeight w:val="234"/>
        </w:trPr>
        <w:tc>
          <w:tcPr>
            <w:tcW w:w="6720" w:type="dxa"/>
            <w:vAlign w:val="bottom"/>
          </w:tcPr>
          <w:p>
            <w:pPr>
              <w:spacing w:after="0"/>
              <w:rPr>
                <w:sz w:val="20"/>
                <w:szCs w:val="20"/>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 LLC Units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grant date fair value</w:t>
            </w:r>
          </w:p>
        </w:tc>
      </w:tr>
      <w:tr>
        <w:trPr>
          <w:trHeight w:val="40"/>
        </w:trPr>
        <w:tc>
          <w:tcPr>
            <w:tcW w:w="67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2020, unvested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457,227</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Granted</w:t>
            </w:r>
          </w:p>
        </w:tc>
        <w:tc>
          <w:tcPr>
            <w:tcW w:w="2020" w:type="dxa"/>
            <w:vAlign w:val="bottom"/>
          </w:tcPr>
          <w:p>
            <w:pPr>
              <w:jc w:val="right"/>
              <w:spacing w:after="0"/>
              <w:rPr>
                <w:sz w:val="20"/>
                <w:szCs w:val="20"/>
                <w:color w:val="auto"/>
              </w:rPr>
            </w:pPr>
            <w:r>
              <w:rPr>
                <w:rFonts w:ascii="Arial" w:cs="Arial" w:eastAsia="Arial" w:hAnsi="Arial"/>
                <w:sz w:val="18"/>
                <w:szCs w:val="18"/>
                <w:color w:val="auto"/>
              </w:rPr>
              <w:t>1,444,831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40"/>
        </w:trPr>
        <w:tc>
          <w:tcPr>
            <w:tcW w:w="6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6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(241,265)</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Vested</w:t>
            </w:r>
          </w:p>
        </w:tc>
        <w:tc>
          <w:tcPr>
            <w:tcW w:w="2020" w:type="dxa"/>
            <w:vAlign w:val="bottom"/>
          </w:tcPr>
          <w:p>
            <w:pPr>
              <w:jc w:val="right"/>
              <w:spacing w:after="0"/>
              <w:rPr>
                <w:sz w:val="20"/>
                <w:szCs w:val="20"/>
                <w:color w:val="auto"/>
              </w:rPr>
            </w:pPr>
            <w:r>
              <w:rPr>
                <w:rFonts w:ascii="Arial" w:cs="Arial" w:eastAsia="Arial" w:hAnsi="Arial"/>
                <w:sz w:val="18"/>
                <w:szCs w:val="18"/>
                <w:color w:val="auto"/>
              </w:rPr>
              <w:t>(174,847)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40"/>
        </w:trPr>
        <w:tc>
          <w:tcPr>
            <w:tcW w:w="672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140" w:type="dxa"/>
            <w:vAlign w:val="bottom"/>
            <w:tcBorders>
              <w:bottom w:val="single" w:sz="8" w:color="CCEEFF"/>
            </w:tcBorders>
          </w:tcPr>
          <w:p>
            <w:pPr>
              <w:spacing w:after="0"/>
              <w:rPr>
                <w:sz w:val="3"/>
                <w:szCs w:val="3"/>
                <w:color w:val="auto"/>
              </w:rPr>
            </w:pPr>
          </w:p>
        </w:tc>
      </w:tr>
      <w:tr>
        <w:trPr>
          <w:trHeight w:val="25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 unvested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1,485,946</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Granted prior to September 22, 2021</w:t>
            </w:r>
          </w:p>
        </w:tc>
        <w:tc>
          <w:tcPr>
            <w:tcW w:w="2020" w:type="dxa"/>
            <w:vAlign w:val="bottom"/>
          </w:tcPr>
          <w:p>
            <w:pPr>
              <w:jc w:val="right"/>
              <w:spacing w:after="0"/>
              <w:rPr>
                <w:sz w:val="20"/>
                <w:szCs w:val="20"/>
                <w:color w:val="auto"/>
              </w:rPr>
            </w:pPr>
            <w:r>
              <w:rPr>
                <w:rFonts w:ascii="Arial" w:cs="Arial" w:eastAsia="Arial" w:hAnsi="Arial"/>
                <w:sz w:val="18"/>
                <w:szCs w:val="18"/>
                <w:color w:val="auto"/>
              </w:rPr>
              <w:t>1,515,276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40"/>
        </w:trPr>
        <w:tc>
          <w:tcPr>
            <w:tcW w:w="6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6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(398,768)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Vested</w:t>
            </w:r>
          </w:p>
        </w:tc>
        <w:tc>
          <w:tcPr>
            <w:tcW w:w="2020" w:type="dxa"/>
            <w:vAlign w:val="bottom"/>
          </w:tcPr>
          <w:p>
            <w:pPr>
              <w:jc w:val="right"/>
              <w:spacing w:after="0"/>
              <w:rPr>
                <w:sz w:val="20"/>
                <w:szCs w:val="20"/>
                <w:color w:val="auto"/>
              </w:rPr>
            </w:pPr>
            <w:r>
              <w:rPr>
                <w:rFonts w:ascii="Arial" w:cs="Arial" w:eastAsia="Arial" w:hAnsi="Arial"/>
                <w:sz w:val="18"/>
                <w:szCs w:val="18"/>
                <w:color w:val="auto"/>
              </w:rPr>
              <w:t>(700,477)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40"/>
        </w:trPr>
        <w:tc>
          <w:tcPr>
            <w:tcW w:w="672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140" w:type="dxa"/>
            <w:vAlign w:val="bottom"/>
            <w:tcBorders>
              <w:bottom w:val="single" w:sz="8" w:color="CCEEFF"/>
            </w:tcBorders>
          </w:tcPr>
          <w:p>
            <w:pPr>
              <w:spacing w:after="0"/>
              <w:rPr>
                <w:sz w:val="3"/>
                <w:szCs w:val="3"/>
                <w:color w:val="auto"/>
              </w:rPr>
            </w:pPr>
          </w:p>
        </w:tc>
      </w:tr>
      <w:tr>
        <w:trPr>
          <w:trHeight w:val="25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 unvested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1,901,977</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020" w:type="dxa"/>
            <w:vAlign w:val="bottom"/>
          </w:tcPr>
          <w:p>
            <w:pPr>
              <w:jc w:val="right"/>
              <w:spacing w:after="0"/>
              <w:rPr>
                <w:sz w:val="20"/>
                <w:szCs w:val="20"/>
                <w:color w:val="auto"/>
              </w:rPr>
            </w:pPr>
            <w:r>
              <w:rPr>
                <w:rFonts w:ascii="Arial" w:cs="Arial" w:eastAsia="Arial" w:hAnsi="Arial"/>
                <w:sz w:val="18"/>
                <w:szCs w:val="18"/>
                <w:color w:val="auto"/>
              </w:rPr>
              <w:t>(566,678)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41"/>
        </w:trPr>
        <w:tc>
          <w:tcPr>
            <w:tcW w:w="6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83"/>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(720,299)</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71"/>
        </w:trPr>
        <w:tc>
          <w:tcPr>
            <w:tcW w:w="6720" w:type="dxa"/>
            <w:vAlign w:val="bottom"/>
          </w:tcPr>
          <w:p>
            <w:pPr>
              <w:ind w:left="20"/>
              <w:spacing w:after="0"/>
              <w:rPr>
                <w:sz w:val="20"/>
                <w:szCs w:val="20"/>
                <w:color w:val="auto"/>
              </w:rPr>
            </w:pPr>
            <w:r>
              <w:rPr>
                <w:rFonts w:ascii="Arial" w:cs="Arial" w:eastAsia="Arial" w:hAnsi="Arial"/>
                <w:sz w:val="18"/>
                <w:szCs w:val="18"/>
                <w:color w:val="auto"/>
              </w:rPr>
              <w:t>Balance, December 31, 2022, unvested</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7"/>
        </w:trPr>
        <w:tc>
          <w:tcPr>
            <w:tcW w:w="67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fair value of restricted LLC Units was based on the fair value of an unrestricted LLC Unit at the date of grant. Total compensation expense for LLC Units is recorded in selling, general and administrative expenses in the consolidated statements of operations were approximately $0.3 million, $0.3 million, and less than $0.1 million for the years ended December 31, 2022, 2021, and 2020, respectively.</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unamortized LLC Unit compensation cost of $0.4 million as of December 31, 2022 is expected to be recognized over a weighted-average period of approximately 2.0 years.</w:t>
      </w:r>
    </w:p>
    <w:p>
      <w:pPr>
        <w:spacing w:after="0" w:line="19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 xml:space="preserve">The quantitative information about certain significant Level 3 unobservable inputs for the three valuation methods and for Black-Scholes are summarized in Note 9, </w:t>
      </w:r>
      <w:r>
        <w:rPr>
          <w:rFonts w:ascii="Arial" w:cs="Arial" w:eastAsia="Arial" w:hAnsi="Arial"/>
          <w:sz w:val="18"/>
          <w:szCs w:val="18"/>
          <w:i w:val="1"/>
          <w:iCs w:val="1"/>
          <w:color w:val="auto"/>
        </w:rPr>
        <w:t>Stockholders’ Equity and Members Units Including Redeemable Convertible Class P Units,</w:t>
      </w:r>
      <w:r>
        <w:rPr>
          <w:rFonts w:ascii="Arial" w:cs="Arial" w:eastAsia="Arial" w:hAnsi="Arial"/>
          <w:sz w:val="18"/>
          <w:szCs w:val="18"/>
          <w:color w:val="auto"/>
        </w:rPr>
        <w:t xml:space="preserve"> for the period ended September 22, 2021 and the year ended December 31, 2020,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 AND TAX RECEIVABLE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Income Taxes</w:t>
      </w:r>
    </w:p>
    <w:p>
      <w:pPr>
        <w:spacing w:after="0" w:line="26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 a pro-rata basis and included in the member’s tax returns. The income tax burden on the earnings taxed to the non-controlling interest holders is not reported by the Company in its consolidated financial statements under U.S. GAAP.</w:t>
      </w:r>
    </w:p>
    <w:p>
      <w:pPr>
        <w:spacing w:after="0" w:line="208" w:lineRule="exact"/>
        <w:rPr>
          <w:sz w:val="20"/>
          <w:szCs w:val="20"/>
          <w:color w:val="auto"/>
        </w:rPr>
      </w:pPr>
    </w:p>
    <w:p>
      <w:pPr>
        <w:spacing w:after="0" w:line="324" w:lineRule="auto"/>
        <w:rPr>
          <w:sz w:val="20"/>
          <w:szCs w:val="20"/>
          <w:color w:val="auto"/>
        </w:rPr>
      </w:pPr>
      <w:r>
        <w:rPr>
          <w:rFonts w:ascii="Arial" w:cs="Arial" w:eastAsia="Arial" w:hAnsi="Arial"/>
          <w:sz w:val="17"/>
          <w:szCs w:val="17"/>
          <w:color w:val="auto"/>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and Deferred Tax Asset</w:t>
      </w:r>
    </w:p>
    <w:p>
      <w:pPr>
        <w:spacing w:after="0" w:line="2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September 23, 2021 in connection to the Reorganization Transaction, the Company recorded a deferred tax asset related to the outside basis difference between U.S. GAAP and reporting for income tax purposes of the Brilliant Earth Group, Inc.’s investment in Brilliant Earth, LLC of $4.4 million. The basis difference resulted from the step-up in basis allowed under Section 743(b) and 197 of the Internal Revenue Code related to the purchase of</w:t>
      </w:r>
    </w:p>
    <w:p>
      <w:pPr>
        <w:spacing w:after="0" w:line="2"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 xml:space="preserve">1,249,999 LLC Units from the Continuing Equity Owners discussed in Note 1, </w:t>
      </w:r>
      <w:r>
        <w:rPr>
          <w:rFonts w:ascii="Arial" w:cs="Arial" w:eastAsia="Arial" w:hAnsi="Arial"/>
          <w:sz w:val="16"/>
          <w:szCs w:val="16"/>
          <w:i w:val="1"/>
          <w:iCs w:val="1"/>
          <w:color w:val="auto"/>
        </w:rPr>
        <w:t>Business and organization,</w:t>
      </w:r>
      <w:r>
        <w:rPr>
          <w:rFonts w:ascii="Arial" w:cs="Arial" w:eastAsia="Arial" w:hAnsi="Arial"/>
          <w:sz w:val="16"/>
          <w:szCs w:val="16"/>
          <w:color w:val="auto"/>
        </w:rPr>
        <w:t xml:space="preserve"> which is expected to be amortized over the useful lives of the underlying assets. In assessing the realizability of deferred tax assets, management determined that it was more likely than not that the deferred tax assets will be realized. No deferred taxes were provided on the outside basis difference resulting from the direct purchase of 8,333,333 newly-issued membership units from Brilliant Earth, LLC since such difference is subject to the indefinite reversal criteria of ASC 740, </w:t>
      </w:r>
      <w:r>
        <w:rPr>
          <w:rFonts w:ascii="Arial" w:cs="Arial" w:eastAsia="Arial" w:hAnsi="Arial"/>
          <w:sz w:val="16"/>
          <w:szCs w:val="16"/>
          <w:i w:val="1"/>
          <w:iCs w:val="1"/>
          <w:color w:val="auto"/>
        </w:rPr>
        <w:t>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jc w:val="both"/>
        <w:ind w:right="600"/>
        <w:spacing w:after="0" w:line="279" w:lineRule="auto"/>
        <w:rPr>
          <w:sz w:val="20"/>
          <w:szCs w:val="20"/>
          <w:color w:val="auto"/>
        </w:rPr>
      </w:pPr>
      <w:r>
        <w:rPr>
          <w:rFonts w:ascii="Arial" w:cs="Arial" w:eastAsia="Arial" w:hAnsi="Arial"/>
          <w:sz w:val="18"/>
          <w:szCs w:val="18"/>
          <w:color w:val="auto"/>
        </w:rPr>
        <w:t>Brilliant Earth Group, Inc.'s income tax benefits were $0.2 million and $0.3 million for the year ended December 31, 2022 and for the period from September 23, 2021 to December 31, 2021, respectively. Brilliant Earth Group, Inc. had no business transactions or activities prior to the IPO, and accordingly, no amounts related to income taxes were incurred by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Total Company earnings used to compute income taxes is as follows (in thousands):</w:t>
      </w:r>
    </w:p>
    <w:p>
      <w:pPr>
        <w:spacing w:after="0" w:line="200" w:lineRule="exact"/>
        <w:rPr>
          <w:sz w:val="20"/>
          <w:szCs w:val="20"/>
          <w:color w:val="auto"/>
        </w:rPr>
      </w:pPr>
    </w:p>
    <w:p>
      <w:pPr>
        <w:spacing w:after="0" w:line="345"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For the period from</w:t>
            </w:r>
          </w:p>
        </w:tc>
      </w:tr>
      <w:tr>
        <w:trPr>
          <w:trHeight w:val="229"/>
        </w:trPr>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For the year ended</w:t>
            </w: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September 23, to December</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20"/>
                <w:szCs w:val="20"/>
                <w:color w:val="auto"/>
              </w:rPr>
            </w:pPr>
          </w:p>
        </w:tc>
        <w:tc>
          <w:tcPr>
            <w:tcW w:w="1960" w:type="dxa"/>
            <w:vAlign w:val="bottom"/>
          </w:tcPr>
          <w:p>
            <w:pPr>
              <w:jc w:val="right"/>
              <w:ind w:right="890"/>
              <w:spacing w:after="0"/>
              <w:rPr>
                <w:sz w:val="20"/>
                <w:szCs w:val="20"/>
                <w:color w:val="auto"/>
              </w:rPr>
            </w:pPr>
            <w:r>
              <w:rPr>
                <w:rFonts w:ascii="Arial" w:cs="Arial" w:eastAsia="Arial" w:hAnsi="Arial"/>
                <w:sz w:val="18"/>
                <w:szCs w:val="18"/>
                <w:b w:val="1"/>
                <w:bCs w:val="1"/>
                <w:color w:val="auto"/>
              </w:rPr>
              <w:t>31,</w:t>
            </w: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6"/>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830"/>
              <w:spacing w:after="0"/>
              <w:rPr>
                <w:sz w:val="20"/>
                <w:szCs w:val="20"/>
                <w:color w:val="auto"/>
              </w:rPr>
            </w:pPr>
            <w:r>
              <w:rPr>
                <w:rFonts w:ascii="Arial" w:cs="Arial" w:eastAsia="Arial" w:hAnsi="Arial"/>
                <w:sz w:val="18"/>
                <w:szCs w:val="18"/>
                <w:b w:val="1"/>
                <w:bCs w:val="1"/>
                <w:color w:val="auto"/>
              </w:rPr>
              <w:t>2021</w:t>
            </w:r>
          </w:p>
        </w:tc>
      </w:tr>
      <w:tr>
        <w:trPr>
          <w:trHeight w:val="40"/>
        </w:trPr>
        <w:tc>
          <w:tcPr>
            <w:tcW w:w="6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257"/>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Pre-tax earnings of the Company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25,940</w:t>
            </w:r>
          </w:p>
        </w:tc>
      </w:tr>
      <w:tr>
        <w:trPr>
          <w:trHeight w:val="243"/>
        </w:trPr>
        <w:tc>
          <w:tcPr>
            <w:tcW w:w="6060" w:type="dxa"/>
            <w:vAlign w:val="bottom"/>
          </w:tcPr>
          <w:p>
            <w:pPr>
              <w:ind w:left="220"/>
              <w:spacing w:after="0"/>
              <w:rPr>
                <w:sz w:val="20"/>
                <w:szCs w:val="20"/>
                <w:color w:val="auto"/>
              </w:rPr>
            </w:pPr>
            <w:r>
              <w:rPr>
                <w:rFonts w:ascii="Arial" w:cs="Arial" w:eastAsia="Arial" w:hAnsi="Arial"/>
                <w:sz w:val="18"/>
                <w:szCs w:val="18"/>
                <w:color w:val="auto"/>
              </w:rPr>
              <w:t>Earnings allocable to NCI (not allocable to the Company)</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(16,890)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(24,728)</w:t>
            </w:r>
          </w:p>
        </w:tc>
      </w:tr>
      <w:tr>
        <w:trPr>
          <w:trHeight w:val="40"/>
        </w:trPr>
        <w:tc>
          <w:tcPr>
            <w:tcW w:w="6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257"/>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Pre-tax earnings of Brilliant Earth, Inc.</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1,212</w:t>
            </w:r>
          </w:p>
        </w:tc>
      </w:tr>
      <w:tr>
        <w:trPr>
          <w:trHeight w:val="243"/>
        </w:trPr>
        <w:tc>
          <w:tcPr>
            <w:tcW w:w="6060" w:type="dxa"/>
            <w:vAlign w:val="bottom"/>
          </w:tcPr>
          <w:p>
            <w:pPr>
              <w:ind w:left="220"/>
              <w:spacing w:after="0"/>
              <w:rPr>
                <w:sz w:val="20"/>
                <w:szCs w:val="20"/>
                <w:color w:val="auto"/>
              </w:rPr>
            </w:pPr>
            <w:r>
              <w:rPr>
                <w:rFonts w:ascii="Arial" w:cs="Arial" w:eastAsia="Arial" w:hAnsi="Arial"/>
                <w:sz w:val="18"/>
                <w:szCs w:val="18"/>
                <w:color w:val="auto"/>
              </w:rPr>
              <w:t>Income tax benefit of Brilliant Earth, Inc.</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316</w:t>
            </w:r>
          </w:p>
        </w:tc>
      </w:tr>
      <w:tr>
        <w:trPr>
          <w:trHeight w:val="40"/>
        </w:trPr>
        <w:tc>
          <w:tcPr>
            <w:tcW w:w="6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29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After tax earnings of Brilliant Earth Group,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9" w:right="4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The components of the benefit from income taxes are as follows (in thousands):</w:t>
            </w: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527"/>
        </w:trPr>
        <w:tc>
          <w:tcPr>
            <w:tcW w:w="6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tcPr>
          <w:p>
            <w:pPr>
              <w:spacing w:after="0"/>
              <w:rPr>
                <w:sz w:val="24"/>
                <w:szCs w:val="24"/>
                <w:color w:val="auto"/>
              </w:rPr>
            </w:pPr>
          </w:p>
        </w:tc>
        <w:tc>
          <w:tcPr>
            <w:tcW w:w="192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December 31, 2021</w:t>
            </w:r>
          </w:p>
        </w:tc>
      </w:tr>
      <w:tr>
        <w:trPr>
          <w:trHeight w:val="41"/>
        </w:trPr>
        <w:tc>
          <w:tcPr>
            <w:tcW w:w="660" w:type="dxa"/>
            <w:vAlign w:val="bottom"/>
          </w:tcPr>
          <w:p>
            <w:pPr>
              <w:spacing w:after="0"/>
              <w:rPr>
                <w:sz w:val="3"/>
                <w:szCs w:val="3"/>
                <w:color w:val="auto"/>
              </w:rPr>
            </w:pPr>
          </w:p>
        </w:tc>
        <w:tc>
          <w:tcPr>
            <w:tcW w:w="60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243"/>
        </w:trPr>
        <w:tc>
          <w:tcPr>
            <w:tcW w:w="66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tax benefit</w:t>
            </w: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2000" w:type="dxa"/>
            <w:vAlign w:val="bottom"/>
            <w:gridSpan w:val="2"/>
          </w:tcPr>
          <w:p>
            <w:pPr>
              <w:ind w:left="16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
        </w:trPr>
        <w:tc>
          <w:tcPr>
            <w:tcW w:w="660" w:type="dxa"/>
            <w:vAlign w:val="bottom"/>
          </w:tcPr>
          <w:p>
            <w:pPr>
              <w:spacing w:after="0"/>
              <w:rPr>
                <w:sz w:val="3"/>
                <w:szCs w:val="3"/>
                <w:color w:val="auto"/>
              </w:rPr>
            </w:pPr>
          </w:p>
        </w:tc>
        <w:tc>
          <w:tcPr>
            <w:tcW w:w="6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83"/>
        </w:trPr>
        <w:tc>
          <w:tcPr>
            <w:tcW w:w="660" w:type="dxa"/>
            <w:vAlign w:val="bottom"/>
          </w:tcPr>
          <w:p>
            <w:pPr>
              <w:spacing w:after="0"/>
              <w:rPr>
                <w:sz w:val="24"/>
                <w:szCs w:val="24"/>
                <w:color w:val="auto"/>
              </w:rPr>
            </w:pPr>
          </w:p>
        </w:tc>
        <w:tc>
          <w:tcPr>
            <w:tcW w:w="6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660" w:type="dxa"/>
            <w:vAlign w:val="bottom"/>
          </w:tcPr>
          <w:p>
            <w:pPr>
              <w:spacing w:after="0"/>
              <w:rPr>
                <w:sz w:val="20"/>
                <w:szCs w:val="20"/>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Total current income tax benefit</w:t>
            </w:r>
          </w:p>
        </w:tc>
        <w:tc>
          <w:tcPr>
            <w:tcW w:w="2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ind w:left="16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40"/>
        </w:trPr>
        <w:tc>
          <w:tcPr>
            <w:tcW w:w="660" w:type="dxa"/>
            <w:vAlign w:val="bottom"/>
          </w:tcPr>
          <w:p>
            <w:pPr>
              <w:spacing w:after="0"/>
              <w:rPr>
                <w:sz w:val="3"/>
                <w:szCs w:val="3"/>
                <w:color w:val="auto"/>
              </w:rPr>
            </w:pPr>
          </w:p>
        </w:tc>
        <w:tc>
          <w:tcPr>
            <w:tcW w:w="6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70"/>
        </w:trPr>
        <w:tc>
          <w:tcPr>
            <w:tcW w:w="660" w:type="dxa"/>
            <w:vAlign w:val="bottom"/>
          </w:tcPr>
          <w:p>
            <w:pPr>
              <w:spacing w:after="0"/>
              <w:rPr>
                <w:sz w:val="23"/>
                <w:szCs w:val="23"/>
                <w:color w:val="auto"/>
              </w:rPr>
            </w:pPr>
          </w:p>
        </w:tc>
        <w:tc>
          <w:tcPr>
            <w:tcW w:w="6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43"/>
        </w:trPr>
        <w:tc>
          <w:tcPr>
            <w:tcW w:w="660" w:type="dxa"/>
            <w:vAlign w:val="bottom"/>
          </w:tcPr>
          <w:p>
            <w:pPr>
              <w:spacing w:after="0"/>
              <w:rPr>
                <w:sz w:val="21"/>
                <w:szCs w:val="21"/>
                <w:color w:val="auto"/>
              </w:rPr>
            </w:pPr>
          </w:p>
        </w:tc>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Deferred tax benefit</w:t>
            </w: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41"/>
        </w:trPr>
        <w:tc>
          <w:tcPr>
            <w:tcW w:w="660" w:type="dxa"/>
            <w:vAlign w:val="bottom"/>
          </w:tcPr>
          <w:p>
            <w:pPr>
              <w:spacing w:after="0"/>
              <w:rPr>
                <w:sz w:val="3"/>
                <w:szCs w:val="3"/>
                <w:color w:val="auto"/>
              </w:rPr>
            </w:pPr>
          </w:p>
        </w:tc>
        <w:tc>
          <w:tcPr>
            <w:tcW w:w="6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63"/>
        </w:trPr>
        <w:tc>
          <w:tcPr>
            <w:tcW w:w="660" w:type="dxa"/>
            <w:vAlign w:val="bottom"/>
          </w:tcPr>
          <w:p>
            <w:pPr>
              <w:spacing w:after="0"/>
              <w:rPr>
                <w:sz w:val="22"/>
                <w:szCs w:val="22"/>
                <w:color w:val="auto"/>
              </w:rPr>
            </w:pPr>
          </w:p>
        </w:tc>
        <w:tc>
          <w:tcPr>
            <w:tcW w:w="6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r>
      <w:tr>
        <w:trPr>
          <w:trHeight w:val="243"/>
        </w:trPr>
        <w:tc>
          <w:tcPr>
            <w:tcW w:w="660" w:type="dxa"/>
            <w:vAlign w:val="bottom"/>
          </w:tcPr>
          <w:p>
            <w:pPr>
              <w:spacing w:after="0"/>
              <w:rPr>
                <w:sz w:val="21"/>
                <w:szCs w:val="21"/>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40"/>
        </w:trPr>
        <w:tc>
          <w:tcPr>
            <w:tcW w:w="660" w:type="dxa"/>
            <w:vAlign w:val="bottom"/>
          </w:tcPr>
          <w:p>
            <w:pPr>
              <w:spacing w:after="0"/>
              <w:rPr>
                <w:sz w:val="3"/>
                <w:szCs w:val="3"/>
                <w:color w:val="auto"/>
              </w:rPr>
            </w:pPr>
          </w:p>
        </w:tc>
        <w:tc>
          <w:tcPr>
            <w:tcW w:w="60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257"/>
        </w:trPr>
        <w:tc>
          <w:tcPr>
            <w:tcW w:w="660" w:type="dxa"/>
            <w:vAlign w:val="bottom"/>
          </w:tcPr>
          <w:p>
            <w:pPr>
              <w:spacing w:after="0"/>
              <w:rPr>
                <w:sz w:val="22"/>
                <w:szCs w:val="22"/>
                <w:color w:val="auto"/>
              </w:rPr>
            </w:pPr>
          </w:p>
        </w:tc>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income tax benefit</w:t>
            </w:r>
          </w:p>
        </w:tc>
        <w:tc>
          <w:tcPr>
            <w:tcW w:w="2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r>
      <w:tr>
        <w:trPr>
          <w:trHeight w:val="270"/>
        </w:trPr>
        <w:tc>
          <w:tcPr>
            <w:tcW w:w="660" w:type="dxa"/>
            <w:vAlign w:val="bottom"/>
          </w:tcPr>
          <w:p>
            <w:pPr>
              <w:spacing w:after="0"/>
              <w:rPr>
                <w:sz w:val="23"/>
                <w:szCs w:val="23"/>
                <w:color w:val="auto"/>
              </w:rPr>
            </w:pPr>
          </w:p>
        </w:tc>
        <w:tc>
          <w:tcPr>
            <w:tcW w:w="60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spacing w:after="0"/>
              <w:rPr>
                <w:sz w:val="23"/>
                <w:szCs w:val="23"/>
                <w:color w:val="auto"/>
              </w:rPr>
            </w:pPr>
          </w:p>
        </w:tc>
      </w:tr>
      <w:tr>
        <w:trPr>
          <w:trHeight w:val="296"/>
        </w:trPr>
        <w:tc>
          <w:tcPr>
            <w:tcW w:w="660" w:type="dxa"/>
            <w:vAlign w:val="bottom"/>
          </w:tcPr>
          <w:p>
            <w:pPr>
              <w:spacing w:after="0"/>
              <w:rPr>
                <w:sz w:val="24"/>
                <w:szCs w:val="24"/>
                <w:color w:val="auto"/>
              </w:rPr>
            </w:pPr>
          </w:p>
        </w:tc>
        <w:tc>
          <w:tcPr>
            <w:tcW w:w="6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Benefit from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r>
      <w:tr>
        <w:trPr>
          <w:trHeight w:val="20"/>
        </w:trPr>
        <w:tc>
          <w:tcPr>
            <w:tcW w:w="660" w:type="dxa"/>
            <w:vAlign w:val="bottom"/>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expected federal statutory rate of 21.0% to the effective rate is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3560" w:type="dxa"/>
            <w:vAlign w:val="bottom"/>
            <w:gridSpan w:val="5"/>
          </w:tcPr>
          <w:p>
            <w:pPr>
              <w:ind w:left="260"/>
              <w:spacing w:after="0"/>
              <w:rPr>
                <w:sz w:val="20"/>
                <w:szCs w:val="20"/>
                <w:color w:val="auto"/>
              </w:rPr>
            </w:pPr>
            <w:r>
              <w:rPr>
                <w:rFonts w:ascii="Arial" w:cs="Arial" w:eastAsia="Arial" w:hAnsi="Arial"/>
                <w:sz w:val="18"/>
                <w:szCs w:val="18"/>
                <w:b w:val="1"/>
                <w:bCs w:val="1"/>
                <w:color w:val="auto"/>
                <w:w w:val="99"/>
              </w:rPr>
              <w:t>For the year ended December 31, 2022</w:t>
            </w:r>
          </w:p>
        </w:tc>
        <w:tc>
          <w:tcPr>
            <w:tcW w:w="160" w:type="dxa"/>
            <w:vAlign w:val="bottom"/>
          </w:tcPr>
          <w:p>
            <w:pPr>
              <w:spacing w:after="0"/>
              <w:rPr>
                <w:sz w:val="20"/>
                <w:szCs w:val="20"/>
                <w:color w:val="auto"/>
              </w:rPr>
            </w:pPr>
          </w:p>
        </w:tc>
        <w:tc>
          <w:tcPr>
            <w:tcW w:w="3220" w:type="dxa"/>
            <w:vAlign w:val="bottom"/>
            <w:gridSpan w:val="3"/>
          </w:tcPr>
          <w:p>
            <w:pPr>
              <w:ind w:left="60"/>
              <w:spacing w:after="0"/>
              <w:rPr>
                <w:sz w:val="20"/>
                <w:szCs w:val="20"/>
                <w:color w:val="auto"/>
              </w:rPr>
            </w:pPr>
            <w:r>
              <w:rPr>
                <w:rFonts w:ascii="Arial" w:cs="Arial" w:eastAsia="Arial" w:hAnsi="Arial"/>
                <w:sz w:val="18"/>
                <w:szCs w:val="18"/>
                <w:b w:val="1"/>
                <w:bCs w:val="1"/>
                <w:color w:val="auto"/>
                <w:w w:val="95"/>
              </w:rPr>
              <w:t>For the year ended December 31, 2021</w:t>
            </w:r>
          </w:p>
        </w:tc>
        <w:tc>
          <w:tcPr>
            <w:tcW w:w="0" w:type="dxa"/>
            <w:vAlign w:val="bottom"/>
          </w:tcPr>
          <w:p>
            <w:pPr>
              <w:spacing w:after="0"/>
              <w:rPr>
                <w:sz w:val="1"/>
                <w:szCs w:val="1"/>
                <w:color w:val="auto"/>
              </w:rPr>
            </w:pPr>
          </w:p>
        </w:tc>
      </w:tr>
      <w:tr>
        <w:trPr>
          <w:trHeight w:val="40"/>
        </w:trPr>
        <w:tc>
          <w:tcPr>
            <w:tcW w:w="43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Tax effect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ind w:left="6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1620" w:type="dxa"/>
            <w:vAlign w:val="bottom"/>
            <w:gridSpan w:val="2"/>
          </w:tcPr>
          <w:p>
            <w:pPr>
              <w:ind w:left="320"/>
              <w:spacing w:after="0"/>
              <w:rPr>
                <w:sz w:val="20"/>
                <w:szCs w:val="20"/>
                <w:color w:val="auto"/>
              </w:rPr>
            </w:pPr>
            <w:r>
              <w:rPr>
                <w:rFonts w:ascii="Arial" w:cs="Arial" w:eastAsia="Arial" w:hAnsi="Arial"/>
                <w:sz w:val="18"/>
                <w:szCs w:val="18"/>
                <w:b w:val="1"/>
                <w:bCs w:val="1"/>
                <w:color w:val="auto"/>
              </w:rPr>
              <w:t>Tax effect</w:t>
            </w:r>
          </w:p>
        </w:tc>
        <w:tc>
          <w:tcPr>
            <w:tcW w:w="1600" w:type="dxa"/>
            <w:vAlign w:val="bottom"/>
          </w:tcPr>
          <w:p>
            <w:pPr>
              <w:ind w:left="62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40"/>
        </w:trPr>
        <w:tc>
          <w:tcPr>
            <w:tcW w:w="43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Brilliant Earth Group, Inc. expected tax expense at</w:t>
            </w:r>
          </w:p>
        </w:tc>
        <w:tc>
          <w:tcPr>
            <w:tcW w:w="1240" w:type="dxa"/>
            <w:vAlign w:val="bottom"/>
            <w:vMerge w:val="restart"/>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w w:val="79"/>
              </w:rPr>
              <w:t>$</w:t>
            </w:r>
          </w:p>
        </w:tc>
        <w:tc>
          <w:tcPr>
            <w:tcW w:w="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413</w:t>
            </w:r>
          </w:p>
        </w:tc>
        <w:tc>
          <w:tcPr>
            <w:tcW w:w="10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21.0%</w:t>
            </w:r>
          </w:p>
        </w:tc>
        <w:tc>
          <w:tcPr>
            <w:tcW w:w="8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80" w:type="dxa"/>
            <w:vAlign w:val="bottom"/>
            <w:shd w:val="clear" w:color="auto" w:fill="CCEEFF"/>
          </w:tcPr>
          <w:p>
            <w:pPr>
              <w:spacing w:after="0"/>
              <w:rPr>
                <w:sz w:val="18"/>
                <w:szCs w:val="18"/>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21.0%</w:t>
            </w:r>
          </w:p>
        </w:tc>
        <w:tc>
          <w:tcPr>
            <w:tcW w:w="0" w:type="dxa"/>
            <w:vAlign w:val="bottom"/>
          </w:tcPr>
          <w:p>
            <w:pPr>
              <w:spacing w:after="0"/>
              <w:rPr>
                <w:sz w:val="1"/>
                <w:szCs w:val="1"/>
                <w:color w:val="auto"/>
              </w:rPr>
            </w:pPr>
          </w:p>
        </w:tc>
      </w:tr>
      <w:tr>
        <w:trPr>
          <w:trHeight w:val="251"/>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1240" w:type="dxa"/>
            <w:vAlign w:val="bottom"/>
            <w:tcBorders>
              <w:bottom w:val="single" w:sz="8" w:color="CCEEFF"/>
            </w:tcBorders>
            <w:vMerge w:val="continue"/>
            <w:shd w:val="clear" w:color="auto" w:fill="CCEEFF"/>
          </w:tcPr>
          <w:p>
            <w:pPr>
              <w:spacing w:after="0"/>
              <w:rPr>
                <w:sz w:val="21"/>
                <w:szCs w:val="21"/>
                <w:color w:val="auto"/>
              </w:rPr>
            </w:pPr>
          </w:p>
        </w:tc>
        <w:tc>
          <w:tcPr>
            <w:tcW w:w="4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vMerge w:val="continue"/>
            <w:shd w:val="clear" w:color="auto" w:fill="CCEEFF"/>
          </w:tcPr>
          <w:p>
            <w:pPr>
              <w:spacing w:after="0"/>
              <w:rPr>
                <w:sz w:val="21"/>
                <w:szCs w:val="21"/>
                <w:color w:val="auto"/>
              </w:rPr>
            </w:pPr>
          </w:p>
        </w:tc>
        <w:tc>
          <w:tcPr>
            <w:tcW w:w="154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w w:val="94"/>
              </w:rPr>
              <w:t>Less: equity interest in earnings of subsidiary not taxable</w:t>
            </w:r>
          </w:p>
        </w:tc>
        <w:tc>
          <w:tcPr>
            <w:tcW w:w="1240" w:type="dxa"/>
            <w:vAlign w:val="bottom"/>
          </w:tcPr>
          <w:p>
            <w:pPr>
              <w:spacing w:after="0"/>
              <w:rPr>
                <w:sz w:val="19"/>
                <w:szCs w:val="19"/>
                <w:color w:val="auto"/>
              </w:rPr>
            </w:pPr>
          </w:p>
        </w:tc>
        <w:tc>
          <w:tcPr>
            <w:tcW w:w="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(645)</w:t>
            </w:r>
          </w:p>
        </w:tc>
        <w:tc>
          <w:tcPr>
            <w:tcW w:w="100" w:type="dxa"/>
            <w:vAlign w:val="bottom"/>
          </w:tcPr>
          <w:p>
            <w:pPr>
              <w:spacing w:after="0"/>
              <w:rPr>
                <w:sz w:val="19"/>
                <w:szCs w:val="19"/>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(32.8)%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(272)</w:t>
            </w:r>
          </w:p>
        </w:tc>
        <w:tc>
          <w:tcPr>
            <w:tcW w:w="8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(22.4)%</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(permanent difference)</w:t>
            </w:r>
          </w:p>
        </w:tc>
        <w:tc>
          <w:tcPr>
            <w:tcW w:w="124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3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Brilliant Earth Group, Inc. level pre-tax loss as adjusted</w:t>
            </w:r>
          </w:p>
        </w:tc>
        <w:tc>
          <w:tcPr>
            <w:tcW w:w="124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(232)</w:t>
            </w:r>
          </w:p>
        </w:tc>
        <w:tc>
          <w:tcPr>
            <w:tcW w:w="10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(1.4)%</w:t>
            </w:r>
          </w:p>
        </w:tc>
        <w:tc>
          <w:tcPr>
            <w:tcW w:w="0" w:type="dxa"/>
            <w:vAlign w:val="bottom"/>
          </w:tcPr>
          <w:p>
            <w:pPr>
              <w:spacing w:after="0"/>
              <w:rPr>
                <w:sz w:val="1"/>
                <w:szCs w:val="1"/>
                <w:color w:val="auto"/>
              </w:rPr>
            </w:pPr>
          </w:p>
        </w:tc>
      </w:tr>
      <w:tr>
        <w:trPr>
          <w:trHeight w:val="251"/>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tax</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Income (loss) from investee per K-1 (inside basis</w:t>
            </w:r>
          </w:p>
        </w:tc>
        <w:tc>
          <w:tcPr>
            <w:tcW w:w="1240" w:type="dxa"/>
            <w:vAlign w:val="bottom"/>
          </w:tcPr>
          <w:p>
            <w:pPr>
              <w:spacing w:after="0"/>
              <w:rPr>
                <w:sz w:val="19"/>
                <w:szCs w:val="19"/>
                <w:color w:val="auto"/>
              </w:rPr>
            </w:pPr>
          </w:p>
        </w:tc>
        <w:tc>
          <w:tcPr>
            <w:tcW w:w="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602</w:t>
            </w:r>
          </w:p>
        </w:tc>
        <w:tc>
          <w:tcPr>
            <w:tcW w:w="100" w:type="dxa"/>
            <w:vAlign w:val="bottom"/>
          </w:tcPr>
          <w:p>
            <w:pPr>
              <w:spacing w:after="0"/>
              <w:rPr>
                <w:sz w:val="19"/>
                <w:szCs w:val="19"/>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30.6%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(148)</w:t>
            </w:r>
          </w:p>
        </w:tc>
        <w:tc>
          <w:tcPr>
            <w:tcW w:w="8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(12.2)%</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difference)</w:t>
            </w:r>
          </w:p>
        </w:tc>
        <w:tc>
          <w:tcPr>
            <w:tcW w:w="124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step up in outside basis</w:t>
            </w:r>
          </w:p>
        </w:tc>
        <w:tc>
          <w:tcPr>
            <w:tcW w:w="1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(538)</w:t>
            </w:r>
          </w:p>
        </w:tc>
        <w:tc>
          <w:tcPr>
            <w:tcW w:w="1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(27.4)%</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(12.5)%</w:t>
            </w:r>
          </w:p>
        </w:tc>
        <w:tc>
          <w:tcPr>
            <w:tcW w:w="0" w:type="dxa"/>
            <w:vAlign w:val="bottom"/>
          </w:tcPr>
          <w:p>
            <w:pPr>
              <w:spacing w:after="0"/>
              <w:rPr>
                <w:sz w:val="1"/>
                <w:szCs w:val="1"/>
                <w:color w:val="auto"/>
              </w:rPr>
            </w:pPr>
          </w:p>
        </w:tc>
      </w:tr>
      <w:tr>
        <w:trPr>
          <w:trHeight w:val="270"/>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Income tax benefit at effective rate</w:t>
            </w: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(168)</w:t>
            </w:r>
          </w:p>
        </w:tc>
        <w:tc>
          <w:tcPr>
            <w:tcW w:w="100" w:type="dxa"/>
            <w:vAlign w:val="bottom"/>
            <w:tcBorders>
              <w:bottom w:val="single" w:sz="8" w:color="auto"/>
            </w:tcBorders>
          </w:tcPr>
          <w:p>
            <w:pPr>
              <w:spacing w:after="0"/>
              <w:rPr>
                <w:sz w:val="23"/>
                <w:szCs w:val="23"/>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(8.6)%</w:t>
            </w:r>
          </w:p>
        </w:tc>
        <w:tc>
          <w:tcPr>
            <w:tcW w:w="8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w:t>
            </w:r>
          </w:p>
        </w:tc>
        <w:tc>
          <w:tcPr>
            <w:tcW w:w="80" w:type="dxa"/>
            <w:vAlign w:val="bottom"/>
          </w:tcPr>
          <w:p>
            <w:pPr>
              <w:spacing w:after="0"/>
              <w:rPr>
                <w:sz w:val="23"/>
                <w:szCs w:val="23"/>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(26.1)%</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 assets are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4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December 31,</w:t>
            </w:r>
          </w:p>
        </w:tc>
      </w:tr>
      <w:tr>
        <w:trPr>
          <w:trHeight w:val="40"/>
        </w:trPr>
        <w:tc>
          <w:tcPr>
            <w:tcW w:w="5020" w:type="dxa"/>
            <w:vAlign w:val="bottom"/>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237"/>
        </w:trPr>
        <w:tc>
          <w:tcPr>
            <w:tcW w:w="5020" w:type="dxa"/>
            <w:vAlign w:val="bottom"/>
          </w:tcPr>
          <w:p>
            <w:pPr>
              <w:spacing w:after="0"/>
              <w:rPr>
                <w:sz w:val="20"/>
                <w:szCs w:val="20"/>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0" w:type="dxa"/>
            <w:vAlign w:val="bottom"/>
          </w:tcPr>
          <w:p>
            <w:pPr>
              <w:jc w:val="right"/>
              <w:ind w:right="1190"/>
              <w:spacing w:after="0"/>
              <w:rPr>
                <w:sz w:val="20"/>
                <w:szCs w:val="20"/>
                <w:color w:val="auto"/>
              </w:rPr>
            </w:pPr>
            <w:r>
              <w:rPr>
                <w:rFonts w:ascii="Arial" w:cs="Arial" w:eastAsia="Arial" w:hAnsi="Arial"/>
                <w:sz w:val="18"/>
                <w:szCs w:val="18"/>
                <w:b w:val="1"/>
                <w:bCs w:val="1"/>
                <w:color w:val="auto"/>
              </w:rPr>
              <w:t>2021</w:t>
            </w:r>
          </w:p>
        </w:tc>
      </w:tr>
      <w:tr>
        <w:trPr>
          <w:trHeight w:val="40"/>
        </w:trPr>
        <w:tc>
          <w:tcPr>
            <w:tcW w:w="5020" w:type="dxa"/>
            <w:vAlign w:val="bottom"/>
            <w:tcBorders>
              <w:bottom w:val="single" w:sz="8" w:color="CCEEFF"/>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Outside basis difference in investment</w:t>
            </w:r>
          </w:p>
        </w:tc>
        <w:tc>
          <w:tcPr>
            <w:tcW w:w="2440" w:type="dxa"/>
            <w:vAlign w:val="bottom"/>
          </w:tcPr>
          <w:p>
            <w:pPr>
              <w:jc w:val="right"/>
              <w:ind w:right="22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8,464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4,091</w:t>
            </w:r>
          </w:p>
        </w:tc>
      </w:tr>
      <w:tr>
        <w:trPr>
          <w:trHeight w:val="40"/>
        </w:trPr>
        <w:tc>
          <w:tcPr>
            <w:tcW w:w="50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0" w:type="dxa"/>
            <w:vAlign w:val="bottom"/>
          </w:tcPr>
          <w:p>
            <w:pPr>
              <w:spacing w:after="0"/>
              <w:rPr>
                <w:sz w:val="3"/>
                <w:szCs w:val="3"/>
                <w:color w:val="auto"/>
              </w:rPr>
            </w:pPr>
          </w:p>
        </w:tc>
      </w:tr>
      <w:tr>
        <w:trPr>
          <w:trHeight w:val="284"/>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operating loss carryforwards</w:t>
            </w:r>
          </w:p>
        </w:tc>
        <w:tc>
          <w:tcPr>
            <w:tcW w:w="24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484</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Net deferred tax asset</w:t>
            </w:r>
          </w:p>
        </w:tc>
        <w:tc>
          <w:tcPr>
            <w:tcW w:w="2440" w:type="dxa"/>
            <w:vAlign w:val="bottom"/>
            <w:tcBorders>
              <w:top w:val="single" w:sz="8" w:color="auto"/>
              <w:bottom w:val="single" w:sz="8" w:color="auto"/>
            </w:tcBorders>
          </w:tcPr>
          <w:p>
            <w:pPr>
              <w:jc w:val="right"/>
              <w:ind w:right="22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8,948</w:t>
            </w:r>
          </w:p>
        </w:tc>
        <w:tc>
          <w:tcPr>
            <w:tcW w:w="100" w:type="dxa"/>
            <w:vAlign w:val="bottom"/>
          </w:tcPr>
          <w:p>
            <w:pPr>
              <w:spacing w:after="0"/>
              <w:rPr>
                <w:sz w:val="23"/>
                <w:szCs w:val="23"/>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2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4,407</w:t>
            </w:r>
          </w:p>
        </w:tc>
      </w:tr>
      <w:tr>
        <w:trPr>
          <w:trHeight w:val="27"/>
        </w:trPr>
        <w:tc>
          <w:tcPr>
            <w:tcW w:w="502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Company recognizes deferred tax assets to the extent it believes, based on available evidence, that it is more likely than not that they will be realized. In making such a determination, the Company considers all available positive and negative evidence, including future reversals of existing taxable temporary differences, projected future</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taxable income, tax planning strategies, and recent results of operations. For the year ended December 31, 2022 and the period from September 23, 2021 to December 31, 2021, the Company evaluated the likelihood it would realize its deferred tax assets and determined the probability to be more likely than not, and accordingly, no valuation allowance was recognized.</w:t>
      </w:r>
    </w:p>
    <w:p>
      <w:pPr>
        <w:spacing w:after="0" w:line="217"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As of December 31, 2022, the Company has total federal net operating loss carryforwards (“NOLs”) of $1.9 million that have no expiration date. The Company also has various immaterial state NOLs that begin to expire in 2031. Management believes on a more likely than not basis that the Company will be able to realize the tax benefit of its NOLs carryforwards.</w:t>
      </w:r>
    </w:p>
    <w:p>
      <w:pPr>
        <w:spacing w:after="0" w:line="1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66"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color w:val="auto"/>
        </w:rPr>
        <w:t xml:space="preserve">The Company follows the provisions of FASB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ASC 740-10 prescribes a comprehensive model for the recognition, measurement, presentation and disclosure in financial statements of uncertain tax positions that have been taken or expected to be taken on a tax return. No liability related to uncertain tax positions is recorded in the consolidated financial statements.</w:t>
      </w:r>
    </w:p>
    <w:p>
      <w:pPr>
        <w:spacing w:after="0" w:line="20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As of December 31, 2022, the Company had not incurred or recorded any penalties or interest related to income taxes in the consolidated statements of operations. Additionally, the Company did not record any uncertain tax positions on the consolidated balance sheets as management concluded that no such positions existed as of December 31, 2022.</w:t>
      </w:r>
    </w:p>
    <w:p>
      <w:pPr>
        <w:spacing w:after="0" w:line="217" w:lineRule="exact"/>
        <w:rPr>
          <w:sz w:val="20"/>
          <w:szCs w:val="20"/>
          <w:color w:val="auto"/>
        </w:rPr>
      </w:pPr>
    </w:p>
    <w:p>
      <w:pPr>
        <w:ind w:right="580"/>
        <w:spacing w:after="0" w:line="293" w:lineRule="auto"/>
        <w:rPr>
          <w:sz w:val="20"/>
          <w:szCs w:val="20"/>
          <w:color w:val="auto"/>
        </w:rPr>
      </w:pPr>
      <w:r>
        <w:rPr>
          <w:rFonts w:ascii="Arial" w:cs="Arial" w:eastAsia="Arial" w:hAnsi="Arial"/>
          <w:sz w:val="18"/>
          <w:szCs w:val="18"/>
          <w:color w:val="auto"/>
        </w:rPr>
        <w:t>The Company is subject to examination for the year ended December 31, 2022 and the period from September 22, 2021 to December 31, 2021. The Company is not currently subject to income tax audits in any U.S. or state jurisdictions for any tax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 years pursuant to Sections 743(b) and 197 of the Code. The Company will only recognize a deferred tax asset for financial reporting purposes when it is “more-likely-than-not” that the tax benefit will be realized.</w:t>
      </w:r>
    </w:p>
    <w:p>
      <w:pPr>
        <w:spacing w:after="0" w:line="220"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In addition, as part of the IPO, the Company entered into a TRA with the Continuing Equity Owners to pay 85% of the tax savings from the tax basis adjustment to them as such savings are realized. Amounts payable under the TRA are contingent upon, among other things, generation of sufficient future taxable income during the term of the TRA. The amounts to be recorded for both the deferred tax assets and the liability for our obligations under the TRA will be estimated at the time of any purchase or redemption as a reduction to shareholders’ equity, and the effects of changes in any of our estimates after this date will be included in net income. Similarly, the effect of subsequent changes in the enacted tax rates will be included in net income.</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part of the IPO, the purchase of 1,249,999 LLC Units from the Continuing Equity Owners triggered a tax basis increase subject to the provisions of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As of December 31, 2022, related to the TRA, the Company has recorded (i) a deferred tax asset in the amount of $8.5 million, (ii) a corresponding estimated liability with a balance of $7.4 million representing 85% of the projected tax benefits to the TRA Owners; and (iii) $1.1 million of additional paid-in capital.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In the ordinary course of business, the Company may be subject from time to time to various proceedings, lawsuits, disputes or claims. In addition, the Company is regularly audited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spacing w:after="0" w:line="209"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On February 17, 2023, Plaintiff Tanisha Roberson filed a complaint against the Company in the United States District Court for Northern District of Illinois. The complaint alleges, on behalf of a putative class, that the Company’s “Virtual Try On” feature violates the Illinois Biometric Information Privacy Act. The plaintiff seeks statutory damages, injunctive relief, attorneys’ fees and costs, and other unspecified damages. As of the date of this Annual Report on Form 10-K, the Company’s initial response to the complaint is not yet due. The Company intends to vigorously defend the alleged claims of the plaintiff and the putative class. At this time, any liability related to the alleged claims is not currently probable or reasonably estimable.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Non-Income Related Taxes</w:t>
      </w:r>
    </w:p>
    <w:p>
      <w:pPr>
        <w:spacing w:after="0" w:line="238"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The Company collects and remits sales and use taxes in a variety of jurisdictions across the U.S. The amounts payable to relevant sales and use tax authorities are accrued in the period incurred and presented on the balance sheet as a component of accrued expenses and other current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From time to time in the normal course of business, the Company will enter into agreements with suppliers or service providers. As of December 31, 2022, unconditional future minimum payments under agreements to purchase services primarily related to software maintenance and marketing and advertising spending. As of December 31, 2022, these commitments with a remaining term in excess of 12 months totaled $5.3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Commitments</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may enter into commitments to expand various locations, which generally include design, store construction and improvements. As of December 31, 2022, these commitments totaled $2.8 million, related to the opening of new locations.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maintains a qualified defined contribution plan under Section 401(k) of the Internal Revenue Code, which provides for voluntary contributions from the Company and its employees. Contributions from the Company were $0.9 million, $0.5 million and $0.4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43"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On March 10, 2023, SVB was closed by the California Department of Financial Protection and Innovation, and the FDIC was appointed as receiver. On March 14, 2023, the FDIC announced the establishment of the Bridge Bank, which assumed the deposits and obligations of SVB. The FDIC further announced that all contracts entered into with SVB before it failed were transferred into the Bridge Bank by the FDIC and the Bridge Bank is obligated to and has the full ability to perform SVB’s contractual obligations. As of the date these financial statements are issued, the Company’s deposit balance at the Bridge Bank was approximately $0.2 million. The Company does not anticipate any losses with respect to its funds that had been deposited with SVB.</w:t>
      </w:r>
    </w:p>
    <w:p>
      <w:pPr>
        <w:spacing w:after="0" w:line="18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 xml:space="preserve">As described in Note 8, </w:t>
      </w:r>
      <w:r>
        <w:rPr>
          <w:rFonts w:ascii="Arial" w:cs="Arial" w:eastAsia="Arial" w:hAnsi="Arial"/>
          <w:sz w:val="18"/>
          <w:szCs w:val="18"/>
          <w:i w:val="1"/>
          <w:iCs w:val="1"/>
          <w:color w:val="auto"/>
        </w:rPr>
        <w:t>Debt</w:t>
      </w:r>
      <w:r>
        <w:rPr>
          <w:rFonts w:ascii="Arial" w:cs="Arial" w:eastAsia="Arial" w:hAnsi="Arial"/>
          <w:sz w:val="18"/>
          <w:szCs w:val="18"/>
          <w:color w:val="auto"/>
        </w:rPr>
        <w:t>, the Company also has a $65.0 million secured term loan credit facility and a secured revolving credit facility in an amount of up to $40.0 million with SVB. The Company continues to monitor developments, including additional announcements from regulatory authorities, that could impact the SVB Credit Facilities.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 and procedures</w:t>
      </w:r>
    </w:p>
    <w:p>
      <w:pPr>
        <w:spacing w:after="0" w:line="270"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relative to their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0"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Annual Report on Form 10-K. Based on this evaluation, our principal executive officer and principal financial officer concluded that, as of December 31, 2022, our disclosure controls and procedures were effective at the reasonable assurance level.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the financial statements for external purposes in accordance with U.S. GAAP.</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internal control over financial reporting includes policies and procedures that:</w:t>
      </w:r>
    </w:p>
    <w:p>
      <w:pPr>
        <w:spacing w:after="0" w:line="23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5480"/>
        <w:spacing w:after="0"/>
        <w:rPr>
          <w:rFonts w:ascii="Arial" w:cs="Arial" w:eastAsia="Arial" w:hAnsi="Arial"/>
          <w:sz w:val="17"/>
          <w:szCs w:val="17"/>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328"/>
        <w:spacing w:after="0" w:line="258"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receipts and expenditures are being made only in accordance with authorizations of management and the directors; and</w:t>
      </w:r>
    </w:p>
    <w:p>
      <w:pPr>
        <w:ind w:left="660" w:right="20" w:hanging="328"/>
        <w:spacing w:after="0" w:line="24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Our management, with the participation of our principal executive officer and principal financial officer, evaluated the effectiveness of our internal control over financial reporting as of December 31, 2022, based on the criteria described in the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Based on the results of its evaluation, management concluded that our internal control over financial reporting was effective as of December 31, 2022.</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report does not include an attestation report of internal controls from our independent registered public accounting firm due to our status as an emerging growth company under the JOBS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3"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December 31, 2022 that have materially affected, or are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We have adopted a written code of business conduct and ethics, which applies to all of our directors, officers and employees, including our principal executive officer and our principal financial and accounting officer. Our Code of Business Conduct and Ethics is available on our website www.brilliantearth.com in the “Investor Relations” section under “Governance – Governance Overview.” In addition, we intend to post on our website all disclosures that are required by law or listing rules of the Nasdaq Global Market concerning any amendments to, or waivers from, any provision of our Code of Business Conduct and Ethics. The information contained on our website is not incorporated by reference into this Annual Report on Form 10-K.</w:t>
      </w:r>
    </w:p>
    <w:p>
      <w:pPr>
        <w:spacing w:after="0" w:line="173"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The remaining information required by this item will be included under the captions “Election of Directors,” “Executive Officers,” and Corporate Governance” in our Proxy Statement for our 2023 Annual Meeting of Stockholders to be filed with the SEC within 120 days of the fiscal year ended December 31, 2022 (the “2023 Proxy Statement”) and is incorporated herein by reference.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The information required by this item will be included under the captions “Director Compensation,” “Executive Compensation” and “Other Matters— Compensation Committee Interlocks and Insider Participation” in the 2023 Proxy Statement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97"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color w:val="auto"/>
        </w:rPr>
        <w:t>The information required by this item will be included under the captions “Security Ownership of Certain Beneficial Owners and Management” and “Equity Compensation Plan Information” in the 2023 Proxy Statement and is incorporated herein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color w:val="auto"/>
        </w:rPr>
        <w:t>The information required by this item will be included [under the captions “Certain Relationships and Related Person Transactions” and “Corporate Governance” in the 2023 Proxy Statement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70" w:lineRule="exact"/>
        <w:rPr>
          <w:sz w:val="20"/>
          <w:szCs w:val="20"/>
          <w:color w:val="auto"/>
        </w:rPr>
      </w:pPr>
    </w:p>
    <w:p>
      <w:pPr>
        <w:spacing w:after="0" w:line="288" w:lineRule="auto"/>
        <w:rPr>
          <w:sz w:val="20"/>
          <w:szCs w:val="20"/>
          <w:color w:val="auto"/>
        </w:rPr>
      </w:pPr>
      <w:r>
        <w:rPr>
          <w:rFonts w:ascii="Arial" w:cs="Arial" w:eastAsia="Arial" w:hAnsi="Arial"/>
          <w:sz w:val="18"/>
          <w:szCs w:val="18"/>
          <w:color w:val="auto"/>
        </w:rPr>
        <w:t xml:space="preserve">The information required by this item will be included under the caption “Independent Registered Public Accounting Firm Fees and Other Matters” in the </w:t>
      </w:r>
      <w:r>
        <w:rPr>
          <w:rFonts w:ascii="Arial" w:cs="Arial" w:eastAsia="Arial" w:hAnsi="Arial"/>
          <w:sz w:val="21"/>
          <w:szCs w:val="21"/>
          <w:color w:val="auto"/>
        </w:rPr>
        <w:t xml:space="preserve">2023 </w:t>
      </w:r>
      <w:r>
        <w:rPr>
          <w:rFonts w:ascii="Arial" w:cs="Arial" w:eastAsia="Arial" w:hAnsi="Arial"/>
          <w:sz w:val="17"/>
          <w:szCs w:val="17"/>
          <w:color w:val="auto"/>
        </w:rPr>
        <w:t>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9" w:right="47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15. Exhibit and Financial Statement Schedule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60" w:type="dxa"/>
            <w:vAlign w:val="bottom"/>
            <w:gridSpan w:val="2"/>
          </w:tcPr>
          <w:p>
            <w:pPr>
              <w:ind w:left="500"/>
              <w:spacing w:after="0"/>
              <w:rPr>
                <w:sz w:val="20"/>
                <w:szCs w:val="20"/>
                <w:color w:val="auto"/>
              </w:rPr>
            </w:pPr>
            <w:r>
              <w:rPr>
                <w:rFonts w:ascii="Arial" w:cs="Arial" w:eastAsia="Arial" w:hAnsi="Arial"/>
                <w:sz w:val="14"/>
                <w:szCs w:val="14"/>
                <w:color w:val="auto"/>
              </w:rPr>
              <w:t>Incorporated by Reference</w:t>
            </w: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6"/>
        </w:trPr>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r>
      <w:tr>
        <w:trPr>
          <w:trHeight w:val="332"/>
        </w:trPr>
        <w:tc>
          <w:tcPr>
            <w:tcW w:w="1140" w:type="dxa"/>
            <w:vAlign w:val="bottom"/>
          </w:tcPr>
          <w:p>
            <w:pPr>
              <w:jc w:val="center"/>
              <w:spacing w:after="0"/>
              <w:rPr>
                <w:sz w:val="20"/>
                <w:szCs w:val="20"/>
                <w:color w:val="auto"/>
              </w:rPr>
            </w:pPr>
            <w:r>
              <w:rPr>
                <w:rFonts w:ascii="Arial" w:cs="Arial" w:eastAsia="Arial" w:hAnsi="Arial"/>
                <w:sz w:val="14"/>
                <w:szCs w:val="14"/>
                <w:color w:val="auto"/>
                <w:w w:val="98"/>
              </w:rPr>
              <w:t>Exhibit Number</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4"/>
          </w:tcPr>
          <w:p>
            <w:pPr>
              <w:ind w:left="780"/>
              <w:spacing w:after="0"/>
              <w:rPr>
                <w:sz w:val="20"/>
                <w:szCs w:val="20"/>
                <w:color w:val="auto"/>
              </w:rPr>
            </w:pPr>
            <w:r>
              <w:rPr>
                <w:rFonts w:ascii="Arial" w:cs="Arial" w:eastAsia="Arial" w:hAnsi="Arial"/>
                <w:sz w:val="14"/>
                <w:szCs w:val="14"/>
                <w:color w:val="auto"/>
              </w:rPr>
              <w:t>Exhibit Description</w:t>
            </w:r>
          </w:p>
        </w:tc>
        <w:tc>
          <w:tcPr>
            <w:tcW w:w="920" w:type="dxa"/>
            <w:vAlign w:val="bottom"/>
          </w:tcPr>
          <w:p>
            <w:pPr>
              <w:jc w:val="center"/>
              <w:spacing w:after="0"/>
              <w:rPr>
                <w:sz w:val="20"/>
                <w:szCs w:val="20"/>
                <w:color w:val="auto"/>
              </w:rPr>
            </w:pPr>
            <w:r>
              <w:rPr>
                <w:rFonts w:ascii="Arial" w:cs="Arial" w:eastAsia="Arial" w:hAnsi="Arial"/>
                <w:sz w:val="14"/>
                <w:szCs w:val="14"/>
                <w:color w:val="auto"/>
                <w:w w:val="97"/>
              </w:rPr>
              <w:t>Form</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File No.</w:t>
            </w:r>
          </w:p>
        </w:tc>
        <w:tc>
          <w:tcPr>
            <w:tcW w:w="1080" w:type="dxa"/>
            <w:vAlign w:val="bottom"/>
          </w:tcPr>
          <w:p>
            <w:pPr>
              <w:jc w:val="center"/>
              <w:ind w:right="28"/>
              <w:spacing w:after="0"/>
              <w:rPr>
                <w:sz w:val="20"/>
                <w:szCs w:val="20"/>
                <w:color w:val="auto"/>
              </w:rPr>
            </w:pPr>
            <w:r>
              <w:rPr>
                <w:rFonts w:ascii="Arial" w:cs="Arial" w:eastAsia="Arial" w:hAnsi="Arial"/>
                <w:sz w:val="14"/>
                <w:szCs w:val="14"/>
                <w:color w:val="auto"/>
                <w:w w:val="99"/>
              </w:rPr>
              <w:t>Exhibit</w:t>
            </w:r>
          </w:p>
        </w:tc>
        <w:tc>
          <w:tcPr>
            <w:tcW w:w="1220" w:type="dxa"/>
            <w:vAlign w:val="bottom"/>
          </w:tcPr>
          <w:p>
            <w:pPr>
              <w:jc w:val="center"/>
              <w:ind w:right="68"/>
              <w:spacing w:after="0"/>
              <w:rPr>
                <w:sz w:val="20"/>
                <w:szCs w:val="20"/>
                <w:color w:val="auto"/>
              </w:rPr>
            </w:pPr>
            <w:r>
              <w:rPr>
                <w:rFonts w:ascii="Arial" w:cs="Arial" w:eastAsia="Arial" w:hAnsi="Arial"/>
                <w:sz w:val="14"/>
                <w:szCs w:val="14"/>
                <w:color w:val="auto"/>
                <w:w w:val="95"/>
              </w:rPr>
              <w:t>Filing Date</w:t>
            </w:r>
          </w:p>
        </w:tc>
        <w:tc>
          <w:tcPr>
            <w:tcW w:w="1680" w:type="dxa"/>
            <w:vAlign w:val="bottom"/>
          </w:tcPr>
          <w:p>
            <w:pPr>
              <w:ind w:left="60"/>
              <w:spacing w:after="0"/>
              <w:rPr>
                <w:sz w:val="20"/>
                <w:szCs w:val="20"/>
                <w:color w:val="auto"/>
              </w:rPr>
            </w:pPr>
            <w:r>
              <w:rPr>
                <w:rFonts w:ascii="Arial" w:cs="Arial" w:eastAsia="Arial" w:hAnsi="Arial"/>
                <w:sz w:val="14"/>
                <w:szCs w:val="14"/>
                <w:color w:val="auto"/>
                <w:w w:val="97"/>
              </w:rPr>
              <w:t>Filed / Furnished Herewith</w:t>
            </w:r>
          </w:p>
        </w:tc>
      </w:tr>
      <w:tr>
        <w:trPr>
          <w:trHeight w:val="26"/>
        </w:trPr>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69"/>
        </w:trPr>
        <w:tc>
          <w:tcPr>
            <w:tcW w:w="11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3980" w:type="dxa"/>
            <w:vAlign w:val="bottom"/>
            <w:tcBorders>
              <w:bottom w:val="single" w:sz="8" w:color="0000FF"/>
            </w:tcBorders>
            <w:gridSpan w:val="5"/>
          </w:tcPr>
          <w:p>
            <w:pPr>
              <w:spacing w:after="0"/>
              <w:rPr>
                <w:rFonts w:ascii="Arial" w:cs="Arial" w:eastAsia="Arial" w:hAnsi="Arial"/>
                <w:sz w:val="14"/>
                <w:szCs w:val="14"/>
                <w:color w:val="0000FF"/>
                <w:w w:val="94"/>
              </w:rPr>
            </w:pPr>
            <w:hyperlink r:id="rId162">
              <w:r>
                <w:rPr>
                  <w:rFonts w:ascii="Arial" w:cs="Arial" w:eastAsia="Arial" w:hAnsi="Arial"/>
                  <w:sz w:val="14"/>
                  <w:szCs w:val="14"/>
                  <w:color w:val="0000FF"/>
                  <w:w w:val="94"/>
                </w:rPr>
                <w:t>Amended and Restated Certificate of Incorporation of Brilliant Earth</w:t>
              </w:r>
            </w:hyperlink>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80" w:type="dxa"/>
            <w:vAlign w:val="bottom"/>
          </w:tcPr>
          <w:p>
            <w:pPr>
              <w:jc w:val="center"/>
              <w:ind w:right="28"/>
              <w:spacing w:after="0"/>
              <w:rPr>
                <w:sz w:val="20"/>
                <w:szCs w:val="20"/>
                <w:color w:val="auto"/>
              </w:rPr>
            </w:pPr>
            <w:r>
              <w:rPr>
                <w:rFonts w:ascii="Arial" w:cs="Arial" w:eastAsia="Arial" w:hAnsi="Arial"/>
                <w:sz w:val="14"/>
                <w:szCs w:val="14"/>
                <w:color w:val="auto"/>
                <w:w w:val="92"/>
              </w:rPr>
              <w:t>3.1</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9/27/2021</w:t>
            </w:r>
          </w:p>
        </w:tc>
        <w:tc>
          <w:tcPr>
            <w:tcW w:w="1680" w:type="dxa"/>
            <w:vAlign w:val="bottom"/>
          </w:tcPr>
          <w:p>
            <w:pPr>
              <w:spacing w:after="0"/>
              <w:rPr>
                <w:sz w:val="14"/>
                <w:szCs w:val="14"/>
                <w:color w:val="auto"/>
              </w:rPr>
            </w:pPr>
          </w:p>
        </w:tc>
      </w:tr>
      <w:tr>
        <w:trPr>
          <w:trHeight w:val="156"/>
        </w:trPr>
        <w:tc>
          <w:tcPr>
            <w:tcW w:w="1140" w:type="dxa"/>
            <w:vAlign w:val="bottom"/>
          </w:tcPr>
          <w:p>
            <w:pPr>
              <w:spacing w:after="0"/>
              <w:rPr>
                <w:sz w:val="13"/>
                <w:szCs w:val="13"/>
                <w:color w:val="auto"/>
              </w:rPr>
            </w:pPr>
          </w:p>
        </w:tc>
        <w:tc>
          <w:tcPr>
            <w:tcW w:w="4020" w:type="dxa"/>
            <w:vAlign w:val="bottom"/>
            <w:gridSpan w:val="6"/>
          </w:tcPr>
          <w:p>
            <w:pPr>
              <w:spacing w:after="0" w:line="155" w:lineRule="exact"/>
              <w:rPr>
                <w:rFonts w:ascii="Arial" w:cs="Arial" w:eastAsia="Arial" w:hAnsi="Arial"/>
                <w:sz w:val="14"/>
                <w:szCs w:val="14"/>
                <w:color w:val="0000FF"/>
              </w:rPr>
            </w:pPr>
            <w:hyperlink r:id="rId162">
              <w:r>
                <w:rPr>
                  <w:rFonts w:ascii="Arial" w:cs="Arial" w:eastAsia="Arial" w:hAnsi="Arial"/>
                  <w:sz w:val="14"/>
                  <w:szCs w:val="14"/>
                  <w:color w:val="0000FF"/>
                </w:rPr>
                <w:t>Group, Inc.</w:t>
              </w:r>
            </w:hyperlink>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3"/>
        </w:trPr>
        <w:tc>
          <w:tcPr>
            <w:tcW w:w="114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4020" w:type="dxa"/>
            <w:vAlign w:val="bottom"/>
            <w:gridSpan w:val="6"/>
          </w:tcPr>
          <w:p>
            <w:pPr>
              <w:spacing w:after="0"/>
              <w:rPr>
                <w:rFonts w:ascii="Arial" w:cs="Arial" w:eastAsia="Arial" w:hAnsi="Arial"/>
                <w:sz w:val="14"/>
                <w:szCs w:val="14"/>
                <w:color w:val="0000FF"/>
              </w:rPr>
            </w:pPr>
            <w:hyperlink r:id="rId163">
              <w:r>
                <w:rPr>
                  <w:rFonts w:ascii="Arial" w:cs="Arial" w:eastAsia="Arial" w:hAnsi="Arial"/>
                  <w:sz w:val="14"/>
                  <w:szCs w:val="14"/>
                  <w:color w:val="0000FF"/>
                </w:rPr>
                <w:t>Amended and Restated Bylaws of Brilliant Earth Group, Inc.</w:t>
              </w:r>
            </w:hyperlink>
          </w:p>
        </w:tc>
        <w:tc>
          <w:tcPr>
            <w:tcW w:w="920" w:type="dxa"/>
            <w:vAlign w:val="bottom"/>
          </w:tcPr>
          <w:p>
            <w:pPr>
              <w:jc w:val="center"/>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80" w:type="dxa"/>
            <w:vAlign w:val="bottom"/>
          </w:tcPr>
          <w:p>
            <w:pPr>
              <w:jc w:val="center"/>
              <w:ind w:right="28"/>
              <w:spacing w:after="0"/>
              <w:rPr>
                <w:sz w:val="20"/>
                <w:szCs w:val="20"/>
                <w:color w:val="auto"/>
              </w:rPr>
            </w:pPr>
            <w:r>
              <w:rPr>
                <w:rFonts w:ascii="Arial" w:cs="Arial" w:eastAsia="Arial" w:hAnsi="Arial"/>
                <w:sz w:val="14"/>
                <w:szCs w:val="14"/>
                <w:color w:val="auto"/>
                <w:w w:val="92"/>
              </w:rPr>
              <w:t>3.2</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9/27/2021</w:t>
            </w:r>
          </w:p>
        </w:tc>
        <w:tc>
          <w:tcPr>
            <w:tcW w:w="168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11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3860" w:type="dxa"/>
            <w:vAlign w:val="bottom"/>
            <w:tcBorders>
              <w:bottom w:val="single" w:sz="8" w:color="0000FF"/>
            </w:tcBorders>
            <w:gridSpan w:val="4"/>
          </w:tcPr>
          <w:p>
            <w:pPr>
              <w:spacing w:after="0"/>
              <w:rPr>
                <w:rFonts w:ascii="Arial" w:cs="Arial" w:eastAsia="Arial" w:hAnsi="Arial"/>
                <w:sz w:val="14"/>
                <w:szCs w:val="14"/>
                <w:color w:val="0000FF"/>
                <w:w w:val="92"/>
              </w:rPr>
            </w:pPr>
            <w:hyperlink r:id="rId164">
              <w:r>
                <w:rPr>
                  <w:rFonts w:ascii="Arial" w:cs="Arial" w:eastAsia="Arial" w:hAnsi="Arial"/>
                  <w:sz w:val="14"/>
                  <w:szCs w:val="14"/>
                  <w:color w:val="0000FF"/>
                  <w:w w:val="92"/>
                </w:rPr>
                <w:t>Specimen Stock Certificate evidencing shares of Class A Common</w:t>
              </w:r>
            </w:hyperlink>
          </w:p>
        </w:tc>
        <w:tc>
          <w:tcPr>
            <w:tcW w:w="160" w:type="dxa"/>
            <w:vAlign w:val="bottom"/>
            <w:gridSpan w:val="2"/>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S-1/A</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80" w:type="dxa"/>
            <w:vAlign w:val="bottom"/>
          </w:tcPr>
          <w:p>
            <w:pPr>
              <w:jc w:val="center"/>
              <w:ind w:right="28"/>
              <w:spacing w:after="0"/>
              <w:rPr>
                <w:sz w:val="20"/>
                <w:szCs w:val="20"/>
                <w:color w:val="auto"/>
              </w:rPr>
            </w:pPr>
            <w:r>
              <w:rPr>
                <w:rFonts w:ascii="Arial" w:cs="Arial" w:eastAsia="Arial" w:hAnsi="Arial"/>
                <w:sz w:val="14"/>
                <w:szCs w:val="14"/>
                <w:color w:val="auto"/>
                <w:w w:val="92"/>
              </w:rPr>
              <w:t>4.1</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9/14/2021</w:t>
            </w:r>
          </w:p>
        </w:tc>
        <w:tc>
          <w:tcPr>
            <w:tcW w:w="1680" w:type="dxa"/>
            <w:vAlign w:val="bottom"/>
          </w:tcPr>
          <w:p>
            <w:pPr>
              <w:spacing w:after="0"/>
              <w:rPr>
                <w:sz w:val="18"/>
                <w:szCs w:val="18"/>
                <w:color w:val="auto"/>
              </w:rPr>
            </w:pPr>
          </w:p>
        </w:tc>
      </w:tr>
      <w:tr>
        <w:trPr>
          <w:trHeight w:val="155"/>
        </w:trPr>
        <w:tc>
          <w:tcPr>
            <w:tcW w:w="1140" w:type="dxa"/>
            <w:vAlign w:val="bottom"/>
          </w:tcPr>
          <w:p>
            <w:pPr>
              <w:spacing w:after="0"/>
              <w:rPr>
                <w:sz w:val="13"/>
                <w:szCs w:val="13"/>
                <w:color w:val="auto"/>
              </w:rPr>
            </w:pPr>
          </w:p>
        </w:tc>
        <w:tc>
          <w:tcPr>
            <w:tcW w:w="340" w:type="dxa"/>
            <w:vAlign w:val="bottom"/>
            <w:tcBorders>
              <w:bottom w:val="single" w:sz="8" w:color="0000FF"/>
            </w:tcBorders>
          </w:tcPr>
          <w:p>
            <w:pPr>
              <w:spacing w:after="0" w:line="155" w:lineRule="exact"/>
              <w:rPr>
                <w:rFonts w:ascii="Arial" w:cs="Arial" w:eastAsia="Arial" w:hAnsi="Arial"/>
                <w:sz w:val="14"/>
                <w:szCs w:val="14"/>
                <w:color w:val="0000FF"/>
                <w:w w:val="91"/>
              </w:rPr>
            </w:pPr>
            <w:hyperlink r:id="rId164">
              <w:r>
                <w:rPr>
                  <w:rFonts w:ascii="Arial" w:cs="Arial" w:eastAsia="Arial" w:hAnsi="Arial"/>
                  <w:sz w:val="14"/>
                  <w:szCs w:val="14"/>
                  <w:color w:val="0000FF"/>
                  <w:w w:val="91"/>
                </w:rPr>
                <w:t>Stock</w:t>
              </w:r>
            </w:hyperlink>
          </w:p>
        </w:tc>
        <w:tc>
          <w:tcPr>
            <w:tcW w:w="368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bl>
    <w:p>
      <w:pPr>
        <w:spacing w:after="0" w:line="69" w:lineRule="exact"/>
        <w:rPr>
          <w:sz w:val="20"/>
          <w:szCs w:val="20"/>
          <w:color w:val="auto"/>
        </w:rPr>
      </w:pPr>
    </w:p>
    <w:p>
      <w:pPr>
        <w:sectPr>
          <w:pgSz w:w="11900" w:h="16838" w:orient="portrait"/>
          <w:cols w:equalWidth="0" w:num="1">
            <w:col w:w="11240"/>
          </w:cols>
          <w:pgMar w:left="320" w:top="139" w:right="339" w:bottom="1440" w:gutter="0" w:footer="0" w:header="0"/>
        </w:sectPr>
      </w:pPr>
    </w:p>
    <w:tbl>
      <w:tblPr>
        <w:tblLayout w:type="fixed"/>
        <w:tblInd w:w="380" w:type="dxa"/>
        <w:tblCellMar>
          <w:top w:w="0" w:type="dxa"/>
          <w:left w:w="0" w:type="dxa"/>
          <w:bottom w:w="0" w:type="dxa"/>
          <w:right w:w="0" w:type="dxa"/>
        </w:tblCellMar>
      </w:tblPr>
      <w:tr>
        <w:trPr>
          <w:trHeight w:val="161"/>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2"/>
              </w:rPr>
              <w:t>4.2</w:t>
            </w:r>
          </w:p>
        </w:tc>
        <w:tc>
          <w:tcPr>
            <w:tcW w:w="3960" w:type="dxa"/>
            <w:vAlign w:val="bottom"/>
            <w:gridSpan w:val="28"/>
          </w:tcPr>
          <w:p>
            <w:pPr>
              <w:spacing w:after="0"/>
              <w:rPr>
                <w:rFonts w:ascii="Arial" w:cs="Arial" w:eastAsia="Arial" w:hAnsi="Arial"/>
                <w:sz w:val="14"/>
                <w:szCs w:val="14"/>
                <w:color w:val="0000FF"/>
              </w:rPr>
            </w:pPr>
            <w:hyperlink r:id="rId165">
              <w:r>
                <w:rPr>
                  <w:rFonts w:ascii="Arial" w:cs="Arial" w:eastAsia="Arial" w:hAnsi="Arial"/>
                  <w:sz w:val="14"/>
                  <w:szCs w:val="14"/>
                  <w:color w:val="0000FF"/>
                </w:rPr>
                <w:t>Description of Capital Stock</w:t>
              </w:r>
            </w:hyperlink>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10.1</w:t>
            </w:r>
          </w:p>
        </w:tc>
        <w:tc>
          <w:tcPr>
            <w:tcW w:w="3960" w:type="dxa"/>
            <w:vAlign w:val="bottom"/>
            <w:gridSpan w:val="28"/>
          </w:tcPr>
          <w:p>
            <w:pPr>
              <w:spacing w:after="0"/>
              <w:rPr>
                <w:rFonts w:ascii="Arial" w:cs="Arial" w:eastAsia="Arial" w:hAnsi="Arial"/>
                <w:sz w:val="14"/>
                <w:szCs w:val="14"/>
                <w:color w:val="0000FF"/>
                <w:w w:val="98"/>
              </w:rPr>
            </w:pPr>
            <w:hyperlink r:id="rId166">
              <w:r>
                <w:rPr>
                  <w:rFonts w:ascii="Arial" w:cs="Arial" w:eastAsia="Arial" w:hAnsi="Arial"/>
                  <w:sz w:val="14"/>
                  <w:szCs w:val="14"/>
                  <w:color w:val="0000FF"/>
                  <w:w w:val="98"/>
                </w:rPr>
                <w:t>Amended and Restated Limited Liability Company Agreement of</w:t>
              </w:r>
            </w:hyperlink>
          </w:p>
        </w:tc>
      </w:tr>
      <w:tr>
        <w:trPr>
          <w:trHeight w:val="142"/>
        </w:trPr>
        <w:tc>
          <w:tcPr>
            <w:tcW w:w="760" w:type="dxa"/>
            <w:vAlign w:val="bottom"/>
          </w:tcPr>
          <w:p>
            <w:pPr>
              <w:spacing w:after="0"/>
              <w:rPr>
                <w:sz w:val="12"/>
                <w:szCs w:val="12"/>
                <w:color w:val="auto"/>
              </w:rPr>
            </w:pPr>
          </w:p>
        </w:tc>
        <w:tc>
          <w:tcPr>
            <w:tcW w:w="3800" w:type="dxa"/>
            <w:vAlign w:val="bottom"/>
            <w:tcBorders>
              <w:top w:val="single" w:sz="8" w:color="0000FF"/>
            </w:tcBorders>
            <w:gridSpan w:val="20"/>
          </w:tcPr>
          <w:p>
            <w:pPr>
              <w:spacing w:after="0" w:line="142" w:lineRule="exact"/>
              <w:rPr>
                <w:rFonts w:ascii="Arial" w:cs="Arial" w:eastAsia="Arial" w:hAnsi="Arial"/>
                <w:sz w:val="14"/>
                <w:szCs w:val="14"/>
                <w:color w:val="0000FF"/>
              </w:rPr>
            </w:pPr>
            <w:hyperlink r:id="rId166">
              <w:r>
                <w:rPr>
                  <w:rFonts w:ascii="Arial" w:cs="Arial" w:eastAsia="Arial" w:hAnsi="Arial"/>
                  <w:sz w:val="14"/>
                  <w:szCs w:val="14"/>
                  <w:color w:val="0000FF"/>
                </w:rPr>
                <w:t>Brilliant Earth, LLC, dated as of September 22, 2021</w:t>
              </w:r>
              <w:r>
                <w:rPr>
                  <w:rFonts w:ascii="Arial" w:cs="Arial" w:eastAsia="Arial" w:hAnsi="Arial"/>
                  <w:sz w:val="14"/>
                  <w:szCs w:val="14"/>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10.2</w:t>
            </w:r>
          </w:p>
        </w:tc>
        <w:tc>
          <w:tcPr>
            <w:tcW w:w="3940" w:type="dxa"/>
            <w:vAlign w:val="bottom"/>
            <w:tcBorders>
              <w:bottom w:val="single" w:sz="8" w:color="0000FF"/>
            </w:tcBorders>
            <w:gridSpan w:val="27"/>
          </w:tcPr>
          <w:p>
            <w:pPr>
              <w:spacing w:after="0"/>
              <w:rPr>
                <w:rFonts w:ascii="Arial" w:cs="Arial" w:eastAsia="Arial" w:hAnsi="Arial"/>
                <w:sz w:val="14"/>
                <w:szCs w:val="14"/>
                <w:color w:val="0000FF"/>
                <w:w w:val="91"/>
              </w:rPr>
            </w:pPr>
            <w:hyperlink r:id="rId167">
              <w:r>
                <w:rPr>
                  <w:rFonts w:ascii="Arial" w:cs="Arial" w:eastAsia="Arial" w:hAnsi="Arial"/>
                  <w:sz w:val="14"/>
                  <w:szCs w:val="14"/>
                  <w:color w:val="0000FF"/>
                  <w:w w:val="91"/>
                </w:rPr>
                <w:t>Tax Receivable Agreement, dated as of September 22, 2021, by and</w:t>
              </w:r>
            </w:hyperlink>
          </w:p>
        </w:tc>
        <w:tc>
          <w:tcPr>
            <w:tcW w:w="20" w:type="dxa"/>
            <w:vAlign w:val="bottom"/>
          </w:tcPr>
          <w:p>
            <w:pPr>
              <w:spacing w:after="0"/>
              <w:rPr>
                <w:sz w:val="18"/>
                <w:szCs w:val="18"/>
                <w:color w:val="auto"/>
              </w:rPr>
            </w:pPr>
          </w:p>
        </w:tc>
      </w:tr>
      <w:tr>
        <w:trPr>
          <w:trHeight w:val="142"/>
        </w:trPr>
        <w:tc>
          <w:tcPr>
            <w:tcW w:w="760" w:type="dxa"/>
            <w:vAlign w:val="bottom"/>
          </w:tcPr>
          <w:p>
            <w:pPr>
              <w:spacing w:after="0"/>
              <w:rPr>
                <w:sz w:val="12"/>
                <w:szCs w:val="12"/>
                <w:color w:val="auto"/>
              </w:rPr>
            </w:pPr>
          </w:p>
        </w:tc>
        <w:tc>
          <w:tcPr>
            <w:tcW w:w="3940" w:type="dxa"/>
            <w:vAlign w:val="bottom"/>
            <w:gridSpan w:val="27"/>
          </w:tcPr>
          <w:p>
            <w:pPr>
              <w:spacing w:after="0" w:line="142" w:lineRule="exact"/>
              <w:rPr>
                <w:rFonts w:ascii="Arial" w:cs="Arial" w:eastAsia="Arial" w:hAnsi="Arial"/>
                <w:sz w:val="14"/>
                <w:szCs w:val="14"/>
                <w:color w:val="0000FF"/>
              </w:rPr>
            </w:pPr>
            <w:hyperlink r:id="rId167">
              <w:r>
                <w:rPr>
                  <w:rFonts w:ascii="Arial" w:cs="Arial" w:eastAsia="Arial" w:hAnsi="Arial"/>
                  <w:sz w:val="14"/>
                  <w:szCs w:val="14"/>
                  <w:color w:val="0000FF"/>
                </w:rPr>
                <w:t>among Brilliant Earth Group, Inc., Brilliant Earth LLC and its</w:t>
              </w:r>
            </w:hyperlink>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580" w:type="dxa"/>
            <w:vAlign w:val="bottom"/>
            <w:tcBorders>
              <w:top w:val="single" w:sz="8" w:color="0000FF"/>
            </w:tcBorders>
            <w:gridSpan w:val="15"/>
          </w:tcPr>
          <w:p>
            <w:pPr>
              <w:spacing w:after="0" w:line="142" w:lineRule="exact"/>
              <w:rPr>
                <w:rFonts w:ascii="Arial" w:cs="Arial" w:eastAsia="Arial" w:hAnsi="Arial"/>
                <w:sz w:val="14"/>
                <w:szCs w:val="14"/>
                <w:color w:val="0000FF"/>
              </w:rPr>
            </w:pPr>
            <w:hyperlink r:id="rId167">
              <w:r>
                <w:rPr>
                  <w:rFonts w:ascii="Arial" w:cs="Arial" w:eastAsia="Arial" w:hAnsi="Arial"/>
                  <w:sz w:val="14"/>
                  <w:szCs w:val="14"/>
                  <w:color w:val="0000FF"/>
                </w:rPr>
                <w:t>Members</w:t>
              </w:r>
              <w:r>
                <w:rPr>
                  <w:rFonts w:ascii="Arial" w:cs="Arial" w:eastAsia="Arial" w:hAnsi="Arial"/>
                  <w:sz w:val="14"/>
                  <w:szCs w:val="14"/>
                  <w:color w:val="000000"/>
                </w:rPr>
                <w:t>.</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10.3</w:t>
            </w:r>
          </w:p>
        </w:tc>
        <w:tc>
          <w:tcPr>
            <w:tcW w:w="3960" w:type="dxa"/>
            <w:vAlign w:val="bottom"/>
            <w:gridSpan w:val="28"/>
          </w:tcPr>
          <w:p>
            <w:pPr>
              <w:spacing w:after="0"/>
              <w:rPr>
                <w:rFonts w:ascii="Arial" w:cs="Arial" w:eastAsia="Arial" w:hAnsi="Arial"/>
                <w:sz w:val="14"/>
                <w:szCs w:val="14"/>
                <w:color w:val="0000FF"/>
                <w:w w:val="95"/>
              </w:rPr>
            </w:pPr>
            <w:hyperlink r:id="rId168">
              <w:r>
                <w:rPr>
                  <w:rFonts w:ascii="Arial" w:cs="Arial" w:eastAsia="Arial" w:hAnsi="Arial"/>
                  <w:sz w:val="14"/>
                  <w:szCs w:val="14"/>
                  <w:color w:val="0000FF"/>
                  <w:w w:val="95"/>
                </w:rPr>
                <w:t>Registration Rights Agreement, dated September 22, 2021, by and</w:t>
              </w:r>
            </w:hyperlink>
          </w:p>
        </w:tc>
      </w:tr>
      <w:tr>
        <w:trPr>
          <w:trHeight w:val="142"/>
        </w:trPr>
        <w:tc>
          <w:tcPr>
            <w:tcW w:w="760" w:type="dxa"/>
            <w:vAlign w:val="bottom"/>
          </w:tcPr>
          <w:p>
            <w:pPr>
              <w:spacing w:after="0"/>
              <w:rPr>
                <w:sz w:val="12"/>
                <w:szCs w:val="12"/>
                <w:color w:val="auto"/>
              </w:rPr>
            </w:pPr>
          </w:p>
        </w:tc>
        <w:tc>
          <w:tcPr>
            <w:tcW w:w="3840" w:type="dxa"/>
            <w:vAlign w:val="bottom"/>
            <w:tcBorders>
              <w:top w:val="single" w:sz="8" w:color="0000FF"/>
            </w:tcBorders>
            <w:gridSpan w:val="22"/>
          </w:tcPr>
          <w:p>
            <w:pPr>
              <w:spacing w:after="0" w:line="142" w:lineRule="exact"/>
              <w:rPr>
                <w:rFonts w:ascii="Arial" w:cs="Arial" w:eastAsia="Arial" w:hAnsi="Arial"/>
                <w:sz w:val="14"/>
                <w:szCs w:val="14"/>
                <w:color w:val="0000FF"/>
              </w:rPr>
            </w:pPr>
            <w:hyperlink r:id="rId168">
              <w:r>
                <w:rPr>
                  <w:rFonts w:ascii="Arial" w:cs="Arial" w:eastAsia="Arial" w:hAnsi="Arial"/>
                  <w:sz w:val="14"/>
                  <w:szCs w:val="14"/>
                  <w:color w:val="0000FF"/>
                </w:rPr>
                <w:t>among Brilliant Earth Group, Inc., Brilliant Earth LLC and its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580" w:type="dxa"/>
            <w:vAlign w:val="bottom"/>
            <w:tcBorders>
              <w:top w:val="single" w:sz="8" w:color="0000FF"/>
            </w:tcBorders>
            <w:gridSpan w:val="15"/>
          </w:tcPr>
          <w:p>
            <w:pPr>
              <w:spacing w:after="0" w:line="142" w:lineRule="exact"/>
              <w:rPr>
                <w:rFonts w:ascii="Arial" w:cs="Arial" w:eastAsia="Arial" w:hAnsi="Arial"/>
                <w:sz w:val="14"/>
                <w:szCs w:val="14"/>
                <w:color w:val="0000FF"/>
              </w:rPr>
            </w:pPr>
            <w:hyperlink r:id="rId168">
              <w:r>
                <w:rPr>
                  <w:rFonts w:ascii="Arial" w:cs="Arial" w:eastAsia="Arial" w:hAnsi="Arial"/>
                  <w:sz w:val="14"/>
                  <w:szCs w:val="14"/>
                  <w:color w:val="0000FF"/>
                </w:rPr>
                <w:t>Original Equity Owners</w:t>
              </w:r>
              <w:r>
                <w:rPr>
                  <w:rFonts w:ascii="Arial" w:cs="Arial" w:eastAsia="Arial" w:hAnsi="Arial"/>
                  <w:sz w:val="14"/>
                  <w:szCs w:val="14"/>
                  <w:color w:val="000000"/>
                </w:rPr>
                <w:t>.</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10.4</w:t>
            </w:r>
          </w:p>
        </w:tc>
        <w:tc>
          <w:tcPr>
            <w:tcW w:w="3920" w:type="dxa"/>
            <w:vAlign w:val="bottom"/>
            <w:tcBorders>
              <w:bottom w:val="single" w:sz="8" w:color="0000FF"/>
            </w:tcBorders>
            <w:gridSpan w:val="26"/>
          </w:tcPr>
          <w:p>
            <w:pPr>
              <w:spacing w:after="0"/>
              <w:rPr>
                <w:rFonts w:ascii="Arial" w:cs="Arial" w:eastAsia="Arial" w:hAnsi="Arial"/>
                <w:sz w:val="14"/>
                <w:szCs w:val="14"/>
                <w:color w:val="0000FF"/>
                <w:w w:val="92"/>
              </w:rPr>
            </w:pPr>
            <w:hyperlink r:id="rId169">
              <w:r>
                <w:rPr>
                  <w:rFonts w:ascii="Arial" w:cs="Arial" w:eastAsia="Arial" w:hAnsi="Arial"/>
                  <w:sz w:val="14"/>
                  <w:szCs w:val="14"/>
                  <w:color w:val="0000FF"/>
                  <w:w w:val="92"/>
                </w:rPr>
                <w:t>Stockholders Agreement, dated September 22, 2021, by and among</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42"/>
        </w:trPr>
        <w:tc>
          <w:tcPr>
            <w:tcW w:w="760" w:type="dxa"/>
            <w:vAlign w:val="bottom"/>
          </w:tcPr>
          <w:p>
            <w:pPr>
              <w:spacing w:after="0"/>
              <w:rPr>
                <w:sz w:val="12"/>
                <w:szCs w:val="12"/>
                <w:color w:val="auto"/>
              </w:rPr>
            </w:pPr>
          </w:p>
        </w:tc>
        <w:tc>
          <w:tcPr>
            <w:tcW w:w="3920" w:type="dxa"/>
            <w:vAlign w:val="bottom"/>
            <w:gridSpan w:val="26"/>
          </w:tcPr>
          <w:p>
            <w:pPr>
              <w:spacing w:after="0" w:line="142" w:lineRule="exact"/>
              <w:rPr>
                <w:rFonts w:ascii="Arial" w:cs="Arial" w:eastAsia="Arial" w:hAnsi="Arial"/>
                <w:sz w:val="14"/>
                <w:szCs w:val="14"/>
                <w:color w:val="0000FF"/>
              </w:rPr>
            </w:pPr>
            <w:hyperlink r:id="rId169">
              <w:r>
                <w:rPr>
                  <w:rFonts w:ascii="Arial" w:cs="Arial" w:eastAsia="Arial" w:hAnsi="Arial"/>
                  <w:sz w:val="14"/>
                  <w:szCs w:val="14"/>
                  <w:color w:val="0000FF"/>
                </w:rPr>
                <w:t>Brilliant Earth Group, Inc., Brilliant Earth LLC and the Original</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700" w:type="dxa"/>
            <w:vAlign w:val="bottom"/>
            <w:tcBorders>
              <w:top w:val="single" w:sz="8" w:color="0000FF"/>
            </w:tcBorders>
            <w:gridSpan w:val="17"/>
          </w:tcPr>
          <w:p>
            <w:pPr>
              <w:spacing w:after="0" w:line="142" w:lineRule="exact"/>
              <w:rPr>
                <w:rFonts w:ascii="Arial" w:cs="Arial" w:eastAsia="Arial" w:hAnsi="Arial"/>
                <w:sz w:val="14"/>
                <w:szCs w:val="14"/>
                <w:color w:val="0000FF"/>
              </w:rPr>
            </w:pPr>
            <w:hyperlink r:id="rId169">
              <w:r>
                <w:rPr>
                  <w:rFonts w:ascii="Arial" w:cs="Arial" w:eastAsia="Arial" w:hAnsi="Arial"/>
                  <w:sz w:val="14"/>
                  <w:szCs w:val="14"/>
                  <w:color w:val="0000FF"/>
                </w:rPr>
                <w:t>Members</w:t>
              </w:r>
              <w:r>
                <w:rPr>
                  <w:rFonts w:ascii="Arial" w:cs="Arial" w:eastAsia="Arial" w:hAnsi="Arial"/>
                  <w:sz w:val="14"/>
                  <w:szCs w:val="14"/>
                  <w:color w:val="000000"/>
                </w:rPr>
                <w:t>.</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10.5</w:t>
            </w:r>
          </w:p>
        </w:tc>
        <w:tc>
          <w:tcPr>
            <w:tcW w:w="3960" w:type="dxa"/>
            <w:vAlign w:val="bottom"/>
            <w:gridSpan w:val="28"/>
          </w:tcPr>
          <w:p>
            <w:pPr>
              <w:spacing w:after="0"/>
              <w:rPr>
                <w:rFonts w:ascii="Arial" w:cs="Arial" w:eastAsia="Arial" w:hAnsi="Arial"/>
                <w:sz w:val="14"/>
                <w:szCs w:val="14"/>
                <w:color w:val="0000FF"/>
              </w:rPr>
            </w:pPr>
            <w:hyperlink r:id="rId170">
              <w:r>
                <w:rPr>
                  <w:rFonts w:ascii="Arial" w:cs="Arial" w:eastAsia="Arial" w:hAnsi="Arial"/>
                  <w:sz w:val="14"/>
                  <w:szCs w:val="14"/>
                  <w:color w:val="0000FF"/>
                </w:rPr>
                <w:t>Offer letter, dated as of September 22, 2021, by and between</w:t>
              </w:r>
            </w:hyperlink>
          </w:p>
        </w:tc>
      </w:tr>
      <w:tr>
        <w:trPr>
          <w:trHeight w:val="142"/>
        </w:trPr>
        <w:tc>
          <w:tcPr>
            <w:tcW w:w="760" w:type="dxa"/>
            <w:vAlign w:val="bottom"/>
          </w:tcPr>
          <w:p>
            <w:pPr>
              <w:spacing w:after="0"/>
              <w:rPr>
                <w:sz w:val="12"/>
                <w:szCs w:val="12"/>
                <w:color w:val="auto"/>
              </w:rPr>
            </w:pPr>
          </w:p>
        </w:tc>
        <w:tc>
          <w:tcPr>
            <w:tcW w:w="3500" w:type="dxa"/>
            <w:vAlign w:val="bottom"/>
            <w:tcBorders>
              <w:top w:val="single" w:sz="8" w:color="0000FF"/>
            </w:tcBorders>
            <w:gridSpan w:val="14"/>
          </w:tcPr>
          <w:p>
            <w:pPr>
              <w:spacing w:after="0" w:line="142" w:lineRule="exact"/>
              <w:rPr>
                <w:rFonts w:ascii="Arial" w:cs="Arial" w:eastAsia="Arial" w:hAnsi="Arial"/>
                <w:sz w:val="14"/>
                <w:szCs w:val="14"/>
                <w:color w:val="0000FF"/>
              </w:rPr>
            </w:pPr>
            <w:hyperlink r:id="rId170">
              <w:r>
                <w:rPr>
                  <w:rFonts w:ascii="Arial" w:cs="Arial" w:eastAsia="Arial" w:hAnsi="Arial"/>
                  <w:sz w:val="14"/>
                  <w:szCs w:val="14"/>
                  <w:color w:val="0000FF"/>
                </w:rPr>
                <w:t>Brilliant Earth Group, Inc. and Beth Gerstein</w:t>
              </w:r>
              <w:r>
                <w:rPr>
                  <w:rFonts w:ascii="Arial" w:cs="Arial" w:eastAsia="Arial" w:hAnsi="Arial"/>
                  <w:sz w:val="14"/>
                  <w:szCs w:val="14"/>
                  <w:color w:val="000000"/>
                </w:rPr>
                <w:t>.</w:t>
              </w:r>
            </w:hyperlink>
          </w:p>
        </w:tc>
        <w:tc>
          <w:tcPr>
            <w:tcW w:w="1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10.6</w:t>
            </w:r>
          </w:p>
        </w:tc>
        <w:tc>
          <w:tcPr>
            <w:tcW w:w="3960" w:type="dxa"/>
            <w:vAlign w:val="bottom"/>
            <w:gridSpan w:val="28"/>
          </w:tcPr>
          <w:p>
            <w:pPr>
              <w:spacing w:after="0"/>
              <w:rPr>
                <w:rFonts w:ascii="Arial" w:cs="Arial" w:eastAsia="Arial" w:hAnsi="Arial"/>
                <w:sz w:val="14"/>
                <w:szCs w:val="14"/>
                <w:color w:val="0000FF"/>
              </w:rPr>
            </w:pPr>
            <w:hyperlink r:id="rId171">
              <w:r>
                <w:rPr>
                  <w:rFonts w:ascii="Arial" w:cs="Arial" w:eastAsia="Arial" w:hAnsi="Arial"/>
                  <w:sz w:val="14"/>
                  <w:szCs w:val="14"/>
                  <w:color w:val="0000FF"/>
                </w:rPr>
                <w:t>Offer letter, dated as of September 22, 2021, by and between</w:t>
              </w:r>
            </w:hyperlink>
          </w:p>
        </w:tc>
      </w:tr>
      <w:tr>
        <w:trPr>
          <w:trHeight w:val="155"/>
        </w:trPr>
        <w:tc>
          <w:tcPr>
            <w:tcW w:w="760" w:type="dxa"/>
            <w:vAlign w:val="bottom"/>
          </w:tcPr>
          <w:p>
            <w:pPr>
              <w:spacing w:after="0"/>
              <w:rPr>
                <w:sz w:val="13"/>
                <w:szCs w:val="13"/>
                <w:color w:val="auto"/>
              </w:rPr>
            </w:pPr>
          </w:p>
        </w:tc>
        <w:tc>
          <w:tcPr>
            <w:tcW w:w="3500" w:type="dxa"/>
            <w:vAlign w:val="bottom"/>
            <w:tcBorders>
              <w:top w:val="single" w:sz="8" w:color="0000FF"/>
            </w:tcBorders>
            <w:gridSpan w:val="14"/>
          </w:tcPr>
          <w:p>
            <w:pPr>
              <w:spacing w:after="0" w:line="155" w:lineRule="exact"/>
              <w:rPr>
                <w:rFonts w:ascii="Arial" w:cs="Arial" w:eastAsia="Arial" w:hAnsi="Arial"/>
                <w:sz w:val="14"/>
                <w:szCs w:val="14"/>
                <w:color w:val="0000FF"/>
              </w:rPr>
            </w:pPr>
            <w:hyperlink r:id="rId171">
              <w:r>
                <w:rPr>
                  <w:rFonts w:ascii="Arial" w:cs="Arial" w:eastAsia="Arial" w:hAnsi="Arial"/>
                  <w:sz w:val="14"/>
                  <w:szCs w:val="14"/>
                  <w:color w:val="0000FF"/>
                </w:rPr>
                <w:t>Brilliant Earth Group, Inc. and Eric Grossberg</w:t>
              </w:r>
              <w:r>
                <w:rPr>
                  <w:rFonts w:ascii="Arial" w:cs="Arial" w:eastAsia="Arial" w:hAnsi="Arial"/>
                  <w:sz w:val="14"/>
                  <w:szCs w:val="14"/>
                  <w:color w:val="000000"/>
                </w:rPr>
                <w:t>.</w:t>
              </w:r>
            </w:hyperlink>
          </w:p>
        </w:tc>
        <w:tc>
          <w:tcPr>
            <w:tcW w:w="460" w:type="dxa"/>
            <w:vAlign w:val="bottom"/>
            <w:gridSpan w:val="14"/>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10.7</w:t>
            </w:r>
          </w:p>
        </w:tc>
        <w:tc>
          <w:tcPr>
            <w:tcW w:w="3960" w:type="dxa"/>
            <w:vAlign w:val="bottom"/>
            <w:gridSpan w:val="28"/>
          </w:tcPr>
          <w:p>
            <w:pPr>
              <w:spacing w:after="0"/>
              <w:rPr>
                <w:rFonts w:ascii="Arial" w:cs="Arial" w:eastAsia="Arial" w:hAnsi="Arial"/>
                <w:sz w:val="14"/>
                <w:szCs w:val="14"/>
                <w:color w:val="0000FF"/>
              </w:rPr>
            </w:pPr>
            <w:hyperlink r:id="rId172">
              <w:r>
                <w:rPr>
                  <w:rFonts w:ascii="Arial" w:cs="Arial" w:eastAsia="Arial" w:hAnsi="Arial"/>
                  <w:sz w:val="14"/>
                  <w:szCs w:val="14"/>
                  <w:color w:val="0000FF"/>
                </w:rPr>
                <w:t>Offer letter, dated as of September 22, 2021, by and between</w:t>
              </w:r>
            </w:hyperlink>
          </w:p>
        </w:tc>
      </w:tr>
      <w:tr>
        <w:trPr>
          <w:trHeight w:val="142"/>
        </w:trPr>
        <w:tc>
          <w:tcPr>
            <w:tcW w:w="760" w:type="dxa"/>
            <w:vAlign w:val="bottom"/>
          </w:tcPr>
          <w:p>
            <w:pPr>
              <w:spacing w:after="0"/>
              <w:rPr>
                <w:sz w:val="12"/>
                <w:szCs w:val="12"/>
                <w:color w:val="auto"/>
              </w:rPr>
            </w:pPr>
          </w:p>
        </w:tc>
        <w:tc>
          <w:tcPr>
            <w:tcW w:w="3500" w:type="dxa"/>
            <w:vAlign w:val="bottom"/>
            <w:tcBorders>
              <w:top w:val="single" w:sz="8" w:color="0000FF"/>
            </w:tcBorders>
            <w:gridSpan w:val="14"/>
          </w:tcPr>
          <w:p>
            <w:pPr>
              <w:spacing w:after="0" w:line="142" w:lineRule="exact"/>
              <w:rPr>
                <w:rFonts w:ascii="Arial" w:cs="Arial" w:eastAsia="Arial" w:hAnsi="Arial"/>
                <w:sz w:val="14"/>
                <w:szCs w:val="14"/>
                <w:color w:val="0000FF"/>
              </w:rPr>
            </w:pPr>
            <w:hyperlink r:id="rId172">
              <w:r>
                <w:rPr>
                  <w:rFonts w:ascii="Arial" w:cs="Arial" w:eastAsia="Arial" w:hAnsi="Arial"/>
                  <w:sz w:val="14"/>
                  <w:szCs w:val="14"/>
                  <w:color w:val="0000FF"/>
                </w:rPr>
                <w:t>Brilliant Earth Group, Inc. and Jeffrey Kuo</w:t>
              </w:r>
              <w:r>
                <w:rPr>
                  <w:rFonts w:ascii="Arial" w:cs="Arial" w:eastAsia="Arial" w:hAnsi="Arial"/>
                  <w:sz w:val="14"/>
                  <w:szCs w:val="14"/>
                  <w:color w:val="000000"/>
                </w:rPr>
                <w:t>.</w:t>
              </w:r>
            </w:hyperlink>
          </w:p>
        </w:tc>
        <w:tc>
          <w:tcPr>
            <w:tcW w:w="1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10.8</w:t>
            </w:r>
          </w:p>
        </w:tc>
        <w:tc>
          <w:tcPr>
            <w:tcW w:w="3960" w:type="dxa"/>
            <w:vAlign w:val="bottom"/>
            <w:gridSpan w:val="28"/>
          </w:tcPr>
          <w:p>
            <w:pPr>
              <w:spacing w:after="0"/>
              <w:rPr>
                <w:rFonts w:ascii="Arial" w:cs="Arial" w:eastAsia="Arial" w:hAnsi="Arial"/>
                <w:sz w:val="14"/>
                <w:szCs w:val="14"/>
                <w:color w:val="0000FF"/>
              </w:rPr>
            </w:pPr>
            <w:hyperlink r:id="rId173">
              <w:r>
                <w:rPr>
                  <w:rFonts w:ascii="Arial" w:cs="Arial" w:eastAsia="Arial" w:hAnsi="Arial"/>
                  <w:sz w:val="14"/>
                  <w:szCs w:val="14"/>
                  <w:color w:val="0000FF"/>
                </w:rPr>
                <w:t>Brilliant Earth Group, Inc. 2021 Incentive Award Plan</w:t>
              </w:r>
            </w:hyperlink>
            <w:r>
              <w:rPr>
                <w:rFonts w:ascii="Arial" w:cs="Arial" w:eastAsia="Arial" w:hAnsi="Arial"/>
                <w:sz w:val="14"/>
                <w:szCs w:val="14"/>
                <w:color w:val="000000"/>
              </w:rPr>
              <w:t>.</w:t>
            </w: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10.9</w:t>
            </w:r>
          </w:p>
        </w:tc>
        <w:tc>
          <w:tcPr>
            <w:tcW w:w="3960" w:type="dxa"/>
            <w:vAlign w:val="bottom"/>
            <w:gridSpan w:val="28"/>
          </w:tcPr>
          <w:p>
            <w:pPr>
              <w:spacing w:after="0"/>
              <w:rPr>
                <w:rFonts w:ascii="Arial" w:cs="Arial" w:eastAsia="Arial" w:hAnsi="Arial"/>
                <w:sz w:val="14"/>
                <w:szCs w:val="14"/>
                <w:color w:val="0000FF"/>
                <w:w w:val="99"/>
              </w:rPr>
            </w:pPr>
            <w:hyperlink r:id="rId174">
              <w:r>
                <w:rPr>
                  <w:rFonts w:ascii="Arial" w:cs="Arial" w:eastAsia="Arial" w:hAnsi="Arial"/>
                  <w:sz w:val="14"/>
                  <w:szCs w:val="14"/>
                  <w:color w:val="0000FF"/>
                  <w:w w:val="99"/>
                </w:rPr>
                <w:t>Brilliant Earth Group, Inc. 2021 Employee Stock Purchase Plan</w:t>
              </w:r>
            </w:hyperlink>
            <w:r>
              <w:rPr>
                <w:rFonts w:ascii="Arial" w:cs="Arial" w:eastAsia="Arial" w:hAnsi="Arial"/>
                <w:sz w:val="14"/>
                <w:szCs w:val="14"/>
                <w:color w:val="000000"/>
                <w:w w:val="99"/>
              </w:rPr>
              <w:t>.</w:t>
            </w: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6"/>
              </w:rPr>
              <w:t>10.10</w:t>
            </w:r>
          </w:p>
        </w:tc>
        <w:tc>
          <w:tcPr>
            <w:tcW w:w="3960" w:type="dxa"/>
            <w:vAlign w:val="bottom"/>
            <w:gridSpan w:val="28"/>
          </w:tcPr>
          <w:p>
            <w:pPr>
              <w:spacing w:after="0"/>
              <w:rPr>
                <w:rFonts w:ascii="Arial" w:cs="Arial" w:eastAsia="Arial" w:hAnsi="Arial"/>
                <w:sz w:val="14"/>
                <w:szCs w:val="14"/>
                <w:color w:val="0000FF"/>
                <w:w w:val="98"/>
              </w:rPr>
            </w:pPr>
            <w:hyperlink r:id="rId175">
              <w:r>
                <w:rPr>
                  <w:rFonts w:ascii="Arial" w:cs="Arial" w:eastAsia="Arial" w:hAnsi="Arial"/>
                  <w:sz w:val="14"/>
                  <w:szCs w:val="14"/>
                  <w:color w:val="0000FF"/>
                  <w:w w:val="98"/>
                </w:rPr>
                <w:t>Form of Brilliant Earth, LLC Unit Restriction Agreement (Class M</w:t>
              </w:r>
            </w:hyperlink>
          </w:p>
        </w:tc>
      </w:tr>
      <w:tr>
        <w:trPr>
          <w:trHeight w:val="142"/>
        </w:trPr>
        <w:tc>
          <w:tcPr>
            <w:tcW w:w="760" w:type="dxa"/>
            <w:vAlign w:val="bottom"/>
          </w:tcPr>
          <w:p>
            <w:pPr>
              <w:spacing w:after="0"/>
              <w:rPr>
                <w:sz w:val="12"/>
                <w:szCs w:val="12"/>
                <w:color w:val="auto"/>
              </w:rPr>
            </w:pPr>
          </w:p>
        </w:tc>
        <w:tc>
          <w:tcPr>
            <w:tcW w:w="3900" w:type="dxa"/>
            <w:vAlign w:val="bottom"/>
            <w:tcBorders>
              <w:top w:val="single" w:sz="8" w:color="0000FF"/>
            </w:tcBorders>
            <w:gridSpan w:val="25"/>
          </w:tcPr>
          <w:p>
            <w:pPr>
              <w:spacing w:after="0" w:line="142" w:lineRule="exact"/>
              <w:rPr>
                <w:rFonts w:ascii="Arial" w:cs="Arial" w:eastAsia="Arial" w:hAnsi="Arial"/>
                <w:sz w:val="14"/>
                <w:szCs w:val="14"/>
                <w:color w:val="0000FF"/>
              </w:rPr>
            </w:pPr>
            <w:hyperlink r:id="rId175">
              <w:r>
                <w:rPr>
                  <w:rFonts w:ascii="Arial" w:cs="Arial" w:eastAsia="Arial" w:hAnsi="Arial"/>
                  <w:sz w:val="14"/>
                  <w:szCs w:val="14"/>
                  <w:color w:val="0000FF"/>
                </w:rPr>
                <w:t>Units).</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60" w:type="dxa"/>
            <w:vAlign w:val="bottom"/>
          </w:tcPr>
          <w:p>
            <w:pPr>
              <w:jc w:val="center"/>
              <w:ind w:right="328"/>
              <w:spacing w:after="0"/>
              <w:rPr>
                <w:sz w:val="20"/>
                <w:szCs w:val="20"/>
                <w:color w:val="auto"/>
              </w:rPr>
            </w:pPr>
            <w:r>
              <w:rPr>
                <w:rFonts w:ascii="Arial" w:cs="Arial" w:eastAsia="Arial" w:hAnsi="Arial"/>
                <w:sz w:val="14"/>
                <w:szCs w:val="14"/>
                <w:color w:val="auto"/>
                <w:w w:val="91"/>
              </w:rPr>
              <w:t>10.11</w:t>
            </w:r>
          </w:p>
        </w:tc>
        <w:tc>
          <w:tcPr>
            <w:tcW w:w="3780" w:type="dxa"/>
            <w:vAlign w:val="bottom"/>
            <w:tcBorders>
              <w:bottom w:val="single" w:sz="8" w:color="0000FF"/>
            </w:tcBorders>
            <w:gridSpan w:val="19"/>
          </w:tcPr>
          <w:p>
            <w:pPr>
              <w:spacing w:after="0"/>
              <w:rPr>
                <w:rFonts w:ascii="Arial" w:cs="Arial" w:eastAsia="Arial" w:hAnsi="Arial"/>
                <w:sz w:val="14"/>
                <w:szCs w:val="14"/>
                <w:color w:val="0000FF"/>
                <w:w w:val="94"/>
              </w:rPr>
            </w:pPr>
            <w:hyperlink r:id="rId176">
              <w:r>
                <w:rPr>
                  <w:rFonts w:ascii="Arial" w:cs="Arial" w:eastAsia="Arial" w:hAnsi="Arial"/>
                  <w:sz w:val="14"/>
                  <w:szCs w:val="14"/>
                  <w:color w:val="0000FF"/>
                  <w:w w:val="94"/>
                </w:rPr>
                <w:t>Form of Stock Option Grant Notice and Stock Option Agreement</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r>
      <w:tr>
        <w:trPr>
          <w:trHeight w:val="142"/>
        </w:trPr>
        <w:tc>
          <w:tcPr>
            <w:tcW w:w="760" w:type="dxa"/>
            <w:vAlign w:val="bottom"/>
          </w:tcPr>
          <w:p>
            <w:pPr>
              <w:spacing w:after="0"/>
              <w:rPr>
                <w:sz w:val="12"/>
                <w:szCs w:val="12"/>
                <w:color w:val="auto"/>
              </w:rPr>
            </w:pPr>
          </w:p>
        </w:tc>
        <w:tc>
          <w:tcPr>
            <w:tcW w:w="3780" w:type="dxa"/>
            <w:vAlign w:val="bottom"/>
            <w:gridSpan w:val="19"/>
          </w:tcPr>
          <w:p>
            <w:pPr>
              <w:spacing w:after="0" w:line="142" w:lineRule="exact"/>
              <w:rPr>
                <w:rFonts w:ascii="Arial" w:cs="Arial" w:eastAsia="Arial" w:hAnsi="Arial"/>
                <w:sz w:val="14"/>
                <w:szCs w:val="14"/>
                <w:color w:val="0000FF"/>
              </w:rPr>
            </w:pPr>
            <w:hyperlink r:id="rId176">
              <w:r>
                <w:rPr>
                  <w:rFonts w:ascii="Arial" w:cs="Arial" w:eastAsia="Arial" w:hAnsi="Arial"/>
                  <w:sz w:val="14"/>
                  <w:szCs w:val="14"/>
                  <w:color w:val="0000FF"/>
                </w:rPr>
                <w:t>under the 2021 Incentive Award Plan.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6"/>
              </w:rPr>
              <w:t>10.12</w:t>
            </w:r>
          </w:p>
        </w:tc>
        <w:tc>
          <w:tcPr>
            <w:tcW w:w="3820" w:type="dxa"/>
            <w:vAlign w:val="bottom"/>
            <w:tcBorders>
              <w:bottom w:val="single" w:sz="8" w:color="0000FF"/>
            </w:tcBorders>
            <w:gridSpan w:val="21"/>
          </w:tcPr>
          <w:p>
            <w:pPr>
              <w:spacing w:after="0"/>
              <w:rPr>
                <w:rFonts w:ascii="Arial" w:cs="Arial" w:eastAsia="Arial" w:hAnsi="Arial"/>
                <w:sz w:val="14"/>
                <w:szCs w:val="14"/>
                <w:color w:val="0000FF"/>
                <w:w w:val="94"/>
              </w:rPr>
            </w:pPr>
            <w:hyperlink r:id="rId177">
              <w:r>
                <w:rPr>
                  <w:rFonts w:ascii="Arial" w:cs="Arial" w:eastAsia="Arial" w:hAnsi="Arial"/>
                  <w:sz w:val="14"/>
                  <w:szCs w:val="14"/>
                  <w:color w:val="0000FF"/>
                  <w:w w:val="94"/>
                </w:rPr>
                <w:t>Form of Restricted Stock Unit Award Grant Notice and Restricted</w:t>
              </w:r>
            </w:hyperlink>
          </w:p>
        </w:tc>
        <w:tc>
          <w:tcPr>
            <w:tcW w:w="140" w:type="dxa"/>
            <w:vAlign w:val="bottom"/>
            <w:gridSpan w:val="7"/>
          </w:tcPr>
          <w:p>
            <w:pPr>
              <w:spacing w:after="0"/>
              <w:rPr>
                <w:sz w:val="24"/>
                <w:szCs w:val="24"/>
                <w:color w:val="auto"/>
              </w:rPr>
            </w:pPr>
          </w:p>
        </w:tc>
      </w:tr>
      <w:tr>
        <w:trPr>
          <w:trHeight w:val="155"/>
        </w:trPr>
        <w:tc>
          <w:tcPr>
            <w:tcW w:w="760" w:type="dxa"/>
            <w:vAlign w:val="bottom"/>
          </w:tcPr>
          <w:p>
            <w:pPr>
              <w:spacing w:after="0"/>
              <w:rPr>
                <w:sz w:val="13"/>
                <w:szCs w:val="13"/>
                <w:color w:val="auto"/>
              </w:rPr>
            </w:pPr>
          </w:p>
        </w:tc>
        <w:tc>
          <w:tcPr>
            <w:tcW w:w="3960" w:type="dxa"/>
            <w:vAlign w:val="bottom"/>
            <w:tcBorders>
              <w:bottom w:val="single" w:sz="8" w:color="0000FF"/>
            </w:tcBorders>
            <w:gridSpan w:val="28"/>
          </w:tcPr>
          <w:p>
            <w:pPr>
              <w:spacing w:after="0" w:line="155" w:lineRule="exact"/>
              <w:rPr>
                <w:rFonts w:ascii="Arial" w:cs="Arial" w:eastAsia="Arial" w:hAnsi="Arial"/>
                <w:sz w:val="14"/>
                <w:szCs w:val="14"/>
                <w:color w:val="0000FF"/>
                <w:w w:val="94"/>
              </w:rPr>
            </w:pPr>
            <w:hyperlink r:id="rId177">
              <w:r>
                <w:rPr>
                  <w:rFonts w:ascii="Arial" w:cs="Arial" w:eastAsia="Arial" w:hAnsi="Arial"/>
                  <w:sz w:val="14"/>
                  <w:szCs w:val="14"/>
                  <w:color w:val="0000FF"/>
                  <w:w w:val="94"/>
                </w:rPr>
                <w:t>Stock Unit Award Agreement under the 2021 Incentive Award Plan.</w:t>
              </w:r>
            </w:hyperlink>
          </w:p>
        </w:tc>
      </w:tr>
      <w:tr>
        <w:trPr>
          <w:trHeight w:val="493"/>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6"/>
              </w:rPr>
              <w:t>10.13</w:t>
            </w:r>
          </w:p>
        </w:tc>
        <w:tc>
          <w:tcPr>
            <w:tcW w:w="2840" w:type="dxa"/>
            <w:vAlign w:val="bottom"/>
            <w:tcBorders>
              <w:bottom w:val="single" w:sz="8" w:color="0000FF"/>
            </w:tcBorders>
            <w:gridSpan w:val="10"/>
          </w:tcPr>
          <w:p>
            <w:pPr>
              <w:spacing w:after="0"/>
              <w:rPr>
                <w:rFonts w:ascii="Arial" w:cs="Arial" w:eastAsia="Arial" w:hAnsi="Arial"/>
                <w:sz w:val="14"/>
                <w:szCs w:val="14"/>
                <w:color w:val="0000FF"/>
                <w:w w:val="93"/>
              </w:rPr>
            </w:pPr>
            <w:hyperlink r:id="rId178">
              <w:r>
                <w:rPr>
                  <w:rFonts w:ascii="Arial" w:cs="Arial" w:eastAsia="Arial" w:hAnsi="Arial"/>
                  <w:sz w:val="14"/>
                  <w:szCs w:val="14"/>
                  <w:color w:val="0000FF"/>
                  <w:w w:val="93"/>
                </w:rPr>
                <w:t>Non-Employee Director Compensation Program.</w:t>
              </w:r>
            </w:hyperlink>
          </w:p>
        </w:tc>
        <w:tc>
          <w:tcPr>
            <w:tcW w:w="620" w:type="dxa"/>
            <w:vAlign w:val="bottom"/>
            <w:gridSpan w:val="3"/>
          </w:tcPr>
          <w:p>
            <w:pPr>
              <w:spacing w:after="0"/>
              <w:rPr>
                <w:sz w:val="24"/>
                <w:szCs w:val="24"/>
                <w:color w:val="auto"/>
              </w:rPr>
            </w:pPr>
          </w:p>
        </w:tc>
        <w:tc>
          <w:tcPr>
            <w:tcW w:w="220" w:type="dxa"/>
            <w:vAlign w:val="bottom"/>
            <w:gridSpan w:val="3"/>
          </w:tcPr>
          <w:p>
            <w:pPr>
              <w:spacing w:after="0"/>
              <w:rPr>
                <w:sz w:val="24"/>
                <w:szCs w:val="24"/>
                <w:color w:val="auto"/>
              </w:rPr>
            </w:pPr>
          </w:p>
        </w:tc>
        <w:tc>
          <w:tcPr>
            <w:tcW w:w="40" w:type="dxa"/>
            <w:vAlign w:val="bottom"/>
            <w:gridSpan w:val="2"/>
          </w:tcPr>
          <w:p>
            <w:pPr>
              <w:spacing w:after="0"/>
              <w:rPr>
                <w:sz w:val="24"/>
                <w:szCs w:val="24"/>
                <w:color w:val="auto"/>
              </w:rPr>
            </w:pPr>
          </w:p>
        </w:tc>
        <w:tc>
          <w:tcPr>
            <w:tcW w:w="100" w:type="dxa"/>
            <w:vAlign w:val="bottom"/>
            <w:gridSpan w:val="3"/>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4"/>
          </w:tcPr>
          <w:p>
            <w:pPr>
              <w:spacing w:after="0"/>
              <w:rPr>
                <w:sz w:val="24"/>
                <w:szCs w:val="24"/>
                <w:color w:val="auto"/>
              </w:rPr>
            </w:pPr>
          </w:p>
        </w:tc>
      </w:tr>
      <w:tr>
        <w:trPr>
          <w:trHeight w:val="223"/>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6"/>
              </w:rPr>
              <w:t>10.14</w:t>
            </w:r>
          </w:p>
        </w:tc>
        <w:tc>
          <w:tcPr>
            <w:tcW w:w="2180" w:type="dxa"/>
            <w:vAlign w:val="bottom"/>
            <w:tcBorders>
              <w:bottom w:val="single" w:sz="8" w:color="0000FF"/>
            </w:tcBorders>
            <w:gridSpan w:val="6"/>
          </w:tcPr>
          <w:p>
            <w:pPr>
              <w:spacing w:after="0"/>
              <w:rPr>
                <w:rFonts w:ascii="Arial" w:cs="Arial" w:eastAsia="Arial" w:hAnsi="Arial"/>
                <w:sz w:val="14"/>
                <w:szCs w:val="14"/>
                <w:color w:val="0000FF"/>
                <w:w w:val="96"/>
              </w:rPr>
            </w:pPr>
            <w:hyperlink r:id="rId179">
              <w:r>
                <w:rPr>
                  <w:rFonts w:ascii="Arial" w:cs="Arial" w:eastAsia="Arial" w:hAnsi="Arial"/>
                  <w:sz w:val="14"/>
                  <w:szCs w:val="14"/>
                  <w:color w:val="0000FF"/>
                  <w:w w:val="96"/>
                </w:rPr>
                <w:t>Form of Indemnification Agreement.</w:t>
              </w:r>
            </w:hyperlink>
          </w:p>
        </w:tc>
        <w:tc>
          <w:tcPr>
            <w:tcW w:w="1780" w:type="dxa"/>
            <w:vAlign w:val="bottom"/>
            <w:gridSpan w:val="22"/>
          </w:tcPr>
          <w:p>
            <w:pPr>
              <w:spacing w:after="0"/>
              <w:rPr>
                <w:sz w:val="19"/>
                <w:szCs w:val="19"/>
                <w:color w:val="auto"/>
              </w:rPr>
            </w:pPr>
          </w:p>
        </w:tc>
      </w:tr>
      <w:tr>
        <w:trPr>
          <w:trHeight w:val="196"/>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88"/>
              </w:rPr>
              <w:t>10.15†</w:t>
            </w:r>
          </w:p>
        </w:tc>
        <w:tc>
          <w:tcPr>
            <w:tcW w:w="3960" w:type="dxa"/>
            <w:vAlign w:val="bottom"/>
            <w:gridSpan w:val="28"/>
          </w:tcPr>
          <w:p>
            <w:pPr>
              <w:spacing w:after="0"/>
              <w:rPr>
                <w:rFonts w:ascii="Arial" w:cs="Arial" w:eastAsia="Arial" w:hAnsi="Arial"/>
                <w:sz w:val="14"/>
                <w:szCs w:val="14"/>
                <w:color w:val="0000FF"/>
                <w:w w:val="95"/>
              </w:rPr>
            </w:pPr>
            <w:hyperlink r:id="rId180">
              <w:r>
                <w:rPr>
                  <w:rFonts w:ascii="Arial" w:cs="Arial" w:eastAsia="Arial" w:hAnsi="Arial"/>
                  <w:sz w:val="14"/>
                  <w:szCs w:val="14"/>
                  <w:color w:val="0000FF"/>
                  <w:w w:val="95"/>
                </w:rPr>
                <w:t>Senior Secured Credit Facilities Credit Agreement dated as of May</w:t>
              </w:r>
            </w:hyperlink>
          </w:p>
        </w:tc>
      </w:tr>
      <w:tr>
        <w:trPr>
          <w:trHeight w:val="142"/>
        </w:trPr>
        <w:tc>
          <w:tcPr>
            <w:tcW w:w="760" w:type="dxa"/>
            <w:vAlign w:val="bottom"/>
          </w:tcPr>
          <w:p>
            <w:pPr>
              <w:spacing w:after="0"/>
              <w:rPr>
                <w:sz w:val="12"/>
                <w:szCs w:val="12"/>
                <w:color w:val="auto"/>
              </w:rPr>
            </w:pPr>
          </w:p>
        </w:tc>
        <w:tc>
          <w:tcPr>
            <w:tcW w:w="3880" w:type="dxa"/>
            <w:vAlign w:val="bottom"/>
            <w:tcBorders>
              <w:top w:val="single" w:sz="8" w:color="0000FF"/>
            </w:tcBorders>
            <w:gridSpan w:val="24"/>
          </w:tcPr>
          <w:p>
            <w:pPr>
              <w:spacing w:after="0" w:line="142" w:lineRule="exact"/>
              <w:rPr>
                <w:rFonts w:ascii="Arial" w:cs="Arial" w:eastAsia="Arial" w:hAnsi="Arial"/>
                <w:sz w:val="14"/>
                <w:szCs w:val="14"/>
                <w:color w:val="0000FF"/>
                <w:w w:val="95"/>
              </w:rPr>
            </w:pPr>
            <w:hyperlink r:id="rId180">
              <w:r>
                <w:rPr>
                  <w:rFonts w:ascii="Arial" w:cs="Arial" w:eastAsia="Arial" w:hAnsi="Arial"/>
                  <w:sz w:val="14"/>
                  <w:szCs w:val="14"/>
                  <w:color w:val="0000FF"/>
                  <w:w w:val="95"/>
                </w:rPr>
                <w:t>24, 2022, among Brilliant Earth, LLC as the Borrower, the several</w:t>
              </w:r>
            </w:hyperlink>
          </w:p>
        </w:tc>
        <w:tc>
          <w:tcPr>
            <w:tcW w:w="80" w:type="dxa"/>
            <w:vAlign w:val="bottom"/>
            <w:gridSpan w:val="4"/>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680" w:type="dxa"/>
            <w:vAlign w:val="bottom"/>
            <w:tcBorders>
              <w:top w:val="single" w:sz="8" w:color="0000FF"/>
              <w:bottom w:val="single" w:sz="8" w:color="0000FF"/>
            </w:tcBorders>
            <w:gridSpan w:val="16"/>
          </w:tcPr>
          <w:p>
            <w:pPr>
              <w:spacing w:after="0" w:line="142" w:lineRule="exact"/>
              <w:rPr>
                <w:rFonts w:ascii="Arial" w:cs="Arial" w:eastAsia="Arial" w:hAnsi="Arial"/>
                <w:sz w:val="14"/>
                <w:szCs w:val="14"/>
                <w:color w:val="0000FF"/>
                <w:w w:val="95"/>
              </w:rPr>
            </w:pPr>
            <w:hyperlink r:id="rId180">
              <w:r>
                <w:rPr>
                  <w:rFonts w:ascii="Arial" w:cs="Arial" w:eastAsia="Arial" w:hAnsi="Arial"/>
                  <w:sz w:val="14"/>
                  <w:szCs w:val="14"/>
                  <w:color w:val="0000FF"/>
                  <w:w w:val="95"/>
                </w:rPr>
                <w:t>lenders from time to time party thereto, Silicon Valley Bank as</w:t>
              </w:r>
            </w:hyperlink>
          </w:p>
        </w:tc>
        <w:tc>
          <w:tcPr>
            <w:tcW w:w="140" w:type="dxa"/>
            <w:vAlign w:val="bottom"/>
            <w:tcBorders>
              <w:top w:val="single" w:sz="8" w:color="0000FF"/>
            </w:tcBorders>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29"/>
        </w:trPr>
        <w:tc>
          <w:tcPr>
            <w:tcW w:w="760" w:type="dxa"/>
            <w:vAlign w:val="bottom"/>
          </w:tcPr>
          <w:p>
            <w:pPr>
              <w:spacing w:after="0"/>
              <w:rPr>
                <w:sz w:val="11"/>
                <w:szCs w:val="11"/>
                <w:color w:val="auto"/>
              </w:rPr>
            </w:pPr>
          </w:p>
        </w:tc>
        <w:tc>
          <w:tcPr>
            <w:tcW w:w="3960" w:type="dxa"/>
            <w:vAlign w:val="bottom"/>
            <w:gridSpan w:val="28"/>
          </w:tcPr>
          <w:p>
            <w:pPr>
              <w:spacing w:after="0" w:line="129" w:lineRule="exact"/>
              <w:rPr>
                <w:rFonts w:ascii="Arial" w:cs="Arial" w:eastAsia="Arial" w:hAnsi="Arial"/>
                <w:sz w:val="14"/>
                <w:szCs w:val="14"/>
                <w:color w:val="0000FF"/>
              </w:rPr>
            </w:pPr>
            <w:hyperlink r:id="rId180">
              <w:r>
                <w:rPr>
                  <w:rFonts w:ascii="Arial" w:cs="Arial" w:eastAsia="Arial" w:hAnsi="Arial"/>
                  <w:sz w:val="14"/>
                  <w:szCs w:val="14"/>
                  <w:color w:val="0000FF"/>
                </w:rPr>
                <w:t>Administrative Agent, Joint Lead Arranger, Bookrunner, Issuing</w:t>
              </w:r>
            </w:hyperlink>
          </w:p>
        </w:tc>
      </w:tr>
      <w:tr>
        <w:trPr>
          <w:trHeight w:val="142"/>
        </w:trPr>
        <w:tc>
          <w:tcPr>
            <w:tcW w:w="760" w:type="dxa"/>
            <w:vAlign w:val="bottom"/>
          </w:tcPr>
          <w:p>
            <w:pPr>
              <w:spacing w:after="0"/>
              <w:rPr>
                <w:sz w:val="12"/>
                <w:szCs w:val="12"/>
                <w:color w:val="auto"/>
              </w:rPr>
            </w:pPr>
          </w:p>
        </w:tc>
        <w:tc>
          <w:tcPr>
            <w:tcW w:w="3720" w:type="dxa"/>
            <w:vAlign w:val="bottom"/>
            <w:tcBorders>
              <w:top w:val="single" w:sz="8" w:color="0000FF"/>
            </w:tcBorders>
            <w:gridSpan w:val="18"/>
          </w:tcPr>
          <w:p>
            <w:pPr>
              <w:spacing w:after="0" w:line="142" w:lineRule="exact"/>
              <w:rPr>
                <w:rFonts w:ascii="Arial" w:cs="Arial" w:eastAsia="Arial" w:hAnsi="Arial"/>
                <w:sz w:val="14"/>
                <w:szCs w:val="14"/>
                <w:color w:val="0000FF"/>
                <w:w w:val="93"/>
              </w:rPr>
            </w:pPr>
            <w:hyperlink r:id="rId180">
              <w:r>
                <w:rPr>
                  <w:rFonts w:ascii="Arial" w:cs="Arial" w:eastAsia="Arial" w:hAnsi="Arial"/>
                  <w:sz w:val="14"/>
                  <w:szCs w:val="14"/>
                  <w:color w:val="0000FF"/>
                  <w:w w:val="93"/>
                </w:rPr>
                <w:t>Lender and Swingline Lender and JPMorgan Chase Bank, N.A.,</w:t>
              </w:r>
            </w:hyperlink>
          </w:p>
        </w:tc>
        <w:tc>
          <w:tcPr>
            <w:tcW w:w="240" w:type="dxa"/>
            <w:vAlign w:val="bottom"/>
            <w:gridSpan w:val="10"/>
          </w:tcPr>
          <w:p>
            <w:pPr>
              <w:ind w:left="20"/>
              <w:spacing w:after="0" w:line="142" w:lineRule="exact"/>
              <w:rPr>
                <w:rFonts w:ascii="Arial" w:cs="Arial" w:eastAsia="Arial" w:hAnsi="Arial"/>
                <w:sz w:val="14"/>
                <w:szCs w:val="14"/>
                <w:color w:val="0000FF"/>
              </w:rPr>
            </w:pPr>
            <w:hyperlink r:id="rId180">
              <w:r>
                <w:rPr>
                  <w:rFonts w:ascii="Arial" w:cs="Arial" w:eastAsia="Arial" w:hAnsi="Arial"/>
                  <w:sz w:val="14"/>
                  <w:szCs w:val="14"/>
                  <w:color w:val="0000FF"/>
                </w:rPr>
                <w:t>as</w:t>
              </w:r>
            </w:hyperlink>
          </w:p>
        </w:tc>
      </w:tr>
      <w:tr>
        <w:trPr>
          <w:trHeight w:val="142"/>
        </w:trPr>
        <w:tc>
          <w:tcPr>
            <w:tcW w:w="760" w:type="dxa"/>
            <w:vAlign w:val="bottom"/>
          </w:tcPr>
          <w:p>
            <w:pPr>
              <w:spacing w:after="0"/>
              <w:rPr>
                <w:sz w:val="12"/>
                <w:szCs w:val="12"/>
                <w:color w:val="auto"/>
              </w:rPr>
            </w:pPr>
          </w:p>
        </w:tc>
        <w:tc>
          <w:tcPr>
            <w:tcW w:w="1200" w:type="dxa"/>
            <w:vAlign w:val="bottom"/>
            <w:tcBorders>
              <w:top w:val="single" w:sz="8" w:color="0000FF"/>
              <w:bottom w:val="single" w:sz="8" w:color="0000FF"/>
            </w:tcBorders>
            <w:gridSpan w:val="3"/>
          </w:tcPr>
          <w:p>
            <w:pPr>
              <w:spacing w:after="0" w:line="142" w:lineRule="exact"/>
              <w:rPr>
                <w:rFonts w:ascii="Arial" w:cs="Arial" w:eastAsia="Arial" w:hAnsi="Arial"/>
                <w:sz w:val="14"/>
                <w:szCs w:val="14"/>
                <w:color w:val="0000FF"/>
                <w:w w:val="92"/>
              </w:rPr>
            </w:pPr>
            <w:hyperlink r:id="rId180">
              <w:r>
                <w:rPr>
                  <w:rFonts w:ascii="Arial" w:cs="Arial" w:eastAsia="Arial" w:hAnsi="Arial"/>
                  <w:sz w:val="14"/>
                  <w:szCs w:val="14"/>
                  <w:color w:val="0000FF"/>
                  <w:w w:val="92"/>
                </w:rPr>
                <w:t>Joint Lead Arranger.</w:t>
              </w:r>
            </w:hyperlink>
          </w:p>
        </w:tc>
        <w:tc>
          <w:tcPr>
            <w:tcW w:w="2660" w:type="dxa"/>
            <w:vAlign w:val="bottom"/>
            <w:tcBorders>
              <w:top w:val="single" w:sz="8" w:color="0000FF"/>
            </w:tcBorders>
            <w:gridSpan w:val="20"/>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23"/>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21.1</w:t>
            </w:r>
          </w:p>
        </w:tc>
        <w:tc>
          <w:tcPr>
            <w:tcW w:w="3960" w:type="dxa"/>
            <w:vAlign w:val="bottom"/>
            <w:gridSpan w:val="28"/>
          </w:tcPr>
          <w:p>
            <w:pPr>
              <w:spacing w:after="0"/>
              <w:rPr>
                <w:rFonts w:ascii="Arial" w:cs="Arial" w:eastAsia="Arial" w:hAnsi="Arial"/>
                <w:sz w:val="14"/>
                <w:szCs w:val="14"/>
                <w:color w:val="0000FF"/>
              </w:rPr>
            </w:pPr>
            <w:hyperlink r:id="rId181">
              <w:r>
                <w:rPr>
                  <w:rFonts w:ascii="Arial" w:cs="Arial" w:eastAsia="Arial" w:hAnsi="Arial"/>
                  <w:sz w:val="14"/>
                  <w:szCs w:val="14"/>
                  <w:color w:val="0000FF"/>
                </w:rPr>
                <w:t>Subsidiaries of Brilliant Earth Group, Inc.</w:t>
              </w:r>
            </w:hyperlink>
          </w:p>
        </w:tc>
      </w:tr>
      <w:tr>
        <w:trPr>
          <w:trHeight w:val="20"/>
        </w:trPr>
        <w:tc>
          <w:tcPr>
            <w:tcW w:w="760" w:type="dxa"/>
            <w:vAlign w:val="bottom"/>
          </w:tcPr>
          <w:p>
            <w:pPr>
              <w:spacing w:after="0" w:line="20" w:lineRule="exact"/>
              <w:rPr>
                <w:sz w:val="1"/>
                <w:szCs w:val="1"/>
                <w:color w:val="auto"/>
              </w:rPr>
            </w:pPr>
          </w:p>
        </w:tc>
        <w:tc>
          <w:tcPr>
            <w:tcW w:w="2420" w:type="dxa"/>
            <w:vAlign w:val="bottom"/>
            <w:gridSpan w:val="7"/>
            <w:shd w:val="clear" w:color="auto" w:fill="0000FF"/>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500" w:type="dxa"/>
            <w:vAlign w:val="bottom"/>
            <w:gridSpan w:val="15"/>
          </w:tcPr>
          <w:p>
            <w:pPr>
              <w:spacing w:after="0" w:line="20" w:lineRule="exact"/>
              <w:rPr>
                <w:sz w:val="1"/>
                <w:szCs w:val="1"/>
                <w:color w:val="auto"/>
              </w:rPr>
            </w:pPr>
          </w:p>
        </w:tc>
      </w:tr>
      <w:tr>
        <w:trPr>
          <w:trHeight w:val="210"/>
        </w:trPr>
        <w:tc>
          <w:tcPr>
            <w:tcW w:w="760" w:type="dxa"/>
            <w:vAlign w:val="bottom"/>
          </w:tcPr>
          <w:p>
            <w:pPr>
              <w:jc w:val="center"/>
              <w:ind w:right="308"/>
              <w:spacing w:after="0"/>
              <w:rPr>
                <w:sz w:val="20"/>
                <w:szCs w:val="20"/>
                <w:color w:val="auto"/>
              </w:rPr>
            </w:pPr>
            <w:r>
              <w:rPr>
                <w:rFonts w:ascii="Arial" w:cs="Arial" w:eastAsia="Arial" w:hAnsi="Arial"/>
                <w:sz w:val="14"/>
                <w:szCs w:val="14"/>
                <w:color w:val="auto"/>
                <w:w w:val="95"/>
              </w:rPr>
              <w:t>23.1</w:t>
            </w:r>
          </w:p>
        </w:tc>
        <w:tc>
          <w:tcPr>
            <w:tcW w:w="346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w w:val="93"/>
              </w:rPr>
              <w:t>Consent of Independent Registered Public Accounting Firm</w:t>
            </w:r>
          </w:p>
        </w:tc>
        <w:tc>
          <w:tcPr>
            <w:tcW w:w="500" w:type="dxa"/>
            <w:vAlign w:val="bottom"/>
            <w:gridSpan w:val="15"/>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ind w:left="20"/>
              <w:spacing w:after="0"/>
              <w:rPr>
                <w:sz w:val="20"/>
                <w:szCs w:val="20"/>
                <w:color w:val="auto"/>
              </w:rPr>
            </w:pPr>
            <w:r>
              <w:rPr>
                <w:rFonts w:ascii="Arial" w:cs="Arial" w:eastAsia="Arial" w:hAnsi="Arial"/>
                <w:sz w:val="14"/>
                <w:szCs w:val="14"/>
                <w:color w:val="auto"/>
              </w:rPr>
              <w:t>10-K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920" w:type="dxa"/>
            <w:vAlign w:val="bottom"/>
          </w:tcPr>
          <w:p>
            <w:pPr>
              <w:jc w:val="right"/>
              <w:spacing w:after="0"/>
              <w:rPr>
                <w:sz w:val="20"/>
                <w:szCs w:val="20"/>
                <w:color w:val="auto"/>
              </w:rPr>
            </w:pPr>
            <w:r>
              <w:rPr>
                <w:rFonts w:ascii="Arial" w:cs="Arial" w:eastAsia="Arial" w:hAnsi="Arial"/>
                <w:sz w:val="14"/>
                <w:szCs w:val="14"/>
                <w:color w:val="auto"/>
              </w:rPr>
              <w:t>3/22/2022</w:t>
            </w:r>
          </w:p>
        </w:tc>
      </w:tr>
      <w:tr>
        <w:trPr>
          <w:trHeight w:val="229"/>
        </w:trPr>
        <w:tc>
          <w:tcPr>
            <w:tcW w:w="62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920" w:type="dxa"/>
            <w:vAlign w:val="bottom"/>
          </w:tcPr>
          <w:p>
            <w:pPr>
              <w:jc w:val="right"/>
              <w:spacing w:after="0"/>
              <w:rPr>
                <w:sz w:val="20"/>
                <w:szCs w:val="20"/>
                <w:color w:val="auto"/>
              </w:rPr>
            </w:pPr>
            <w:r>
              <w:rPr>
                <w:rFonts w:ascii="Arial" w:cs="Arial" w:eastAsia="Arial" w:hAnsi="Arial"/>
                <w:sz w:val="14"/>
                <w:szCs w:val="14"/>
                <w:color w:val="auto"/>
              </w:rPr>
              <w:t>9/27/2021</w:t>
            </w:r>
          </w:p>
        </w:tc>
      </w:tr>
      <w:tr>
        <w:trPr>
          <w:trHeight w:val="392"/>
        </w:trPr>
        <w:tc>
          <w:tcPr>
            <w:tcW w:w="62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920" w:type="dxa"/>
            <w:vAlign w:val="bottom"/>
          </w:tcPr>
          <w:p>
            <w:pPr>
              <w:jc w:val="right"/>
              <w:spacing w:after="0"/>
              <w:rPr>
                <w:sz w:val="20"/>
                <w:szCs w:val="20"/>
                <w:color w:val="auto"/>
              </w:rPr>
            </w:pPr>
            <w:r>
              <w:rPr>
                <w:rFonts w:ascii="Arial" w:cs="Arial" w:eastAsia="Arial" w:hAnsi="Arial"/>
                <w:sz w:val="14"/>
                <w:szCs w:val="14"/>
                <w:color w:val="auto"/>
              </w:rPr>
              <w:t>9/27/2021</w:t>
            </w:r>
          </w:p>
        </w:tc>
      </w:tr>
      <w:tr>
        <w:trPr>
          <w:trHeight w:val="553"/>
        </w:trPr>
        <w:tc>
          <w:tcPr>
            <w:tcW w:w="62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920" w:type="dxa"/>
            <w:vAlign w:val="bottom"/>
          </w:tcPr>
          <w:p>
            <w:pPr>
              <w:jc w:val="right"/>
              <w:spacing w:after="0"/>
              <w:rPr>
                <w:sz w:val="20"/>
                <w:szCs w:val="20"/>
                <w:color w:val="auto"/>
              </w:rPr>
            </w:pPr>
            <w:r>
              <w:rPr>
                <w:rFonts w:ascii="Arial" w:cs="Arial" w:eastAsia="Arial" w:hAnsi="Arial"/>
                <w:sz w:val="14"/>
                <w:szCs w:val="14"/>
                <w:color w:val="auto"/>
              </w:rPr>
              <w:t>9/27/2021</w:t>
            </w:r>
          </w:p>
        </w:tc>
      </w:tr>
      <w:tr>
        <w:trPr>
          <w:trHeight w:val="553"/>
        </w:trPr>
        <w:tc>
          <w:tcPr>
            <w:tcW w:w="62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920" w:type="dxa"/>
            <w:vAlign w:val="bottom"/>
          </w:tcPr>
          <w:p>
            <w:pPr>
              <w:jc w:val="right"/>
              <w:spacing w:after="0"/>
              <w:rPr>
                <w:sz w:val="20"/>
                <w:szCs w:val="20"/>
                <w:color w:val="auto"/>
              </w:rPr>
            </w:pPr>
            <w:r>
              <w:rPr>
                <w:rFonts w:ascii="Arial" w:cs="Arial" w:eastAsia="Arial" w:hAnsi="Arial"/>
                <w:sz w:val="14"/>
                <w:szCs w:val="14"/>
                <w:color w:val="auto"/>
              </w:rPr>
              <w:t>9/27/2021</w:t>
            </w:r>
          </w:p>
        </w:tc>
      </w:tr>
      <w:tr>
        <w:trPr>
          <w:trHeight w:val="553"/>
        </w:trPr>
        <w:tc>
          <w:tcPr>
            <w:tcW w:w="62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920" w:type="dxa"/>
            <w:vAlign w:val="bottom"/>
          </w:tcPr>
          <w:p>
            <w:pPr>
              <w:jc w:val="right"/>
              <w:spacing w:after="0"/>
              <w:rPr>
                <w:sz w:val="20"/>
                <w:szCs w:val="20"/>
                <w:color w:val="auto"/>
              </w:rPr>
            </w:pPr>
            <w:r>
              <w:rPr>
                <w:rFonts w:ascii="Arial" w:cs="Arial" w:eastAsia="Arial" w:hAnsi="Arial"/>
                <w:sz w:val="14"/>
                <w:szCs w:val="14"/>
                <w:color w:val="auto"/>
              </w:rPr>
              <w:t>9/27/2021</w:t>
            </w:r>
          </w:p>
        </w:tc>
      </w:tr>
      <w:tr>
        <w:trPr>
          <w:trHeight w:val="392"/>
        </w:trPr>
        <w:tc>
          <w:tcPr>
            <w:tcW w:w="62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920" w:type="dxa"/>
            <w:vAlign w:val="bottom"/>
          </w:tcPr>
          <w:p>
            <w:pPr>
              <w:jc w:val="right"/>
              <w:spacing w:after="0"/>
              <w:rPr>
                <w:sz w:val="20"/>
                <w:szCs w:val="20"/>
                <w:color w:val="auto"/>
              </w:rPr>
            </w:pPr>
            <w:r>
              <w:rPr>
                <w:rFonts w:ascii="Arial" w:cs="Arial" w:eastAsia="Arial" w:hAnsi="Arial"/>
                <w:sz w:val="14"/>
                <w:szCs w:val="14"/>
                <w:color w:val="auto"/>
              </w:rPr>
              <w:t>9/27/2021</w:t>
            </w:r>
          </w:p>
        </w:tc>
      </w:tr>
      <w:tr>
        <w:trPr>
          <w:trHeight w:val="419"/>
        </w:trPr>
        <w:tc>
          <w:tcPr>
            <w:tcW w:w="62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10.7</w:t>
            </w:r>
          </w:p>
        </w:tc>
        <w:tc>
          <w:tcPr>
            <w:tcW w:w="920" w:type="dxa"/>
            <w:vAlign w:val="bottom"/>
          </w:tcPr>
          <w:p>
            <w:pPr>
              <w:jc w:val="right"/>
              <w:spacing w:after="0"/>
              <w:rPr>
                <w:sz w:val="20"/>
                <w:szCs w:val="20"/>
                <w:color w:val="auto"/>
              </w:rPr>
            </w:pPr>
            <w:r>
              <w:rPr>
                <w:rFonts w:ascii="Arial" w:cs="Arial" w:eastAsia="Arial" w:hAnsi="Arial"/>
                <w:sz w:val="14"/>
                <w:szCs w:val="14"/>
                <w:color w:val="auto"/>
              </w:rPr>
              <w:t>9/27/2021</w:t>
            </w:r>
          </w:p>
        </w:tc>
      </w:tr>
      <w:tr>
        <w:trPr>
          <w:trHeight w:val="391"/>
        </w:trPr>
        <w:tc>
          <w:tcPr>
            <w:tcW w:w="620" w:type="dxa"/>
            <w:vAlign w:val="bottom"/>
          </w:tcPr>
          <w:p>
            <w:pPr>
              <w:jc w:val="center"/>
              <w:ind w:right="228"/>
              <w:spacing w:after="0"/>
              <w:rPr>
                <w:sz w:val="20"/>
                <w:szCs w:val="20"/>
                <w:color w:val="auto"/>
              </w:rPr>
            </w:pPr>
            <w:r>
              <w:rPr>
                <w:rFonts w:ascii="Arial" w:cs="Arial" w:eastAsia="Arial" w:hAnsi="Arial"/>
                <w:sz w:val="14"/>
                <w:szCs w:val="14"/>
                <w:color w:val="auto"/>
                <w:w w:val="91"/>
              </w:rPr>
              <w:t>S-8</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333-259736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99.1</w:t>
            </w:r>
          </w:p>
        </w:tc>
        <w:tc>
          <w:tcPr>
            <w:tcW w:w="920" w:type="dxa"/>
            <w:vAlign w:val="bottom"/>
          </w:tcPr>
          <w:p>
            <w:pPr>
              <w:jc w:val="right"/>
              <w:spacing w:after="0"/>
              <w:rPr>
                <w:sz w:val="20"/>
                <w:szCs w:val="20"/>
                <w:color w:val="auto"/>
              </w:rPr>
            </w:pPr>
            <w:r>
              <w:rPr>
                <w:rFonts w:ascii="Arial" w:cs="Arial" w:eastAsia="Arial" w:hAnsi="Arial"/>
                <w:sz w:val="14"/>
                <w:szCs w:val="14"/>
                <w:color w:val="auto"/>
              </w:rPr>
              <w:t>9/23/2021</w:t>
            </w:r>
          </w:p>
        </w:tc>
      </w:tr>
      <w:tr>
        <w:trPr>
          <w:trHeight w:val="230"/>
        </w:trPr>
        <w:tc>
          <w:tcPr>
            <w:tcW w:w="620" w:type="dxa"/>
            <w:vAlign w:val="bottom"/>
          </w:tcPr>
          <w:p>
            <w:pPr>
              <w:jc w:val="center"/>
              <w:ind w:right="228"/>
              <w:spacing w:after="0"/>
              <w:rPr>
                <w:sz w:val="20"/>
                <w:szCs w:val="20"/>
                <w:color w:val="auto"/>
              </w:rPr>
            </w:pPr>
            <w:r>
              <w:rPr>
                <w:rFonts w:ascii="Arial" w:cs="Arial" w:eastAsia="Arial" w:hAnsi="Arial"/>
                <w:sz w:val="14"/>
                <w:szCs w:val="14"/>
                <w:color w:val="auto"/>
                <w:w w:val="91"/>
              </w:rPr>
              <w:t>S-8</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333-259736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99.2</w:t>
            </w:r>
          </w:p>
        </w:tc>
        <w:tc>
          <w:tcPr>
            <w:tcW w:w="920" w:type="dxa"/>
            <w:vAlign w:val="bottom"/>
          </w:tcPr>
          <w:p>
            <w:pPr>
              <w:jc w:val="right"/>
              <w:spacing w:after="0"/>
              <w:rPr>
                <w:sz w:val="20"/>
                <w:szCs w:val="20"/>
                <w:color w:val="auto"/>
              </w:rPr>
            </w:pPr>
            <w:r>
              <w:rPr>
                <w:rFonts w:ascii="Arial" w:cs="Arial" w:eastAsia="Arial" w:hAnsi="Arial"/>
                <w:sz w:val="14"/>
                <w:szCs w:val="14"/>
                <w:color w:val="auto"/>
              </w:rPr>
              <w:t>9/23/2021</w:t>
            </w:r>
          </w:p>
        </w:tc>
      </w:tr>
      <w:tr>
        <w:trPr>
          <w:trHeight w:val="230"/>
        </w:trPr>
        <w:tc>
          <w:tcPr>
            <w:tcW w:w="620" w:type="dxa"/>
            <w:vAlign w:val="bottom"/>
          </w:tcPr>
          <w:p>
            <w:pPr>
              <w:jc w:val="center"/>
              <w:ind w:right="20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10.9</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r>
        <w:trPr>
          <w:trHeight w:val="391"/>
        </w:trPr>
        <w:tc>
          <w:tcPr>
            <w:tcW w:w="620" w:type="dxa"/>
            <w:vAlign w:val="bottom"/>
          </w:tcPr>
          <w:p>
            <w:pPr>
              <w:jc w:val="center"/>
              <w:ind w:right="20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85"/>
              </w:rPr>
              <w:t>10.11</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r>
        <w:trPr>
          <w:trHeight w:val="459"/>
        </w:trPr>
        <w:tc>
          <w:tcPr>
            <w:tcW w:w="620" w:type="dxa"/>
            <w:vAlign w:val="bottom"/>
          </w:tcPr>
          <w:p>
            <w:pPr>
              <w:jc w:val="center"/>
              <w:ind w:right="20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10.12</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r>
        <w:trPr>
          <w:trHeight w:val="702"/>
        </w:trPr>
        <w:tc>
          <w:tcPr>
            <w:tcW w:w="620" w:type="dxa"/>
            <w:vAlign w:val="bottom"/>
          </w:tcPr>
          <w:p>
            <w:pPr>
              <w:jc w:val="center"/>
              <w:ind w:right="20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10.14</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r>
        <w:trPr>
          <w:trHeight w:val="230"/>
        </w:trPr>
        <w:tc>
          <w:tcPr>
            <w:tcW w:w="620" w:type="dxa"/>
            <w:vAlign w:val="bottom"/>
          </w:tcPr>
          <w:p>
            <w:pPr>
              <w:jc w:val="center"/>
              <w:ind w:right="208"/>
              <w:spacing w:after="0"/>
              <w:rPr>
                <w:sz w:val="20"/>
                <w:szCs w:val="20"/>
                <w:color w:val="auto"/>
              </w:rPr>
            </w:pPr>
            <w:r>
              <w:rPr>
                <w:rFonts w:ascii="Arial" w:cs="Arial" w:eastAsia="Arial" w:hAnsi="Arial"/>
                <w:sz w:val="14"/>
                <w:szCs w:val="14"/>
                <w:color w:val="auto"/>
                <w:w w:val="96"/>
              </w:rPr>
              <w:t>S-1/A</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10.15</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r>
        <w:trPr>
          <w:trHeight w:val="230"/>
        </w:trPr>
        <w:tc>
          <w:tcPr>
            <w:tcW w:w="620" w:type="dxa"/>
            <w:vAlign w:val="bottom"/>
          </w:tcPr>
          <w:p>
            <w:pPr>
              <w:jc w:val="center"/>
              <w:ind w:right="208"/>
              <w:spacing w:after="0"/>
              <w:rPr>
                <w:sz w:val="20"/>
                <w:szCs w:val="20"/>
                <w:color w:val="auto"/>
              </w:rPr>
            </w:pPr>
            <w:r>
              <w:rPr>
                <w:rFonts w:ascii="Arial" w:cs="Arial" w:eastAsia="Arial" w:hAnsi="Arial"/>
                <w:sz w:val="14"/>
                <w:szCs w:val="14"/>
                <w:color w:val="auto"/>
                <w:w w:val="96"/>
              </w:rPr>
              <w:t>10-Q</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920" w:type="dxa"/>
            <w:vAlign w:val="bottom"/>
          </w:tcPr>
          <w:p>
            <w:pPr>
              <w:jc w:val="right"/>
              <w:spacing w:after="0"/>
              <w:rPr>
                <w:sz w:val="20"/>
                <w:szCs w:val="20"/>
                <w:color w:val="auto"/>
              </w:rPr>
            </w:pPr>
            <w:r>
              <w:rPr>
                <w:rFonts w:ascii="Arial" w:cs="Arial" w:eastAsia="Arial" w:hAnsi="Arial"/>
                <w:sz w:val="14"/>
                <w:szCs w:val="14"/>
                <w:color w:val="auto"/>
              </w:rPr>
              <w:t>8/12/2022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900" w:val="left"/>
          <w:tab w:leader="none" w:pos="2160" w:val="left"/>
          <w:tab w:leader="none" w:pos="3120" w:val="left"/>
        </w:tabs>
        <w:rPr>
          <w:sz w:val="20"/>
          <w:szCs w:val="20"/>
          <w:color w:val="auto"/>
        </w:rPr>
      </w:pPr>
      <w:r>
        <w:rPr>
          <w:rFonts w:ascii="Arial" w:cs="Arial" w:eastAsia="Arial" w:hAnsi="Arial"/>
          <w:sz w:val="14"/>
          <w:szCs w:val="14"/>
          <w:color w:val="auto"/>
        </w:rPr>
        <w:t>10-K</w:t>
      </w:r>
      <w:r>
        <w:rPr>
          <w:sz w:val="20"/>
          <w:szCs w:val="20"/>
          <w:color w:val="auto"/>
        </w:rPr>
        <w:tab/>
      </w:r>
      <w:r>
        <w:rPr>
          <w:rFonts w:ascii="Arial" w:cs="Arial" w:eastAsia="Arial" w:hAnsi="Arial"/>
          <w:sz w:val="14"/>
          <w:szCs w:val="14"/>
          <w:color w:val="auto"/>
        </w:rPr>
        <w:t>001-40836</w:t>
      </w:r>
      <w:r>
        <w:rPr>
          <w:sz w:val="20"/>
          <w:szCs w:val="20"/>
          <w:color w:val="auto"/>
        </w:rPr>
        <w:tab/>
      </w:r>
      <w:r>
        <w:rPr>
          <w:rFonts w:ascii="Arial" w:cs="Arial" w:eastAsia="Arial" w:hAnsi="Arial"/>
          <w:sz w:val="14"/>
          <w:szCs w:val="14"/>
          <w:color w:val="auto"/>
        </w:rPr>
        <w:t>21.1</w:t>
      </w:r>
      <w:r>
        <w:rPr>
          <w:sz w:val="20"/>
          <w:szCs w:val="20"/>
          <w:color w:val="auto"/>
        </w:rPr>
        <w:tab/>
      </w:r>
      <w:r>
        <w:rPr>
          <w:rFonts w:ascii="Arial" w:cs="Arial" w:eastAsia="Arial" w:hAnsi="Arial"/>
          <w:sz w:val="13"/>
          <w:szCs w:val="13"/>
          <w:color w:val="auto"/>
        </w:rPr>
        <w:t>3/22/2022</w:t>
      </w:r>
    </w:p>
    <w:p>
      <w:pPr>
        <w:spacing w:after="0" w:line="69" w:lineRule="exact"/>
        <w:rPr>
          <w:sz w:val="20"/>
          <w:szCs w:val="20"/>
          <w:color w:val="auto"/>
        </w:rPr>
      </w:pPr>
    </w:p>
    <w:p>
      <w:pPr>
        <w:jc w:val="right"/>
        <w:ind w:right="800"/>
        <w:spacing w:after="0"/>
        <w:rPr>
          <w:sz w:val="20"/>
          <w:szCs w:val="20"/>
          <w:color w:val="auto"/>
        </w:rPr>
      </w:pPr>
      <w:r>
        <w:rPr>
          <w:rFonts w:ascii="Arial" w:cs="Arial" w:eastAsia="Arial" w:hAnsi="Arial"/>
          <w:sz w:val="14"/>
          <w:szCs w:val="14"/>
          <w:color w:val="auto"/>
        </w:rPr>
        <w:t>*</w:t>
      </w:r>
    </w:p>
    <w:p>
      <w:pPr>
        <w:spacing w:after="0" w:line="206" w:lineRule="exact"/>
        <w:rPr>
          <w:sz w:val="20"/>
          <w:szCs w:val="20"/>
          <w:color w:val="auto"/>
        </w:rPr>
      </w:pPr>
    </w:p>
    <w:p>
      <w:pPr>
        <w:sectPr>
          <w:pgSz w:w="11900" w:h="16838" w:orient="portrait"/>
          <w:cols w:equalWidth="0" w:num="2">
            <w:col w:w="5060" w:space="380"/>
            <w:col w:w="580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5"/>
              </w:rPr>
              <w:t>31.1</w:t>
            </w:r>
          </w:p>
        </w:tc>
        <w:tc>
          <w:tcPr>
            <w:tcW w:w="6580" w:type="dxa"/>
            <w:vAlign w:val="bottom"/>
            <w:gridSpan w:val="7"/>
          </w:tcPr>
          <w:p>
            <w:pPr>
              <w:spacing w:after="0"/>
              <w:rPr>
                <w:sz w:val="20"/>
                <w:szCs w:val="20"/>
                <w:color w:val="auto"/>
              </w:rPr>
            </w:pPr>
            <w:r>
              <w:rPr>
                <w:rFonts w:ascii="Arial" w:cs="Arial" w:eastAsia="Arial" w:hAnsi="Arial"/>
                <w:sz w:val="14"/>
                <w:szCs w:val="14"/>
                <w:color w:val="0000FF"/>
              </w:rPr>
              <w:t>Certification of Chief Executive Officer pursuant to Rule 13a-</w:t>
            </w:r>
          </w:p>
        </w:tc>
        <w:tc>
          <w:tcPr>
            <w:tcW w:w="2740" w:type="dxa"/>
            <w:vAlign w:val="bottom"/>
          </w:tcPr>
          <w:p>
            <w:pPr>
              <w:jc w:val="center"/>
              <w:ind w:left="2548"/>
              <w:spacing w:after="0"/>
              <w:rPr>
                <w:sz w:val="20"/>
                <w:szCs w:val="20"/>
                <w:color w:val="auto"/>
              </w:rPr>
            </w:pPr>
            <w:r>
              <w:rPr>
                <w:rFonts w:ascii="Arial" w:cs="Arial" w:eastAsia="Arial" w:hAnsi="Arial"/>
                <w:sz w:val="14"/>
                <w:szCs w:val="14"/>
                <w:color w:val="auto"/>
              </w:rPr>
              <w:t>*</w:t>
            </w:r>
          </w:p>
        </w:tc>
      </w:tr>
      <w:tr>
        <w:trPr>
          <w:trHeight w:val="156"/>
        </w:trPr>
        <w:tc>
          <w:tcPr>
            <w:tcW w:w="840" w:type="dxa"/>
            <w:vAlign w:val="bottom"/>
          </w:tcPr>
          <w:p>
            <w:pPr>
              <w:spacing w:after="0"/>
              <w:rPr>
                <w:sz w:val="13"/>
                <w:szCs w:val="13"/>
                <w:color w:val="auto"/>
              </w:rPr>
            </w:pPr>
          </w:p>
        </w:tc>
        <w:tc>
          <w:tcPr>
            <w:tcW w:w="960" w:type="dxa"/>
            <w:vAlign w:val="bottom"/>
            <w:tcBorders>
              <w:top w:val="single" w:sz="8" w:color="0000FF"/>
              <w:bottom w:val="single" w:sz="8" w:color="0000FF"/>
            </w:tcBorders>
            <w:gridSpan w:val="4"/>
          </w:tcPr>
          <w:p>
            <w:pPr>
              <w:spacing w:after="0" w:line="155" w:lineRule="exact"/>
              <w:rPr>
                <w:sz w:val="20"/>
                <w:szCs w:val="20"/>
                <w:color w:val="auto"/>
              </w:rPr>
            </w:pPr>
            <w:r>
              <w:rPr>
                <w:rFonts w:ascii="Arial" w:cs="Arial" w:eastAsia="Arial" w:hAnsi="Arial"/>
                <w:sz w:val="14"/>
                <w:szCs w:val="14"/>
                <w:color w:val="0000FF"/>
                <w:w w:val="92"/>
              </w:rPr>
              <w:t>14(a)/15d-14(a).</w:t>
            </w:r>
          </w:p>
        </w:tc>
        <w:tc>
          <w:tcPr>
            <w:tcW w:w="2620" w:type="dxa"/>
            <w:vAlign w:val="bottom"/>
            <w:tcBorders>
              <w:top w:val="single" w:sz="8" w:color="0000FF"/>
            </w:tcBorders>
            <w:gridSpan w:val="2"/>
          </w:tcPr>
          <w:p>
            <w:pPr>
              <w:spacing w:after="0"/>
              <w:rPr>
                <w:sz w:val="13"/>
                <w:szCs w:val="13"/>
                <w:color w:val="auto"/>
              </w:rPr>
            </w:pPr>
          </w:p>
        </w:tc>
        <w:tc>
          <w:tcPr>
            <w:tcW w:w="300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23"/>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5"/>
              </w:rPr>
              <w:t>31.2</w:t>
            </w:r>
          </w:p>
        </w:tc>
        <w:tc>
          <w:tcPr>
            <w:tcW w:w="6580" w:type="dxa"/>
            <w:vAlign w:val="bottom"/>
            <w:gridSpan w:val="7"/>
          </w:tcPr>
          <w:p>
            <w:pPr>
              <w:spacing w:after="0"/>
              <w:rPr>
                <w:sz w:val="20"/>
                <w:szCs w:val="20"/>
                <w:color w:val="auto"/>
              </w:rPr>
            </w:pPr>
            <w:r>
              <w:rPr>
                <w:rFonts w:ascii="Arial" w:cs="Arial" w:eastAsia="Arial" w:hAnsi="Arial"/>
                <w:sz w:val="14"/>
                <w:szCs w:val="14"/>
                <w:color w:val="0000FF"/>
              </w:rPr>
              <w:t>Certification of Chief Financial Officer pursuant to Rule 13a-</w:t>
            </w:r>
          </w:p>
        </w:tc>
        <w:tc>
          <w:tcPr>
            <w:tcW w:w="2740" w:type="dxa"/>
            <w:vAlign w:val="bottom"/>
          </w:tcPr>
          <w:p>
            <w:pPr>
              <w:jc w:val="center"/>
              <w:ind w:left="2548"/>
              <w:spacing w:after="0"/>
              <w:rPr>
                <w:sz w:val="20"/>
                <w:szCs w:val="20"/>
                <w:color w:val="auto"/>
              </w:rPr>
            </w:pPr>
            <w:r>
              <w:rPr>
                <w:rFonts w:ascii="Arial" w:cs="Arial" w:eastAsia="Arial" w:hAnsi="Arial"/>
                <w:sz w:val="14"/>
                <w:szCs w:val="14"/>
                <w:color w:val="auto"/>
              </w:rPr>
              <w:t>*</w:t>
            </w:r>
          </w:p>
        </w:tc>
      </w:tr>
      <w:tr>
        <w:trPr>
          <w:trHeight w:val="155"/>
        </w:trPr>
        <w:tc>
          <w:tcPr>
            <w:tcW w:w="840" w:type="dxa"/>
            <w:vAlign w:val="bottom"/>
          </w:tcPr>
          <w:p>
            <w:pPr>
              <w:spacing w:after="0"/>
              <w:rPr>
                <w:sz w:val="13"/>
                <w:szCs w:val="13"/>
                <w:color w:val="auto"/>
              </w:rPr>
            </w:pPr>
          </w:p>
        </w:tc>
        <w:tc>
          <w:tcPr>
            <w:tcW w:w="3540" w:type="dxa"/>
            <w:vAlign w:val="bottom"/>
            <w:tcBorders>
              <w:top w:val="single" w:sz="8" w:color="0000FF"/>
            </w:tcBorders>
            <w:gridSpan w:val="5"/>
          </w:tcPr>
          <w:p>
            <w:pPr>
              <w:spacing w:after="0" w:line="155" w:lineRule="exact"/>
              <w:rPr>
                <w:sz w:val="20"/>
                <w:szCs w:val="20"/>
                <w:color w:val="auto"/>
              </w:rPr>
            </w:pPr>
            <w:r>
              <w:rPr>
                <w:rFonts w:ascii="Arial" w:cs="Arial" w:eastAsia="Arial" w:hAnsi="Arial"/>
                <w:sz w:val="14"/>
                <w:szCs w:val="14"/>
                <w:color w:val="0000FF"/>
              </w:rPr>
              <w:t>14(a)/15d-14(a)</w:t>
            </w:r>
            <w:r>
              <w:rPr>
                <w:rFonts w:ascii="Arial" w:cs="Arial" w:eastAsia="Arial" w:hAnsi="Arial"/>
                <w:sz w:val="14"/>
                <w:szCs w:val="14"/>
                <w:color w:val="000000"/>
              </w:rPr>
              <w:t>.</w:t>
            </w:r>
          </w:p>
        </w:tc>
        <w:tc>
          <w:tcPr>
            <w:tcW w:w="3040" w:type="dxa"/>
            <w:vAlign w:val="bottom"/>
            <w:gridSpan w:val="2"/>
          </w:tcPr>
          <w:p>
            <w:pPr>
              <w:spacing w:after="0"/>
              <w:rPr>
                <w:sz w:val="13"/>
                <w:szCs w:val="13"/>
                <w:color w:val="auto"/>
              </w:rPr>
            </w:pPr>
          </w:p>
        </w:tc>
        <w:tc>
          <w:tcPr>
            <w:tcW w:w="27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23"/>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5"/>
              </w:rPr>
              <w:t>32.1</w:t>
            </w:r>
          </w:p>
        </w:tc>
        <w:tc>
          <w:tcPr>
            <w:tcW w:w="6580" w:type="dxa"/>
            <w:vAlign w:val="bottom"/>
            <w:gridSpan w:val="7"/>
          </w:tcPr>
          <w:p>
            <w:pPr>
              <w:spacing w:after="0"/>
              <w:rPr>
                <w:sz w:val="20"/>
                <w:szCs w:val="20"/>
                <w:color w:val="auto"/>
              </w:rPr>
            </w:pPr>
            <w:r>
              <w:rPr>
                <w:rFonts w:ascii="Arial" w:cs="Arial" w:eastAsia="Arial" w:hAnsi="Arial"/>
                <w:sz w:val="14"/>
                <w:szCs w:val="14"/>
                <w:color w:val="0000FF"/>
              </w:rPr>
              <w:t>Certification of Chief Executive Officer pursuant to 18 U.S.C.</w:t>
            </w:r>
          </w:p>
        </w:tc>
        <w:tc>
          <w:tcPr>
            <w:tcW w:w="2740" w:type="dxa"/>
            <w:vAlign w:val="bottom"/>
          </w:tcPr>
          <w:p>
            <w:pPr>
              <w:jc w:val="center"/>
              <w:ind w:left="2528"/>
              <w:spacing w:after="0"/>
              <w:rPr>
                <w:sz w:val="20"/>
                <w:szCs w:val="20"/>
                <w:color w:val="auto"/>
              </w:rPr>
            </w:pPr>
            <w:r>
              <w:rPr>
                <w:rFonts w:ascii="Arial" w:cs="Arial" w:eastAsia="Arial" w:hAnsi="Arial"/>
                <w:sz w:val="14"/>
                <w:szCs w:val="14"/>
                <w:color w:val="auto"/>
              </w:rPr>
              <w:t>**</w:t>
            </w:r>
          </w:p>
        </w:tc>
      </w:tr>
      <w:tr>
        <w:trPr>
          <w:trHeight w:val="156"/>
        </w:trPr>
        <w:tc>
          <w:tcPr>
            <w:tcW w:w="840" w:type="dxa"/>
            <w:vAlign w:val="bottom"/>
          </w:tcPr>
          <w:p>
            <w:pPr>
              <w:spacing w:after="0"/>
              <w:rPr>
                <w:sz w:val="13"/>
                <w:szCs w:val="13"/>
                <w:color w:val="auto"/>
              </w:rPr>
            </w:pPr>
          </w:p>
        </w:tc>
        <w:tc>
          <w:tcPr>
            <w:tcW w:w="820" w:type="dxa"/>
            <w:vAlign w:val="bottom"/>
            <w:tcBorders>
              <w:top w:val="single" w:sz="8" w:color="0000FF"/>
              <w:bottom w:val="single" w:sz="8" w:color="0000FF"/>
            </w:tcBorders>
            <w:gridSpan w:val="2"/>
          </w:tcPr>
          <w:p>
            <w:pPr>
              <w:spacing w:after="0" w:line="155" w:lineRule="exact"/>
              <w:rPr>
                <w:sz w:val="20"/>
                <w:szCs w:val="20"/>
                <w:color w:val="auto"/>
              </w:rPr>
            </w:pPr>
            <w:r>
              <w:rPr>
                <w:rFonts w:ascii="Arial" w:cs="Arial" w:eastAsia="Arial" w:hAnsi="Arial"/>
                <w:sz w:val="14"/>
                <w:szCs w:val="14"/>
                <w:color w:val="0000FF"/>
                <w:w w:val="93"/>
              </w:rPr>
              <w:t>Section 1350.</w:t>
            </w:r>
          </w:p>
        </w:tc>
        <w:tc>
          <w:tcPr>
            <w:tcW w:w="2760" w:type="dxa"/>
            <w:vAlign w:val="bottom"/>
            <w:tcBorders>
              <w:top w:val="single" w:sz="8" w:color="0000FF"/>
            </w:tcBorders>
            <w:gridSpan w:val="4"/>
          </w:tcPr>
          <w:p>
            <w:pPr>
              <w:spacing w:after="0"/>
              <w:rPr>
                <w:sz w:val="13"/>
                <w:szCs w:val="13"/>
                <w:color w:val="auto"/>
              </w:rPr>
            </w:pPr>
          </w:p>
        </w:tc>
        <w:tc>
          <w:tcPr>
            <w:tcW w:w="300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23"/>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5"/>
              </w:rPr>
              <w:t>32.2</w:t>
            </w:r>
          </w:p>
        </w:tc>
        <w:tc>
          <w:tcPr>
            <w:tcW w:w="6580" w:type="dxa"/>
            <w:vAlign w:val="bottom"/>
            <w:gridSpan w:val="7"/>
          </w:tcPr>
          <w:p>
            <w:pPr>
              <w:spacing w:after="0"/>
              <w:rPr>
                <w:sz w:val="20"/>
                <w:szCs w:val="20"/>
                <w:color w:val="auto"/>
              </w:rPr>
            </w:pPr>
            <w:r>
              <w:rPr>
                <w:rFonts w:ascii="Arial" w:cs="Arial" w:eastAsia="Arial" w:hAnsi="Arial"/>
                <w:sz w:val="14"/>
                <w:szCs w:val="14"/>
                <w:color w:val="0000FF"/>
              </w:rPr>
              <w:t>Certification of Chief Financial Officer pursuant to 18 U.S.C.</w:t>
            </w:r>
          </w:p>
        </w:tc>
        <w:tc>
          <w:tcPr>
            <w:tcW w:w="2740" w:type="dxa"/>
            <w:vAlign w:val="bottom"/>
          </w:tcPr>
          <w:p>
            <w:pPr>
              <w:jc w:val="center"/>
              <w:ind w:left="2528"/>
              <w:spacing w:after="0"/>
              <w:rPr>
                <w:sz w:val="20"/>
                <w:szCs w:val="20"/>
                <w:color w:val="auto"/>
              </w:rPr>
            </w:pPr>
            <w:r>
              <w:rPr>
                <w:rFonts w:ascii="Arial" w:cs="Arial" w:eastAsia="Arial" w:hAnsi="Arial"/>
                <w:sz w:val="14"/>
                <w:szCs w:val="14"/>
                <w:color w:val="auto"/>
              </w:rPr>
              <w:t>**</w:t>
            </w:r>
          </w:p>
        </w:tc>
      </w:tr>
      <w:tr>
        <w:trPr>
          <w:trHeight w:val="155"/>
        </w:trPr>
        <w:tc>
          <w:tcPr>
            <w:tcW w:w="84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5" w:lineRule="exact"/>
              <w:rPr>
                <w:sz w:val="20"/>
                <w:szCs w:val="20"/>
                <w:color w:val="auto"/>
              </w:rPr>
            </w:pPr>
            <w:r>
              <w:rPr>
                <w:rFonts w:ascii="Arial" w:cs="Arial" w:eastAsia="Arial" w:hAnsi="Arial"/>
                <w:sz w:val="14"/>
                <w:szCs w:val="14"/>
                <w:color w:val="0000FF"/>
                <w:w w:val="91"/>
              </w:rPr>
              <w:t>Section 1350.</w:t>
            </w:r>
          </w:p>
        </w:tc>
        <w:tc>
          <w:tcPr>
            <w:tcW w:w="2740" w:type="dxa"/>
            <w:vAlign w:val="bottom"/>
            <w:tcBorders>
              <w:top w:val="single" w:sz="8" w:color="0000FF"/>
            </w:tcBorders>
            <w:gridSpan w:val="4"/>
          </w:tcPr>
          <w:p>
            <w:pPr>
              <w:spacing w:after="0"/>
              <w:rPr>
                <w:sz w:val="13"/>
                <w:szCs w:val="13"/>
                <w:color w:val="auto"/>
              </w:rPr>
            </w:pPr>
          </w:p>
        </w:tc>
        <w:tc>
          <w:tcPr>
            <w:tcW w:w="3040" w:type="dxa"/>
            <w:vAlign w:val="bottom"/>
            <w:gridSpan w:val="2"/>
          </w:tcPr>
          <w:p>
            <w:pPr>
              <w:spacing w:after="0"/>
              <w:rPr>
                <w:sz w:val="13"/>
                <w:szCs w:val="13"/>
                <w:color w:val="auto"/>
              </w:rPr>
            </w:pPr>
          </w:p>
        </w:tc>
        <w:tc>
          <w:tcPr>
            <w:tcW w:w="2740" w:type="dxa"/>
            <w:vAlign w:val="bottom"/>
          </w:tcPr>
          <w:p>
            <w:pPr>
              <w:spacing w:after="0"/>
              <w:rPr>
                <w:sz w:val="13"/>
                <w:szCs w:val="13"/>
                <w:color w:val="auto"/>
              </w:rPr>
            </w:pPr>
          </w:p>
        </w:tc>
      </w:tr>
      <w:tr>
        <w:trPr>
          <w:trHeight w:val="245"/>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8"/>
              </w:rPr>
              <w:t>101.INS</w:t>
            </w:r>
          </w:p>
        </w:tc>
        <w:tc>
          <w:tcPr>
            <w:tcW w:w="6580" w:type="dxa"/>
            <w:vAlign w:val="bottom"/>
            <w:gridSpan w:val="7"/>
          </w:tcPr>
          <w:p>
            <w:pPr>
              <w:spacing w:after="0"/>
              <w:rPr>
                <w:sz w:val="20"/>
                <w:szCs w:val="20"/>
                <w:color w:val="auto"/>
              </w:rPr>
            </w:pPr>
            <w:r>
              <w:rPr>
                <w:rFonts w:ascii="Arial" w:cs="Arial" w:eastAsia="Arial" w:hAnsi="Arial"/>
                <w:sz w:val="14"/>
                <w:szCs w:val="14"/>
                <w:color w:val="auto"/>
              </w:rPr>
              <w:t>Inline XBRL Instance Document - the instance document does not</w:t>
            </w:r>
          </w:p>
        </w:tc>
        <w:tc>
          <w:tcPr>
            <w:tcW w:w="2740" w:type="dxa"/>
            <w:vAlign w:val="bottom"/>
          </w:tcPr>
          <w:p>
            <w:pPr>
              <w:jc w:val="center"/>
              <w:ind w:left="2548"/>
              <w:spacing w:after="0"/>
              <w:rPr>
                <w:sz w:val="20"/>
                <w:szCs w:val="20"/>
                <w:color w:val="auto"/>
              </w:rPr>
            </w:pPr>
            <w:r>
              <w:rPr>
                <w:rFonts w:ascii="Arial" w:cs="Arial" w:eastAsia="Arial" w:hAnsi="Arial"/>
                <w:sz w:val="14"/>
                <w:szCs w:val="14"/>
                <w:color w:val="auto"/>
              </w:rPr>
              <w:t>*</w:t>
            </w:r>
          </w:p>
        </w:tc>
      </w:tr>
      <w:tr>
        <w:trPr>
          <w:trHeight w:val="182"/>
        </w:trPr>
        <w:tc>
          <w:tcPr>
            <w:tcW w:w="840" w:type="dxa"/>
            <w:vAlign w:val="bottom"/>
          </w:tcPr>
          <w:p>
            <w:pPr>
              <w:spacing w:after="0"/>
              <w:rPr>
                <w:sz w:val="15"/>
                <w:szCs w:val="15"/>
                <w:color w:val="auto"/>
              </w:rPr>
            </w:pPr>
          </w:p>
        </w:tc>
        <w:tc>
          <w:tcPr>
            <w:tcW w:w="6580" w:type="dxa"/>
            <w:vAlign w:val="bottom"/>
            <w:gridSpan w:val="7"/>
          </w:tcPr>
          <w:p>
            <w:pPr>
              <w:spacing w:after="0"/>
              <w:rPr>
                <w:sz w:val="20"/>
                <w:szCs w:val="20"/>
                <w:color w:val="auto"/>
              </w:rPr>
            </w:pPr>
            <w:r>
              <w:rPr>
                <w:rFonts w:ascii="Arial" w:cs="Arial" w:eastAsia="Arial" w:hAnsi="Arial"/>
                <w:sz w:val="14"/>
                <w:szCs w:val="14"/>
                <w:color w:val="auto"/>
              </w:rPr>
              <w:t>appear in the Interactive Data File because its XBRL tags are</w:t>
            </w:r>
          </w:p>
        </w:tc>
        <w:tc>
          <w:tcPr>
            <w:tcW w:w="2740" w:type="dxa"/>
            <w:vAlign w:val="bottom"/>
          </w:tcPr>
          <w:p>
            <w:pPr>
              <w:spacing w:after="0"/>
              <w:rPr>
                <w:sz w:val="15"/>
                <w:szCs w:val="15"/>
                <w:color w:val="auto"/>
              </w:rPr>
            </w:pPr>
          </w:p>
        </w:tc>
      </w:tr>
      <w:tr>
        <w:trPr>
          <w:trHeight w:val="189"/>
        </w:trPr>
        <w:tc>
          <w:tcPr>
            <w:tcW w:w="840" w:type="dxa"/>
            <w:vAlign w:val="bottom"/>
          </w:tcPr>
          <w:p>
            <w:pPr>
              <w:spacing w:after="0"/>
              <w:rPr>
                <w:sz w:val="16"/>
                <w:szCs w:val="16"/>
                <w:color w:val="auto"/>
              </w:rPr>
            </w:pPr>
          </w:p>
        </w:tc>
        <w:tc>
          <w:tcPr>
            <w:tcW w:w="6580" w:type="dxa"/>
            <w:vAlign w:val="bottom"/>
            <w:gridSpan w:val="7"/>
          </w:tcPr>
          <w:p>
            <w:pPr>
              <w:spacing w:after="0"/>
              <w:rPr>
                <w:sz w:val="20"/>
                <w:szCs w:val="20"/>
                <w:color w:val="auto"/>
              </w:rPr>
            </w:pPr>
            <w:r>
              <w:rPr>
                <w:rFonts w:ascii="Arial" w:cs="Arial" w:eastAsia="Arial" w:hAnsi="Arial"/>
                <w:sz w:val="14"/>
                <w:szCs w:val="14"/>
                <w:color w:val="auto"/>
              </w:rPr>
              <w:t>embedded within the Inline XBRL document.</w:t>
            </w:r>
          </w:p>
        </w:tc>
        <w:tc>
          <w:tcPr>
            <w:tcW w:w="2740" w:type="dxa"/>
            <w:vAlign w:val="bottom"/>
          </w:tcPr>
          <w:p>
            <w:pPr>
              <w:spacing w:after="0"/>
              <w:rPr>
                <w:sz w:val="16"/>
                <w:szCs w:val="16"/>
                <w:color w:val="auto"/>
              </w:rPr>
            </w:pPr>
          </w:p>
        </w:tc>
      </w:tr>
      <w:tr>
        <w:trPr>
          <w:trHeight w:val="229"/>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4"/>
              </w:rPr>
              <w:t>101.SCH</w:t>
            </w:r>
          </w:p>
        </w:tc>
        <w:tc>
          <w:tcPr>
            <w:tcW w:w="6580" w:type="dxa"/>
            <w:vAlign w:val="bottom"/>
            <w:gridSpan w:val="7"/>
          </w:tcPr>
          <w:p>
            <w:pPr>
              <w:spacing w:after="0"/>
              <w:rPr>
                <w:sz w:val="20"/>
                <w:szCs w:val="20"/>
                <w:color w:val="auto"/>
              </w:rPr>
            </w:pPr>
            <w:r>
              <w:rPr>
                <w:rFonts w:ascii="Arial" w:cs="Arial" w:eastAsia="Arial" w:hAnsi="Arial"/>
                <w:sz w:val="14"/>
                <w:szCs w:val="14"/>
                <w:color w:val="auto"/>
              </w:rPr>
              <w:t>Inline XBRL Taxonomy Extension Schema Document</w:t>
            </w:r>
          </w:p>
        </w:tc>
        <w:tc>
          <w:tcPr>
            <w:tcW w:w="2740" w:type="dxa"/>
            <w:vAlign w:val="bottom"/>
          </w:tcPr>
          <w:p>
            <w:pPr>
              <w:jc w:val="center"/>
              <w:ind w:left="2548"/>
              <w:spacing w:after="0"/>
              <w:rPr>
                <w:sz w:val="20"/>
                <w:szCs w:val="20"/>
                <w:color w:val="auto"/>
              </w:rPr>
            </w:pPr>
            <w:r>
              <w:rPr>
                <w:rFonts w:ascii="Arial" w:cs="Arial" w:eastAsia="Arial" w:hAnsi="Arial"/>
                <w:sz w:val="14"/>
                <w:szCs w:val="14"/>
                <w:color w:val="auto"/>
              </w:rPr>
              <w:t>*</w:t>
            </w:r>
          </w:p>
        </w:tc>
      </w:tr>
      <w:tr>
        <w:trPr>
          <w:trHeight w:val="230"/>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9"/>
              </w:rPr>
              <w:t>101.CAL</w:t>
            </w:r>
          </w:p>
        </w:tc>
        <w:tc>
          <w:tcPr>
            <w:tcW w:w="6580" w:type="dxa"/>
            <w:vAlign w:val="bottom"/>
            <w:gridSpan w:val="7"/>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2740" w:type="dxa"/>
            <w:vAlign w:val="bottom"/>
          </w:tcPr>
          <w:p>
            <w:pPr>
              <w:jc w:val="center"/>
              <w:ind w:left="2548"/>
              <w:spacing w:after="0"/>
              <w:rPr>
                <w:sz w:val="20"/>
                <w:szCs w:val="20"/>
                <w:color w:val="auto"/>
              </w:rPr>
            </w:pPr>
            <w:r>
              <w:rPr>
                <w:rFonts w:ascii="Arial" w:cs="Arial" w:eastAsia="Arial" w:hAnsi="Arial"/>
                <w:sz w:val="14"/>
                <w:szCs w:val="14"/>
                <w:color w:val="auto"/>
              </w:rPr>
              <w:t>*</w:t>
            </w:r>
          </w:p>
        </w:tc>
      </w:tr>
      <w:tr>
        <w:trPr>
          <w:trHeight w:val="229"/>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7"/>
              </w:rPr>
              <w:t>101.DEF</w:t>
            </w:r>
          </w:p>
        </w:tc>
        <w:tc>
          <w:tcPr>
            <w:tcW w:w="6580" w:type="dxa"/>
            <w:vAlign w:val="bottom"/>
            <w:gridSpan w:val="7"/>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2740" w:type="dxa"/>
            <w:vAlign w:val="bottom"/>
          </w:tcPr>
          <w:p>
            <w:pPr>
              <w:jc w:val="center"/>
              <w:ind w:left="2548"/>
              <w:spacing w:after="0"/>
              <w:rPr>
                <w:sz w:val="20"/>
                <w:szCs w:val="20"/>
                <w:color w:val="auto"/>
              </w:rPr>
            </w:pPr>
            <w:r>
              <w:rPr>
                <w:rFonts w:ascii="Arial" w:cs="Arial" w:eastAsia="Arial" w:hAnsi="Arial"/>
                <w:sz w:val="14"/>
                <w:szCs w:val="14"/>
                <w:color w:val="auto"/>
              </w:rPr>
              <w:t>*</w:t>
            </w:r>
          </w:p>
        </w:tc>
      </w:tr>
      <w:tr>
        <w:trPr>
          <w:trHeight w:val="230"/>
        </w:trPr>
        <w:tc>
          <w:tcPr>
            <w:tcW w:w="840" w:type="dxa"/>
            <w:vAlign w:val="bottom"/>
          </w:tcPr>
          <w:p>
            <w:pPr>
              <w:jc w:val="center"/>
              <w:ind w:right="228"/>
              <w:spacing w:after="0"/>
              <w:rPr>
                <w:sz w:val="20"/>
                <w:szCs w:val="20"/>
                <w:color w:val="auto"/>
              </w:rPr>
            </w:pPr>
            <w:r>
              <w:rPr>
                <w:rFonts w:ascii="Arial" w:cs="Arial" w:eastAsia="Arial" w:hAnsi="Arial"/>
                <w:sz w:val="14"/>
                <w:szCs w:val="14"/>
                <w:color w:val="auto"/>
              </w:rPr>
              <w:t>101.LAB</w:t>
            </w:r>
          </w:p>
        </w:tc>
        <w:tc>
          <w:tcPr>
            <w:tcW w:w="6580" w:type="dxa"/>
            <w:vAlign w:val="bottom"/>
            <w:gridSpan w:val="7"/>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2740" w:type="dxa"/>
            <w:vAlign w:val="bottom"/>
          </w:tcPr>
          <w:p>
            <w:pPr>
              <w:jc w:val="center"/>
              <w:ind w:left="2548"/>
              <w:spacing w:after="0"/>
              <w:rPr>
                <w:sz w:val="20"/>
                <w:szCs w:val="20"/>
                <w:color w:val="auto"/>
              </w:rPr>
            </w:pPr>
            <w:r>
              <w:rPr>
                <w:rFonts w:ascii="Arial" w:cs="Arial" w:eastAsia="Arial" w:hAnsi="Arial"/>
                <w:sz w:val="14"/>
                <w:szCs w:val="14"/>
                <w:color w:val="auto"/>
              </w:rPr>
              <w:t>*</w:t>
            </w:r>
          </w:p>
        </w:tc>
      </w:tr>
      <w:tr>
        <w:trPr>
          <w:trHeight w:val="229"/>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89"/>
              </w:rPr>
              <w:t>101.PRE</w:t>
            </w:r>
          </w:p>
        </w:tc>
        <w:tc>
          <w:tcPr>
            <w:tcW w:w="6580" w:type="dxa"/>
            <w:vAlign w:val="bottom"/>
            <w:gridSpan w:val="7"/>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2740" w:type="dxa"/>
            <w:vAlign w:val="bottom"/>
          </w:tcPr>
          <w:p>
            <w:pPr>
              <w:jc w:val="center"/>
              <w:ind w:left="2548"/>
              <w:spacing w:after="0"/>
              <w:rPr>
                <w:sz w:val="20"/>
                <w:szCs w:val="20"/>
                <w:color w:val="auto"/>
              </w:rPr>
            </w:pPr>
            <w:r>
              <w:rPr>
                <w:rFonts w:ascii="Arial" w:cs="Arial" w:eastAsia="Arial" w:hAnsi="Arial"/>
                <w:sz w:val="14"/>
                <w:szCs w:val="14"/>
                <w:color w:val="auto"/>
              </w:rPr>
              <w:t>*</w:t>
            </w:r>
          </w:p>
        </w:tc>
      </w:tr>
      <w:tr>
        <w:trPr>
          <w:trHeight w:val="223"/>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4"/>
              </w:rPr>
              <w:t>104</w:t>
            </w:r>
          </w:p>
        </w:tc>
        <w:tc>
          <w:tcPr>
            <w:tcW w:w="6580" w:type="dxa"/>
            <w:vAlign w:val="bottom"/>
            <w:gridSpan w:val="7"/>
          </w:tcPr>
          <w:p>
            <w:pPr>
              <w:spacing w:after="0"/>
              <w:rPr>
                <w:sz w:val="20"/>
                <w:szCs w:val="20"/>
                <w:color w:val="auto"/>
              </w:rPr>
            </w:pPr>
            <w:r>
              <w:rPr>
                <w:rFonts w:ascii="Arial" w:cs="Arial" w:eastAsia="Arial" w:hAnsi="Arial"/>
                <w:sz w:val="14"/>
                <w:szCs w:val="14"/>
                <w:color w:val="auto"/>
              </w:rPr>
              <w:t>Cover Page Interactive Data File (formatted as Inline XBRL and</w:t>
            </w:r>
          </w:p>
        </w:tc>
        <w:tc>
          <w:tcPr>
            <w:tcW w:w="2740" w:type="dxa"/>
            <w:vAlign w:val="bottom"/>
          </w:tcPr>
          <w:p>
            <w:pPr>
              <w:jc w:val="center"/>
              <w:ind w:left="2548"/>
              <w:spacing w:after="0"/>
              <w:rPr>
                <w:sz w:val="20"/>
                <w:szCs w:val="20"/>
                <w:color w:val="auto"/>
              </w:rPr>
            </w:pPr>
            <w:r>
              <w:rPr>
                <w:rFonts w:ascii="Arial" w:cs="Arial" w:eastAsia="Arial" w:hAnsi="Arial"/>
                <w:sz w:val="14"/>
                <w:szCs w:val="14"/>
                <w:color w:val="auto"/>
              </w:rPr>
              <w:t>*</w:t>
            </w:r>
          </w:p>
        </w:tc>
      </w:tr>
      <w:tr>
        <w:trPr>
          <w:trHeight w:val="182"/>
        </w:trPr>
        <w:tc>
          <w:tcPr>
            <w:tcW w:w="840" w:type="dxa"/>
            <w:vAlign w:val="bottom"/>
          </w:tcPr>
          <w:p>
            <w:pPr>
              <w:spacing w:after="0"/>
              <w:rPr>
                <w:sz w:val="15"/>
                <w:szCs w:val="15"/>
                <w:color w:val="auto"/>
              </w:rPr>
            </w:pPr>
          </w:p>
        </w:tc>
        <w:tc>
          <w:tcPr>
            <w:tcW w:w="6580" w:type="dxa"/>
            <w:vAlign w:val="bottom"/>
            <w:gridSpan w:val="7"/>
          </w:tcPr>
          <w:p>
            <w:pPr>
              <w:spacing w:after="0"/>
              <w:rPr>
                <w:sz w:val="20"/>
                <w:szCs w:val="20"/>
                <w:color w:val="auto"/>
              </w:rPr>
            </w:pPr>
            <w:r>
              <w:rPr>
                <w:rFonts w:ascii="Arial" w:cs="Arial" w:eastAsia="Arial" w:hAnsi="Arial"/>
                <w:sz w:val="14"/>
                <w:szCs w:val="14"/>
                <w:color w:val="auto"/>
              </w:rPr>
              <w:t>contained in Exhibit 101)</w:t>
            </w:r>
          </w:p>
        </w:tc>
        <w:tc>
          <w:tcPr>
            <w:tcW w:w="27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658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65" w:lineRule="exact"/>
        <w:rPr>
          <w:sz w:val="20"/>
          <w:szCs w:val="20"/>
          <w:color w:val="auto"/>
        </w:rPr>
      </w:pPr>
    </w:p>
    <w:p>
      <w:pPr>
        <w:ind w:left="1140" w:hanging="608"/>
        <w:spacing w:after="0"/>
        <w:tabs>
          <w:tab w:leader="none" w:pos="11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69" w:lineRule="exact"/>
        <w:rPr>
          <w:sz w:val="20"/>
          <w:szCs w:val="20"/>
          <w:color w:val="auto"/>
        </w:rPr>
      </w:pPr>
    </w:p>
    <w:p>
      <w:pPr>
        <w:ind w:left="1140" w:hanging="644"/>
        <w:spacing w:after="0"/>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69" w:lineRule="exact"/>
        <w:rPr>
          <w:sz w:val="20"/>
          <w:szCs w:val="20"/>
          <w:color w:val="auto"/>
        </w:rPr>
      </w:pPr>
    </w:p>
    <w:p>
      <w:pPr>
        <w:ind w:left="1140" w:hanging="608"/>
        <w:spacing w:after="0"/>
        <w:tabs>
          <w:tab w:leader="none" w:pos="11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Indicates a management or compensatory plan.</w:t>
      </w:r>
    </w:p>
    <w:p>
      <w:pPr>
        <w:spacing w:after="0" w:line="69" w:lineRule="exact"/>
        <w:rPr>
          <w:sz w:val="20"/>
          <w:szCs w:val="20"/>
          <w:color w:val="auto"/>
        </w:rPr>
      </w:pPr>
    </w:p>
    <w:p>
      <w:pPr>
        <w:ind w:left="1140" w:right="5360" w:hanging="608"/>
        <w:spacing w:after="0" w:line="278" w:lineRule="auto"/>
        <w:tabs>
          <w:tab w:leader="none" w:pos="11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Schedules and exhibits to this Exhibit omitted pursuant to Regulation S-K Item 601(b)(2). Brilliant Earth agrees to furnish supplementally a copy of any omitted schedule or exhibit to the SEC upon request.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39" w:right="111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21, 2023</w:t>
      </w:r>
    </w:p>
    <w:p>
      <w:pPr>
        <w:spacing w:after="0" w:line="200" w:lineRule="exact"/>
        <w:rPr>
          <w:sz w:val="20"/>
          <w:szCs w:val="20"/>
          <w:color w:val="auto"/>
        </w:rPr>
      </w:pPr>
    </w:p>
    <w:p>
      <w:pPr>
        <w:spacing w:after="0" w:line="30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Brilliant Earth Group, Inc.</w:t>
      </w:r>
    </w:p>
    <w:p>
      <w:pPr>
        <w:spacing w:after="0" w:line="32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Beth Gerstein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40640</wp:posOffset>
            </wp:positionV>
            <wp:extent cx="50234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70" w:lineRule="exact"/>
        <w:rPr>
          <w:sz w:val="20"/>
          <w:szCs w:val="20"/>
          <w:color w:val="auto"/>
        </w:rPr>
      </w:pPr>
    </w:p>
    <w:tbl>
      <w:tblPr>
        <w:tblLayout w:type="fixed"/>
        <w:tblInd w:w="3320" w:type="dxa"/>
        <w:tblCellMar>
          <w:top w:w="0" w:type="dxa"/>
          <w:left w:w="0" w:type="dxa"/>
          <w:bottom w:w="0" w:type="dxa"/>
          <w:right w:w="0" w:type="dxa"/>
        </w:tblCellMar>
      </w:tblP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Name:</w:t>
            </w:r>
          </w:p>
        </w:tc>
        <w:tc>
          <w:tcPr>
            <w:tcW w:w="6760" w:type="dxa"/>
            <w:vAlign w:val="bottom"/>
          </w:tcPr>
          <w:p>
            <w:pPr>
              <w:ind w:left="60"/>
              <w:spacing w:after="0"/>
              <w:rPr>
                <w:sz w:val="20"/>
                <w:szCs w:val="20"/>
                <w:color w:val="auto"/>
              </w:rPr>
            </w:pPr>
            <w:r>
              <w:rPr>
                <w:rFonts w:ascii="Arial" w:cs="Arial" w:eastAsia="Arial" w:hAnsi="Arial"/>
                <w:sz w:val="18"/>
                <w:szCs w:val="18"/>
                <w:color w:val="auto"/>
              </w:rPr>
              <w:t>Beth Gerstein</w:t>
            </w: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Title:</w:t>
            </w:r>
          </w:p>
        </w:tc>
        <w:tc>
          <w:tcPr>
            <w:tcW w:w="6760" w:type="dxa"/>
            <w:vAlign w:val="bottom"/>
          </w:tcPr>
          <w:p>
            <w:pPr>
              <w:ind w:left="60"/>
              <w:spacing w:after="0"/>
              <w:rPr>
                <w:sz w:val="20"/>
                <w:szCs w:val="20"/>
                <w:color w:val="auto"/>
              </w:rPr>
            </w:pPr>
            <w:r>
              <w:rPr>
                <w:rFonts w:ascii="Arial" w:cs="Arial" w:eastAsia="Arial" w:hAnsi="Arial"/>
                <w:sz w:val="18"/>
                <w:szCs w:val="18"/>
                <w:color w:val="auto"/>
              </w:rPr>
              <w:t>Chief Executive Officer and Director (Principal Executive Officer)</w:t>
            </w:r>
          </w:p>
        </w:tc>
      </w:tr>
      <w:tr>
        <w:trPr>
          <w:trHeight w:val="553"/>
        </w:trPr>
        <w:tc>
          <w:tcPr>
            <w:tcW w:w="1160" w:type="dxa"/>
            <w:vAlign w:val="bottom"/>
          </w:tcPr>
          <w:p>
            <w:pPr>
              <w:ind w:left="20"/>
              <w:spacing w:after="0"/>
              <w:rPr>
                <w:sz w:val="20"/>
                <w:szCs w:val="20"/>
                <w:color w:val="auto"/>
              </w:rPr>
            </w:pPr>
            <w:r>
              <w:rPr>
                <w:rFonts w:ascii="Arial" w:cs="Arial" w:eastAsia="Arial" w:hAnsi="Arial"/>
                <w:sz w:val="18"/>
                <w:szCs w:val="18"/>
                <w:color w:val="auto"/>
                <w:w w:val="97"/>
              </w:rPr>
              <w:t>/s/ Jeffrey Kuo</w:t>
            </w:r>
          </w:p>
        </w:tc>
        <w:tc>
          <w:tcPr>
            <w:tcW w:w="6760" w:type="dxa"/>
            <w:vAlign w:val="bottom"/>
          </w:tcPr>
          <w:p>
            <w:pPr>
              <w:spacing w:after="0"/>
              <w:rPr>
                <w:sz w:val="24"/>
                <w:szCs w:val="24"/>
                <w:color w:val="auto"/>
              </w:rPr>
            </w:pPr>
          </w:p>
        </w:tc>
      </w:tr>
      <w:tr>
        <w:trPr>
          <w:trHeight w:val="41"/>
        </w:trPr>
        <w:tc>
          <w:tcPr>
            <w:tcW w:w="1160" w:type="dxa"/>
            <w:vAlign w:val="bottom"/>
            <w:tcBorders>
              <w:bottom w:val="single" w:sz="8" w:color="auto"/>
            </w:tcBorders>
          </w:tcPr>
          <w:p>
            <w:pPr>
              <w:spacing w:after="0"/>
              <w:rPr>
                <w:sz w:val="3"/>
                <w:szCs w:val="3"/>
                <w:color w:val="auto"/>
              </w:rPr>
            </w:pPr>
          </w:p>
        </w:tc>
        <w:tc>
          <w:tcPr>
            <w:tcW w:w="6760" w:type="dxa"/>
            <w:vAlign w:val="bottom"/>
            <w:tcBorders>
              <w:bottom w:val="single" w:sz="8" w:color="auto"/>
            </w:tcBorders>
          </w:tcPr>
          <w:p>
            <w:pPr>
              <w:spacing w:after="0"/>
              <w:rPr>
                <w:sz w:val="3"/>
                <w:szCs w:val="3"/>
                <w:color w:val="auto"/>
              </w:rPr>
            </w:pPr>
          </w:p>
        </w:tc>
      </w:tr>
      <w:tr>
        <w:trPr>
          <w:trHeight w:val="237"/>
        </w:trPr>
        <w:tc>
          <w:tcPr>
            <w:tcW w:w="1160" w:type="dxa"/>
            <w:vAlign w:val="bottom"/>
          </w:tcPr>
          <w:p>
            <w:pPr>
              <w:ind w:left="20"/>
              <w:spacing w:after="0"/>
              <w:rPr>
                <w:sz w:val="20"/>
                <w:szCs w:val="20"/>
                <w:color w:val="auto"/>
              </w:rPr>
            </w:pPr>
            <w:r>
              <w:rPr>
                <w:rFonts w:ascii="Arial" w:cs="Arial" w:eastAsia="Arial" w:hAnsi="Arial"/>
                <w:sz w:val="18"/>
                <w:szCs w:val="18"/>
                <w:color w:val="auto"/>
              </w:rPr>
              <w:t>Name:</w:t>
            </w:r>
          </w:p>
        </w:tc>
        <w:tc>
          <w:tcPr>
            <w:tcW w:w="6760" w:type="dxa"/>
            <w:vAlign w:val="bottom"/>
          </w:tcPr>
          <w:p>
            <w:pPr>
              <w:ind w:left="60"/>
              <w:spacing w:after="0"/>
              <w:rPr>
                <w:sz w:val="20"/>
                <w:szCs w:val="20"/>
                <w:color w:val="auto"/>
              </w:rPr>
            </w:pPr>
            <w:r>
              <w:rPr>
                <w:rFonts w:ascii="Arial" w:cs="Arial" w:eastAsia="Arial" w:hAnsi="Arial"/>
                <w:sz w:val="18"/>
                <w:szCs w:val="18"/>
                <w:color w:val="auto"/>
              </w:rPr>
              <w:t>Jeffrey Kuo</w:t>
            </w: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Title:</w:t>
            </w:r>
          </w:p>
        </w:tc>
        <w:tc>
          <w:tcPr>
            <w:tcW w:w="6760" w:type="dxa"/>
            <w:vAlign w:val="bottom"/>
          </w:tcPr>
          <w:p>
            <w:pPr>
              <w:ind w:left="60"/>
              <w:spacing w:after="0"/>
              <w:rPr>
                <w:sz w:val="20"/>
                <w:szCs w:val="20"/>
                <w:color w:val="auto"/>
              </w:rPr>
            </w:pPr>
            <w:r>
              <w:rPr>
                <w:rFonts w:ascii="Arial" w:cs="Arial" w:eastAsia="Arial" w:hAnsi="Arial"/>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560" w:type="dxa"/>
            <w:vAlign w:val="bottom"/>
          </w:tcPr>
          <w:p>
            <w:pPr>
              <w:ind w:left="156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4560" w:type="dxa"/>
            <w:vAlign w:val="bottom"/>
            <w:gridSpan w:val="2"/>
          </w:tcPr>
          <w:p>
            <w:pPr>
              <w:ind w:left="1920"/>
              <w:spacing w:after="0"/>
              <w:rPr>
                <w:sz w:val="20"/>
                <w:szCs w:val="20"/>
                <w:color w:val="auto"/>
              </w:rPr>
            </w:pPr>
            <w:r>
              <w:rPr>
                <w:rFonts w:ascii="Arial" w:cs="Arial" w:eastAsia="Arial" w:hAnsi="Arial"/>
                <w:sz w:val="18"/>
                <w:szCs w:val="18"/>
                <w:b w:val="1"/>
                <w:bCs w:val="1"/>
                <w:color w:val="auto"/>
              </w:rPr>
              <w:t>Position</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0"/>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r>
      <w:tr>
        <w:trPr>
          <w:trHeight w:val="479"/>
        </w:trPr>
        <w:tc>
          <w:tcPr>
            <w:tcW w:w="3560" w:type="dxa"/>
            <w:vAlign w:val="bottom"/>
          </w:tcPr>
          <w:p>
            <w:pPr>
              <w:ind w:left="20"/>
              <w:spacing w:after="0"/>
              <w:rPr>
                <w:sz w:val="20"/>
                <w:szCs w:val="20"/>
                <w:color w:val="auto"/>
              </w:rPr>
            </w:pPr>
            <w:r>
              <w:rPr>
                <w:rFonts w:ascii="Arial" w:cs="Arial" w:eastAsia="Arial" w:hAnsi="Arial"/>
                <w:sz w:val="18"/>
                <w:szCs w:val="18"/>
                <w:color w:val="auto"/>
              </w:rPr>
              <w:t>/s/ Beth Gerstein</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21, 2023</w:t>
            </w:r>
          </w:p>
        </w:tc>
      </w:tr>
      <w:tr>
        <w:trPr>
          <w:trHeight w:val="41"/>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Beth Gerstein</w:t>
            </w:r>
          </w:p>
        </w:tc>
        <w:tc>
          <w:tcPr>
            <w:tcW w:w="10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2380" w:type="dxa"/>
            <w:vAlign w:val="bottom"/>
          </w:tcPr>
          <w:p>
            <w:pPr>
              <w:spacing w:after="0"/>
              <w:rPr>
                <w:sz w:val="20"/>
                <w:szCs w:val="20"/>
                <w:color w:val="auto"/>
              </w:rPr>
            </w:pPr>
          </w:p>
        </w:tc>
      </w:tr>
      <w:tr>
        <w:trPr>
          <w:trHeight w:val="553"/>
        </w:trPr>
        <w:tc>
          <w:tcPr>
            <w:tcW w:w="3560" w:type="dxa"/>
            <w:vAlign w:val="bottom"/>
          </w:tcPr>
          <w:p>
            <w:pPr>
              <w:ind w:left="20"/>
              <w:spacing w:after="0"/>
              <w:rPr>
                <w:sz w:val="20"/>
                <w:szCs w:val="20"/>
                <w:color w:val="auto"/>
              </w:rPr>
            </w:pPr>
            <w:r>
              <w:rPr>
                <w:rFonts w:ascii="Arial" w:cs="Arial" w:eastAsia="Arial" w:hAnsi="Arial"/>
                <w:sz w:val="18"/>
                <w:szCs w:val="18"/>
                <w:color w:val="auto"/>
              </w:rPr>
              <w:t>/s/ Jeffrey Kuo</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21, 2023</w:t>
            </w:r>
          </w:p>
        </w:tc>
      </w:tr>
      <w:tr>
        <w:trPr>
          <w:trHeight w:val="40"/>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Jeffrey Kuo</w:t>
            </w:r>
          </w:p>
        </w:tc>
        <w:tc>
          <w:tcPr>
            <w:tcW w:w="10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2380" w:type="dxa"/>
            <w:vAlign w:val="bottom"/>
          </w:tcPr>
          <w:p>
            <w:pPr>
              <w:spacing w:after="0"/>
              <w:rPr>
                <w:sz w:val="20"/>
                <w:szCs w:val="20"/>
                <w:color w:val="auto"/>
              </w:rPr>
            </w:pPr>
          </w:p>
        </w:tc>
      </w:tr>
      <w:tr>
        <w:trPr>
          <w:trHeight w:val="554"/>
        </w:trPr>
        <w:tc>
          <w:tcPr>
            <w:tcW w:w="3560" w:type="dxa"/>
            <w:vAlign w:val="bottom"/>
          </w:tcPr>
          <w:p>
            <w:pPr>
              <w:ind w:left="20"/>
              <w:spacing w:after="0"/>
              <w:rPr>
                <w:sz w:val="20"/>
                <w:szCs w:val="20"/>
                <w:color w:val="auto"/>
              </w:rPr>
            </w:pPr>
            <w:r>
              <w:rPr>
                <w:rFonts w:ascii="Arial" w:cs="Arial" w:eastAsia="Arial" w:hAnsi="Arial"/>
                <w:sz w:val="18"/>
                <w:szCs w:val="18"/>
                <w:color w:val="auto"/>
              </w:rPr>
              <w:t>/s/ Eric Grossberg</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Executive Chairman</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21, 2023</w:t>
            </w:r>
          </w:p>
        </w:tc>
      </w:tr>
      <w:tr>
        <w:trPr>
          <w:trHeight w:val="40"/>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Eric Grossberg</w:t>
            </w: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53"/>
        </w:trPr>
        <w:tc>
          <w:tcPr>
            <w:tcW w:w="3560" w:type="dxa"/>
            <w:vAlign w:val="bottom"/>
          </w:tcPr>
          <w:p>
            <w:pPr>
              <w:ind w:left="20"/>
              <w:spacing w:after="0"/>
              <w:rPr>
                <w:sz w:val="20"/>
                <w:szCs w:val="20"/>
                <w:color w:val="auto"/>
              </w:rPr>
            </w:pPr>
            <w:r>
              <w:rPr>
                <w:rFonts w:ascii="Arial" w:cs="Arial" w:eastAsia="Arial" w:hAnsi="Arial"/>
                <w:sz w:val="18"/>
                <w:szCs w:val="18"/>
                <w:color w:val="auto"/>
              </w:rPr>
              <w:t>/s/ Ian M. Bickley</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21, 2023</w:t>
            </w:r>
          </w:p>
        </w:tc>
      </w:tr>
      <w:tr>
        <w:trPr>
          <w:trHeight w:val="40"/>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Ian M. Bickley</w:t>
            </w: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54"/>
        </w:trPr>
        <w:tc>
          <w:tcPr>
            <w:tcW w:w="3560" w:type="dxa"/>
            <w:vAlign w:val="bottom"/>
          </w:tcPr>
          <w:p>
            <w:pPr>
              <w:ind w:left="20"/>
              <w:spacing w:after="0"/>
              <w:rPr>
                <w:sz w:val="20"/>
                <w:szCs w:val="20"/>
                <w:color w:val="auto"/>
              </w:rPr>
            </w:pPr>
            <w:r>
              <w:rPr>
                <w:rFonts w:ascii="Arial" w:cs="Arial" w:eastAsia="Arial" w:hAnsi="Arial"/>
                <w:sz w:val="18"/>
                <w:szCs w:val="18"/>
                <w:color w:val="auto"/>
              </w:rPr>
              <w:t>/s/ Jennifer N. Harris</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21, 2023</w:t>
            </w:r>
          </w:p>
        </w:tc>
      </w:tr>
      <w:tr>
        <w:trPr>
          <w:trHeight w:val="40"/>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Jennifer N. Harris</w:t>
            </w: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53"/>
        </w:trPr>
        <w:tc>
          <w:tcPr>
            <w:tcW w:w="3560" w:type="dxa"/>
            <w:vAlign w:val="bottom"/>
          </w:tcPr>
          <w:p>
            <w:pPr>
              <w:ind w:left="20"/>
              <w:spacing w:after="0"/>
              <w:rPr>
                <w:sz w:val="20"/>
                <w:szCs w:val="20"/>
                <w:color w:val="auto"/>
              </w:rPr>
            </w:pPr>
            <w:r>
              <w:rPr>
                <w:rFonts w:ascii="Arial" w:cs="Arial" w:eastAsia="Arial" w:hAnsi="Arial"/>
                <w:sz w:val="18"/>
                <w:szCs w:val="18"/>
                <w:color w:val="auto"/>
              </w:rPr>
              <w:t>/s/ Attica A. Jaques</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21, 2023</w:t>
            </w:r>
          </w:p>
        </w:tc>
      </w:tr>
      <w:tr>
        <w:trPr>
          <w:trHeight w:val="40"/>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Attica A. Jaques</w:t>
            </w: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53"/>
        </w:trPr>
        <w:tc>
          <w:tcPr>
            <w:tcW w:w="3560" w:type="dxa"/>
            <w:vAlign w:val="bottom"/>
          </w:tcPr>
          <w:p>
            <w:pPr>
              <w:ind w:left="20"/>
              <w:spacing w:after="0"/>
              <w:rPr>
                <w:sz w:val="20"/>
                <w:szCs w:val="20"/>
                <w:color w:val="auto"/>
              </w:rPr>
            </w:pPr>
            <w:r>
              <w:rPr>
                <w:rFonts w:ascii="Arial" w:cs="Arial" w:eastAsia="Arial" w:hAnsi="Arial"/>
                <w:sz w:val="18"/>
                <w:szCs w:val="18"/>
                <w:color w:val="auto"/>
              </w:rPr>
              <w:t>/s/ Beth E. Kaplan</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21, 2023</w:t>
            </w:r>
          </w:p>
        </w:tc>
      </w:tr>
      <w:tr>
        <w:trPr>
          <w:trHeight w:val="40"/>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Beth E. Kaplan</w:t>
            </w: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553"/>
        </w:trPr>
        <w:tc>
          <w:tcPr>
            <w:tcW w:w="3560" w:type="dxa"/>
            <w:vAlign w:val="bottom"/>
          </w:tcPr>
          <w:p>
            <w:pPr>
              <w:ind w:left="20"/>
              <w:spacing w:after="0"/>
              <w:rPr>
                <w:sz w:val="20"/>
                <w:szCs w:val="20"/>
                <w:color w:val="auto"/>
              </w:rPr>
            </w:pPr>
            <w:r>
              <w:rPr>
                <w:rFonts w:ascii="Arial" w:cs="Arial" w:eastAsia="Arial" w:hAnsi="Arial"/>
                <w:sz w:val="18"/>
                <w:szCs w:val="18"/>
                <w:color w:val="auto"/>
              </w:rPr>
              <w:t>/s/ Gavin M. Turner</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March 21, 2023</w:t>
            </w:r>
          </w:p>
        </w:tc>
      </w:tr>
      <w:tr>
        <w:trPr>
          <w:trHeight w:val="40"/>
        </w:trPr>
        <w:tc>
          <w:tcPr>
            <w:tcW w:w="3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Gavin M. Turner</w:t>
            </w: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20"/>
          </w:cols>
          <w:pgMar w:left="320" w:top="139" w:right="659" w:bottom="1440" w:gutter="0" w:footer="0" w:header="0"/>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Brilliant Earth Group, Inc.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213"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We hereby consent to the incorporation by reference in the Registration Statement on Form S-8 (No. 333-259736) of Brilliant Earth Group, Inc. of our report dated March 21, 2023, relating to the consolidated financial statements, which appear in this Form 10-K.</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/s/ BDO USA,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Denver, Colorado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21, 2023</w:t>
      </w:r>
    </w:p>
    <w:p>
      <w:pPr>
        <w:sectPr>
          <w:pgSz w:w="11900" w:h="16838" w:orient="portrait"/>
          <w:cols w:equalWidth="0" w:num="1">
            <w:col w:w="11240"/>
          </w:cols>
          <w:pgMar w:left="320" w:top="1440"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t>Exhibit 31.1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Beth Gerstein, certify that:</w:t>
      </w: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1"/>
          <w:numId w:val="48"/>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Brilliant Earth Group, Inc.;</w:t>
      </w:r>
    </w:p>
    <w:p>
      <w:pPr>
        <w:spacing w:after="0" w:line="242" w:lineRule="exact"/>
        <w:rPr>
          <w:rFonts w:ascii="Arial" w:cs="Arial" w:eastAsia="Arial" w:hAnsi="Arial"/>
          <w:sz w:val="20"/>
          <w:szCs w:val="20"/>
          <w:color w:val="auto"/>
        </w:rPr>
      </w:pPr>
    </w:p>
    <w:p>
      <w:pPr>
        <w:ind w:left="660" w:right="40" w:hanging="328"/>
        <w:spacing w:after="0" w:line="243" w:lineRule="auto"/>
        <w:tabs>
          <w:tab w:leader="none" w:pos="660" w:val="left"/>
        </w:tabs>
        <w:numPr>
          <w:ilvl w:val="1"/>
          <w:numId w:val="4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Arial" w:cs="Arial" w:eastAsia="Arial" w:hAnsi="Arial"/>
          <w:sz w:val="20"/>
          <w:szCs w:val="20"/>
          <w:color w:val="auto"/>
        </w:rPr>
      </w:pPr>
    </w:p>
    <w:p>
      <w:pPr>
        <w:ind w:left="660" w:right="20" w:hanging="328"/>
        <w:spacing w:after="0" w:line="243" w:lineRule="auto"/>
        <w:tabs>
          <w:tab w:leader="none" w:pos="660" w:val="left"/>
        </w:tabs>
        <w:numPr>
          <w:ilvl w:val="1"/>
          <w:numId w:val="4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5" w:lineRule="exact"/>
        <w:rPr>
          <w:rFonts w:ascii="Arial" w:cs="Arial" w:eastAsia="Arial" w:hAnsi="Arial"/>
          <w:sz w:val="20"/>
          <w:szCs w:val="20"/>
          <w:color w:val="auto"/>
        </w:rPr>
      </w:pPr>
    </w:p>
    <w:p>
      <w:pPr>
        <w:ind w:left="660" w:right="140" w:hanging="328"/>
        <w:spacing w:after="0" w:line="243" w:lineRule="auto"/>
        <w:tabs>
          <w:tab w:leader="none" w:pos="660"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9" w:lineRule="exact"/>
        <w:rPr>
          <w:rFonts w:ascii="Arial" w:cs="Arial" w:eastAsia="Arial" w:hAnsi="Arial"/>
          <w:sz w:val="20"/>
          <w:szCs w:val="20"/>
          <w:color w:val="auto"/>
        </w:rPr>
      </w:pPr>
    </w:p>
    <w:p>
      <w:pPr>
        <w:ind w:right="440" w:firstLine="8"/>
        <w:spacing w:after="0" w:line="237" w:lineRule="auto"/>
        <w:tabs>
          <w:tab w:leader="none" w:pos="269" w:val="left"/>
        </w:tabs>
        <w:numPr>
          <w:ilvl w:val="0"/>
          <w:numId w:val="4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3" w:lineRule="exact"/>
        <w:rPr>
          <w:rFonts w:ascii="Arial" w:cs="Arial" w:eastAsia="Arial" w:hAnsi="Arial"/>
          <w:sz w:val="20"/>
          <w:szCs w:val="20"/>
          <w:color w:val="auto"/>
        </w:rPr>
      </w:pPr>
    </w:p>
    <w:p>
      <w:pPr>
        <w:ind w:right="320" w:firstLine="648"/>
        <w:spacing w:after="0" w:line="243" w:lineRule="auto"/>
        <w:rPr>
          <w:rFonts w:ascii="Arial" w:cs="Arial" w:eastAsia="Arial" w:hAnsi="Arial"/>
          <w:sz w:val="20"/>
          <w:szCs w:val="20"/>
          <w:color w:val="auto"/>
        </w:rPr>
      </w:pPr>
      <w:r>
        <w:rPr>
          <w:rFonts w:ascii="Arial" w:cs="Arial" w:eastAsia="Arial" w:hAnsi="Arial"/>
          <w:sz w:val="20"/>
          <w:szCs w:val="20"/>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sz w:val="20"/>
          <w:szCs w:val="20"/>
          <w:color w:val="auto"/>
        </w:rPr>
      </w:pPr>
    </w:p>
    <w:p>
      <w:pPr>
        <w:ind w:right="300" w:firstLine="8"/>
        <w:spacing w:after="0" w:line="368" w:lineRule="auto"/>
        <w:tabs>
          <w:tab w:leader="none" w:pos="269" w:val="left"/>
        </w:tabs>
        <w:numPr>
          <w:ilvl w:val="0"/>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firstLine="8"/>
        <w:spacing w:after="0" w:line="243" w:lineRule="auto"/>
        <w:tabs>
          <w:tab w:leader="none" w:pos="2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660" w:right="260" w:hanging="328"/>
        <w:spacing w:after="0" w:line="243" w:lineRule="auto"/>
        <w:tabs>
          <w:tab w:leader="none" w:pos="660"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sz w:val="20"/>
          <w:szCs w:val="20"/>
          <w:color w:val="auto"/>
        </w:rPr>
      </w:pPr>
    </w:p>
    <w:p>
      <w:pPr>
        <w:ind w:right="540" w:firstLine="8"/>
        <w:spacing w:after="0" w:line="316" w:lineRule="auto"/>
        <w:tabs>
          <w:tab w:leader="none" w:pos="26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right="180" w:firstLine="8"/>
        <w:spacing w:after="0" w:line="260" w:lineRule="auto"/>
        <w:tabs>
          <w:tab w:leader="none" w:pos="2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5" w:right="339"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2520" w:val="left"/>
        </w:tabs>
        <w:rPr>
          <w:sz w:val="20"/>
          <w:szCs w:val="20"/>
          <w:color w:val="auto"/>
        </w:rPr>
      </w:pPr>
      <w:r>
        <w:rPr>
          <w:rFonts w:ascii="Arial" w:cs="Arial" w:eastAsia="Arial" w:hAnsi="Arial"/>
          <w:sz w:val="20"/>
          <w:szCs w:val="20"/>
          <w:color w:val="auto"/>
        </w:rPr>
        <w:t>Date: March 21, 2023</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u w:val="single" w:color="auto"/>
          <w:color w:val="auto"/>
        </w:rPr>
        <w:t>/s/Beth Gerstein</w:t>
      </w:r>
    </w:p>
    <w:p>
      <w:pPr>
        <w:ind w:left="3900"/>
        <w:spacing w:after="0" w:line="197" w:lineRule="auto"/>
        <w:rPr>
          <w:sz w:val="20"/>
          <w:szCs w:val="20"/>
          <w:color w:val="auto"/>
        </w:rPr>
      </w:pPr>
      <w:r>
        <w:rPr>
          <w:rFonts w:ascii="Arial" w:cs="Arial" w:eastAsia="Arial" w:hAnsi="Arial"/>
          <w:sz w:val="20"/>
          <w:szCs w:val="20"/>
          <w:color w:val="auto"/>
        </w:rPr>
        <w:t>Name: Beth Gerstein</w:t>
      </w:r>
    </w:p>
    <w:p>
      <w:pPr>
        <w:ind w:left="3900"/>
        <w:spacing w:after="0" w:line="235" w:lineRule="auto"/>
        <w:rPr>
          <w:sz w:val="20"/>
          <w:szCs w:val="20"/>
          <w:color w:val="auto"/>
        </w:rPr>
      </w:pPr>
      <w:r>
        <w:rPr>
          <w:rFonts w:ascii="Arial" w:cs="Arial" w:eastAsia="Arial" w:hAnsi="Arial"/>
          <w:sz w:val="18"/>
          <w:szCs w:val="18"/>
          <w:color w:val="auto"/>
        </w:rPr>
        <w:t>Title: Chief Executive Officer</w:t>
      </w:r>
    </w:p>
    <w:p>
      <w:pPr>
        <w:jc w:val="center"/>
        <w:ind w:right="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Principal Executive Officer</w:t>
      </w:r>
      <w:r>
        <w:rPr>
          <w:rFonts w:ascii="Arial" w:cs="Arial" w:eastAsia="Arial" w:hAnsi="Arial"/>
          <w:sz w:val="19"/>
          <w:szCs w:val="19"/>
          <w:color w:val="auto"/>
        </w:rPr>
        <w:t>)</w:t>
      </w:r>
    </w:p>
    <w:p>
      <w:pPr>
        <w:sectPr>
          <w:pgSz w:w="11900" w:h="16838" w:orient="portrait"/>
          <w:cols w:equalWidth="0" w:num="1">
            <w:col w:w="10139"/>
          </w:cols>
          <w:pgMar w:left="320" w:top="1440"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I, Jeffrey Kuo, certify that:</w:t>
      </w:r>
    </w:p>
    <w:p>
      <w:pPr>
        <w:spacing w:after="0" w:line="200" w:lineRule="exact"/>
        <w:rPr>
          <w:sz w:val="20"/>
          <w:szCs w:val="20"/>
          <w:color w:val="auto"/>
        </w:rPr>
      </w:pPr>
    </w:p>
    <w:p>
      <w:pPr>
        <w:spacing w:after="0" w:line="272" w:lineRule="exact"/>
        <w:rPr>
          <w:sz w:val="20"/>
          <w:szCs w:val="20"/>
          <w:color w:val="auto"/>
        </w:rPr>
      </w:pPr>
    </w:p>
    <w:p>
      <w:pPr>
        <w:ind w:left="660" w:hanging="328"/>
        <w:spacing w:after="0"/>
        <w:tabs>
          <w:tab w:leader="none" w:pos="660" w:val="left"/>
        </w:tabs>
        <w:numPr>
          <w:ilvl w:val="1"/>
          <w:numId w:val="52"/>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Brilliant Earth Group, Inc.;</w:t>
      </w:r>
    </w:p>
    <w:p>
      <w:pPr>
        <w:spacing w:after="0" w:line="229" w:lineRule="exact"/>
        <w:rPr>
          <w:rFonts w:ascii="Arial" w:cs="Arial" w:eastAsia="Arial" w:hAnsi="Arial"/>
          <w:sz w:val="20"/>
          <w:szCs w:val="20"/>
          <w:color w:val="auto"/>
        </w:rPr>
      </w:pPr>
    </w:p>
    <w:p>
      <w:pPr>
        <w:ind w:left="660" w:right="40" w:hanging="328"/>
        <w:spacing w:after="0" w:line="243" w:lineRule="auto"/>
        <w:tabs>
          <w:tab w:leader="none" w:pos="660" w:val="left"/>
        </w:tabs>
        <w:numPr>
          <w:ilvl w:val="1"/>
          <w:numId w:val="5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Arial" w:cs="Arial" w:eastAsia="Arial" w:hAnsi="Arial"/>
          <w:sz w:val="20"/>
          <w:szCs w:val="20"/>
          <w:color w:val="auto"/>
        </w:rPr>
      </w:pPr>
    </w:p>
    <w:p>
      <w:pPr>
        <w:ind w:left="660" w:right="20" w:hanging="328"/>
        <w:spacing w:after="0" w:line="243" w:lineRule="auto"/>
        <w:tabs>
          <w:tab w:leader="none" w:pos="660" w:val="left"/>
        </w:tabs>
        <w:numPr>
          <w:ilvl w:val="1"/>
          <w:numId w:val="5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9" w:lineRule="exact"/>
        <w:rPr>
          <w:rFonts w:ascii="Arial" w:cs="Arial" w:eastAsia="Arial" w:hAnsi="Arial"/>
          <w:sz w:val="20"/>
          <w:szCs w:val="20"/>
          <w:color w:val="auto"/>
        </w:rPr>
      </w:pPr>
    </w:p>
    <w:p>
      <w:pPr>
        <w:ind w:left="660" w:right="140" w:hanging="328"/>
        <w:spacing w:after="0" w:line="237" w:lineRule="auto"/>
        <w:tabs>
          <w:tab w:leader="none" w:pos="660"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3" w:lineRule="exact"/>
        <w:rPr>
          <w:rFonts w:ascii="Arial" w:cs="Arial" w:eastAsia="Arial" w:hAnsi="Arial"/>
          <w:sz w:val="20"/>
          <w:szCs w:val="20"/>
          <w:color w:val="auto"/>
        </w:rPr>
      </w:pPr>
    </w:p>
    <w:p>
      <w:pPr>
        <w:ind w:right="440" w:firstLine="8"/>
        <w:spacing w:after="0" w:line="243" w:lineRule="auto"/>
        <w:tabs>
          <w:tab w:leader="none" w:pos="269" w:val="left"/>
        </w:tabs>
        <w:numPr>
          <w:ilvl w:val="0"/>
          <w:numId w:val="5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ind w:right="320" w:firstLine="648"/>
        <w:spacing w:after="0" w:line="243" w:lineRule="auto"/>
        <w:rPr>
          <w:rFonts w:ascii="Arial" w:cs="Arial" w:eastAsia="Arial" w:hAnsi="Arial"/>
          <w:sz w:val="20"/>
          <w:szCs w:val="20"/>
          <w:color w:val="auto"/>
        </w:rPr>
      </w:pPr>
      <w:r>
        <w:rPr>
          <w:rFonts w:ascii="Arial" w:cs="Arial" w:eastAsia="Arial" w:hAnsi="Arial"/>
          <w:sz w:val="20"/>
          <w:szCs w:val="20"/>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sz w:val="20"/>
          <w:szCs w:val="20"/>
          <w:color w:val="auto"/>
        </w:rPr>
      </w:pPr>
    </w:p>
    <w:p>
      <w:pPr>
        <w:ind w:right="300" w:firstLine="8"/>
        <w:spacing w:after="0" w:line="385" w:lineRule="auto"/>
        <w:tabs>
          <w:tab w:leader="none" w:pos="269" w:val="left"/>
        </w:tabs>
        <w:numPr>
          <w:ilvl w:val="0"/>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firstLine="8"/>
        <w:spacing w:after="0" w:line="243" w:lineRule="auto"/>
        <w:tabs>
          <w:tab w:leader="none" w:pos="2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9" w:lineRule="exact"/>
        <w:rPr>
          <w:sz w:val="20"/>
          <w:szCs w:val="20"/>
          <w:color w:val="auto"/>
        </w:rPr>
      </w:pPr>
    </w:p>
    <w:p>
      <w:pPr>
        <w:ind w:left="660" w:right="260" w:hanging="328"/>
        <w:spacing w:after="0" w:line="237" w:lineRule="auto"/>
        <w:tabs>
          <w:tab w:leader="none" w:pos="660" w:val="left"/>
        </w:tabs>
        <w:numPr>
          <w:ilvl w:val="1"/>
          <w:numId w:val="5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3" w:lineRule="exact"/>
        <w:rPr>
          <w:rFonts w:ascii="Arial" w:cs="Arial" w:eastAsia="Arial" w:hAnsi="Arial"/>
          <w:sz w:val="20"/>
          <w:szCs w:val="20"/>
          <w:color w:val="auto"/>
        </w:rPr>
      </w:pPr>
    </w:p>
    <w:p>
      <w:pPr>
        <w:ind w:right="540" w:firstLine="8"/>
        <w:spacing w:after="0" w:line="300" w:lineRule="auto"/>
        <w:tabs>
          <w:tab w:leader="none" w:pos="2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394" w:right="339" w:bottom="1440" w:gutter="0" w:footer="0" w:header="0"/>
        </w:sectPr>
      </w:pPr>
    </w:p>
    <w:bookmarkStart w:id="135" w:name="page136"/>
    <w:bookmarkEnd w:id="135"/>
    <w:p>
      <w:pPr>
        <w:ind w:firstLine="8"/>
        <w:spacing w:after="0" w:line="246" w:lineRule="auto"/>
        <w:tabs>
          <w:tab w:leader="none" w:pos="2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2800" w:val="left"/>
        </w:tabs>
        <w:rPr>
          <w:sz w:val="20"/>
          <w:szCs w:val="20"/>
          <w:color w:val="auto"/>
        </w:rPr>
      </w:pPr>
      <w:r>
        <w:rPr>
          <w:rFonts w:ascii="Arial" w:cs="Arial" w:eastAsia="Arial" w:hAnsi="Arial"/>
          <w:sz w:val="22"/>
          <w:szCs w:val="22"/>
          <w:color w:val="auto"/>
        </w:rPr>
        <w:t>Date: March 21, 2023</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Jeffrey Kuo</w:t>
      </w:r>
    </w:p>
    <w:p>
      <w:pPr>
        <w:ind w:left="4540"/>
        <w:spacing w:after="0" w:line="204" w:lineRule="auto"/>
        <w:rPr>
          <w:sz w:val="20"/>
          <w:szCs w:val="20"/>
          <w:color w:val="auto"/>
        </w:rPr>
      </w:pPr>
      <w:r>
        <w:rPr>
          <w:rFonts w:ascii="Arial" w:cs="Arial" w:eastAsia="Arial" w:hAnsi="Arial"/>
          <w:sz w:val="22"/>
          <w:szCs w:val="22"/>
          <w:color w:val="auto"/>
        </w:rPr>
        <w:t>Name: Jeffrey Kuo</w:t>
      </w:r>
    </w:p>
    <w:p>
      <w:pPr>
        <w:ind w:left="4540"/>
        <w:spacing w:after="0" w:line="205" w:lineRule="auto"/>
        <w:rPr>
          <w:sz w:val="20"/>
          <w:szCs w:val="20"/>
          <w:color w:val="auto"/>
        </w:rPr>
      </w:pPr>
      <w:r>
        <w:rPr>
          <w:rFonts w:ascii="Arial" w:cs="Arial" w:eastAsia="Arial" w:hAnsi="Arial"/>
          <w:sz w:val="22"/>
          <w:szCs w:val="22"/>
          <w:color w:val="auto"/>
        </w:rPr>
        <w:t>Title: Chief Financial Officer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Principal Financial Officer</w:t>
      </w:r>
      <w:r>
        <w:rPr>
          <w:rFonts w:ascii="Arial" w:cs="Arial" w:eastAsia="Arial" w:hAnsi="Arial"/>
          <w:sz w:val="22"/>
          <w:szCs w:val="22"/>
          <w:color w:val="auto"/>
        </w:rPr>
        <w:t>)</w:t>
      </w:r>
    </w:p>
    <w:p>
      <w:pPr>
        <w:sectPr>
          <w:pgSz w:w="11900" w:h="16838" w:orient="portrait"/>
          <w:cols w:equalWidth="0" w:num="1">
            <w:col w:w="11060"/>
          </w:cols>
          <w:pgMar w:left="320" w:top="1419" w:right="51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Pursuant to 18 U.S.C. Section 1350,</w:t>
      </w: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18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connection with the annual report of Brilliant Earth Group, Inc. (the “Company”) on Form 10-K for the year ended December 31, 2022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67"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Section 15(d) of the Securities Exchange Act of 1934; and</w:t>
      </w:r>
    </w:p>
    <w:p>
      <w:pPr>
        <w:spacing w:after="0" w:line="227" w:lineRule="exact"/>
        <w:rPr>
          <w:rFonts w:ascii="Arial" w:cs="Arial" w:eastAsia="Arial" w:hAnsi="Arial"/>
          <w:sz w:val="19"/>
          <w:szCs w:val="19"/>
          <w:color w:val="auto"/>
        </w:rPr>
      </w:pPr>
    </w:p>
    <w:p>
      <w:pPr>
        <w:ind w:right="320" w:firstLine="8"/>
        <w:spacing w:after="0" w:line="236" w:lineRule="auto"/>
        <w:tabs>
          <w:tab w:leader="none" w:pos="2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20"/>
                <w:szCs w:val="20"/>
                <w:color w:val="auto"/>
              </w:rPr>
              <w:t>Date: March 21, 2023</w:t>
            </w:r>
          </w:p>
        </w:tc>
        <w:tc>
          <w:tcPr>
            <w:tcW w:w="4100" w:type="dxa"/>
            <w:vAlign w:val="bottom"/>
            <w:gridSpan w:val="3"/>
          </w:tcPr>
          <w:p>
            <w:pPr>
              <w:ind w:left="420"/>
              <w:spacing w:after="0"/>
              <w:rPr>
                <w:sz w:val="20"/>
                <w:szCs w:val="20"/>
                <w:color w:val="auto"/>
              </w:rPr>
            </w:pPr>
            <w:r>
              <w:rPr>
                <w:rFonts w:ascii="Arial" w:cs="Arial" w:eastAsia="Arial" w:hAnsi="Arial"/>
                <w:sz w:val="20"/>
                <w:szCs w:val="20"/>
                <w:color w:val="auto"/>
              </w:rPr>
              <w:t>By: /s/ Beth Gerstein</w:t>
            </w:r>
          </w:p>
        </w:tc>
      </w:tr>
      <w:tr>
        <w:trPr>
          <w:trHeight w:val="20"/>
        </w:trPr>
        <w:tc>
          <w:tcPr>
            <w:tcW w:w="2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79"/>
        </w:trPr>
        <w:tc>
          <w:tcPr>
            <w:tcW w:w="2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40" w:type="dxa"/>
            <w:vAlign w:val="bottom"/>
            <w:gridSpan w:val="2"/>
          </w:tcPr>
          <w:p>
            <w:pPr>
              <w:ind w:left="980"/>
              <w:spacing w:after="0" w:line="179" w:lineRule="exact"/>
              <w:rPr>
                <w:sz w:val="20"/>
                <w:szCs w:val="20"/>
                <w:color w:val="auto"/>
              </w:rPr>
            </w:pPr>
            <w:r>
              <w:rPr>
                <w:rFonts w:ascii="Arial" w:cs="Arial" w:eastAsia="Arial" w:hAnsi="Arial"/>
                <w:sz w:val="20"/>
                <w:szCs w:val="20"/>
                <w:color w:val="auto"/>
              </w:rPr>
              <w:t>Name: Beth Gerstein</w:t>
            </w:r>
          </w:p>
        </w:tc>
      </w:tr>
      <w:tr>
        <w:trPr>
          <w:trHeight w:val="192"/>
        </w:trPr>
        <w:tc>
          <w:tcPr>
            <w:tcW w:w="2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340" w:type="dxa"/>
            <w:vAlign w:val="bottom"/>
            <w:gridSpan w:val="2"/>
          </w:tcPr>
          <w:p>
            <w:pPr>
              <w:ind w:left="980"/>
              <w:spacing w:after="0" w:line="192" w:lineRule="exact"/>
              <w:rPr>
                <w:sz w:val="20"/>
                <w:szCs w:val="20"/>
                <w:color w:val="auto"/>
              </w:rPr>
            </w:pPr>
            <w:r>
              <w:rPr>
                <w:rFonts w:ascii="Arial" w:cs="Arial" w:eastAsia="Arial" w:hAnsi="Arial"/>
                <w:sz w:val="20"/>
                <w:szCs w:val="20"/>
                <w:color w:val="auto"/>
                <w:w w:val="92"/>
              </w:rPr>
              <w:t>Title: Chief Executive Officer</w:t>
            </w:r>
          </w:p>
        </w:tc>
      </w:tr>
      <w:tr>
        <w:trPr>
          <w:trHeight w:val="250"/>
        </w:trPr>
        <w:tc>
          <w:tcPr>
            <w:tcW w:w="2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340" w:type="dxa"/>
            <w:vAlign w:val="bottom"/>
            <w:gridSpan w:val="2"/>
          </w:tcPr>
          <w:p>
            <w:pPr>
              <w:ind w:left="980"/>
              <w:spacing w:after="0"/>
              <w:rPr>
                <w:sz w:val="20"/>
                <w:szCs w:val="20"/>
                <w:color w:val="auto"/>
              </w:rPr>
            </w:pPr>
            <w:r>
              <w:rPr>
                <w:rFonts w:ascii="Arial" w:cs="Arial" w:eastAsia="Arial" w:hAnsi="Arial"/>
                <w:sz w:val="20"/>
                <w:szCs w:val="20"/>
                <w:color w:val="auto"/>
                <w:w w:val="94"/>
              </w:rPr>
              <w:t>(</w:t>
            </w:r>
            <w:r>
              <w:rPr>
                <w:rFonts w:ascii="Arial" w:cs="Arial" w:eastAsia="Arial" w:hAnsi="Arial"/>
                <w:sz w:val="20"/>
                <w:szCs w:val="20"/>
                <w:i w:val="1"/>
                <w:iCs w:val="1"/>
                <w:color w:val="auto"/>
                <w:w w:val="94"/>
              </w:rPr>
              <w:t>Principal Executive Officer</w:t>
            </w:r>
            <w:r>
              <w:rPr>
                <w:rFonts w:ascii="Arial" w:cs="Arial" w:eastAsia="Arial" w:hAnsi="Arial"/>
                <w:sz w:val="20"/>
                <w:szCs w:val="20"/>
                <w:color w:val="auto"/>
                <w:w w:val="94"/>
              </w:rPr>
              <w:t>)</w:t>
            </w:r>
          </w:p>
        </w:tc>
      </w:tr>
    </w:tbl>
    <w:p>
      <w:pPr>
        <w:sectPr>
          <w:pgSz w:w="11900" w:h="16838" w:orient="portrait"/>
          <w:cols w:equalWidth="0" w:num="1">
            <w:col w:w="11240"/>
          </w:cols>
          <w:pgMar w:left="320" w:top="1394" w:right="339" w:bottom="1440" w:gutter="0" w:footer="0" w:header="0"/>
        </w:sectPr>
      </w:pPr>
    </w:p>
    <w:bookmarkStart w:id="137" w:name="page138"/>
    <w:bookmarkEnd w:id="137"/>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CFO Pursuant to 18 U.S.C. Section 1350,</w:t>
      </w: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18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connection with the annual report of Brilliant Earth Group, Inc. (the “Company”) on Form 10-K for the year ended December 31, 2022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67"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Section 15(d) of the Securities Exchange Act of 1934; and</w:t>
      </w:r>
    </w:p>
    <w:p>
      <w:pPr>
        <w:spacing w:after="0" w:line="227" w:lineRule="exact"/>
        <w:rPr>
          <w:rFonts w:ascii="Arial" w:cs="Arial" w:eastAsia="Arial" w:hAnsi="Arial"/>
          <w:sz w:val="19"/>
          <w:szCs w:val="19"/>
          <w:color w:val="auto"/>
        </w:rPr>
      </w:pPr>
    </w:p>
    <w:p>
      <w:pPr>
        <w:ind w:right="320" w:firstLine="8"/>
        <w:spacing w:after="0" w:line="236" w:lineRule="auto"/>
        <w:tabs>
          <w:tab w:leader="none" w:pos="2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20"/>
                <w:szCs w:val="20"/>
                <w:color w:val="auto"/>
              </w:rPr>
              <w:t>Date: March 21, 2023</w:t>
            </w:r>
          </w:p>
        </w:tc>
        <w:tc>
          <w:tcPr>
            <w:tcW w:w="4040" w:type="dxa"/>
            <w:vAlign w:val="bottom"/>
            <w:gridSpan w:val="3"/>
          </w:tcPr>
          <w:p>
            <w:pPr>
              <w:ind w:left="420"/>
              <w:spacing w:after="0"/>
              <w:rPr>
                <w:sz w:val="20"/>
                <w:szCs w:val="20"/>
                <w:color w:val="auto"/>
              </w:rPr>
            </w:pPr>
            <w:r>
              <w:rPr>
                <w:rFonts w:ascii="Arial" w:cs="Arial" w:eastAsia="Arial" w:hAnsi="Arial"/>
                <w:sz w:val="20"/>
                <w:szCs w:val="20"/>
                <w:color w:val="auto"/>
              </w:rPr>
              <w:t>By: /s/ Jeffrey Kuo</w:t>
            </w:r>
          </w:p>
        </w:tc>
      </w:tr>
      <w:tr>
        <w:trPr>
          <w:trHeight w:val="20"/>
        </w:trPr>
        <w:tc>
          <w:tcPr>
            <w:tcW w:w="2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79"/>
        </w:trPr>
        <w:tc>
          <w:tcPr>
            <w:tcW w:w="2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80" w:type="dxa"/>
            <w:vAlign w:val="bottom"/>
            <w:gridSpan w:val="2"/>
          </w:tcPr>
          <w:p>
            <w:pPr>
              <w:ind w:left="980"/>
              <w:spacing w:after="0" w:line="179" w:lineRule="exact"/>
              <w:rPr>
                <w:sz w:val="20"/>
                <w:szCs w:val="20"/>
                <w:color w:val="auto"/>
              </w:rPr>
            </w:pPr>
            <w:r>
              <w:rPr>
                <w:rFonts w:ascii="Arial" w:cs="Arial" w:eastAsia="Arial" w:hAnsi="Arial"/>
                <w:sz w:val="20"/>
                <w:szCs w:val="20"/>
                <w:color w:val="auto"/>
              </w:rPr>
              <w:t>Name: Jeffrey Kuo</w:t>
            </w:r>
          </w:p>
        </w:tc>
      </w:tr>
      <w:tr>
        <w:trPr>
          <w:trHeight w:val="250"/>
        </w:trPr>
        <w:tc>
          <w:tcPr>
            <w:tcW w:w="2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80" w:type="dxa"/>
            <w:vAlign w:val="bottom"/>
            <w:gridSpan w:val="2"/>
          </w:tcPr>
          <w:p>
            <w:pPr>
              <w:ind w:left="980"/>
              <w:spacing w:after="0"/>
              <w:rPr>
                <w:sz w:val="20"/>
                <w:szCs w:val="20"/>
                <w:color w:val="auto"/>
              </w:rPr>
            </w:pPr>
            <w:r>
              <w:rPr>
                <w:rFonts w:ascii="Arial" w:cs="Arial" w:eastAsia="Arial" w:hAnsi="Arial"/>
                <w:sz w:val="20"/>
                <w:szCs w:val="20"/>
                <w:color w:val="auto"/>
                <w:w w:val="92"/>
              </w:rPr>
              <w:t>Title: 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upperLetter"/>
      <w:start w:val="2"/>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1"/>
      <w:numFmt w:val="lowerLetter"/>
      <w:start w:val="1"/>
    </w:lvl>
    <w:lvl w:ilvl="1">
      <w:lvlJc w:val="left"/>
      <w:lvlText w:val="%2."/>
      <w:numFmt w:val="decimal"/>
      <w:start w:val="1"/>
    </w:lvl>
  </w:abstractNum>
  <w:abstractNum w:abstractNumId="48">
    <w:nsid w:val="374A3FE6"/>
    <w:multiLevelType w:val="hybridMultilevel"/>
    <w:lvl w:ilvl="0">
      <w:lvlJc w:val="left"/>
      <w:lvlText w:val="(%1)"/>
      <w:numFmt w:val="lowerLetter"/>
      <w:start w:val="1"/>
    </w:lvl>
    <w:lvl w:ilvl="1">
      <w:lvlJc w:val="left"/>
      <w:lvlText w:val="%2"/>
      <w:numFmt w:val="decimal"/>
      <w:start w:val="1"/>
    </w:lvl>
  </w:abstractNum>
  <w:abstractNum w:abstractNumId="49">
    <w:nsid w:val="4F4EF005"/>
    <w:multiLevelType w:val="hybridMultilevel"/>
    <w:lvl w:ilvl="0">
      <w:lvlJc w:val="left"/>
      <w:lvlText w:val="(%1)"/>
      <w:numFmt w:val="lowerLetter"/>
      <w:start w:val="3"/>
    </w:lvl>
    <w:lvl w:ilvl="1">
      <w:lvlJc w:val="left"/>
      <w:lvlText w:val="%2."/>
      <w:numFmt w:val="decimal"/>
      <w:start w:val="5"/>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Letter"/>
      <w:start w:val="1"/>
    </w:lvl>
    <w:lvl w:ilvl="1">
      <w:lvlJc w:val="left"/>
      <w:lvlText w:val="%2."/>
      <w:numFmt w:val="decimal"/>
      <w:start w:val="1"/>
    </w:lvl>
  </w:abstractNum>
  <w:abstractNum w:abstractNumId="52">
    <w:nsid w:val="275AC794"/>
    <w:multiLevelType w:val="hybridMultilevel"/>
    <w:lvl w:ilvl="0">
      <w:lvlJc w:val="left"/>
      <w:lvlText w:val="(%1)"/>
      <w:numFmt w:val="lowerLetter"/>
      <w:start w:val="1"/>
    </w:lvl>
    <w:lvl w:ilvl="1">
      <w:lvlJc w:val="left"/>
      <w:lvlText w:val="%2"/>
      <w:numFmt w:val="decimal"/>
      <w:start w:val="1"/>
    </w:lvl>
  </w:abstractNum>
  <w:abstractNum w:abstractNumId="53">
    <w:nsid w:val="39386575"/>
    <w:multiLevelType w:val="hybridMultilevel"/>
    <w:lvl w:ilvl="0">
      <w:lvlJc w:val="left"/>
      <w:lvlText w:val="(%1)"/>
      <w:numFmt w:val="lowerLetter"/>
      <w:start w:val="3"/>
    </w:lvl>
  </w:abstractNum>
  <w:abstractNum w:abstractNumId="54">
    <w:nsid w:val="1CF10FD8"/>
    <w:multiLevelType w:val="hybridMultilevel"/>
    <w:lvl w:ilvl="0">
      <w:lvlJc w:val="left"/>
      <w:lvlText w:val="%1"/>
      <w:numFmt w:val="lowerLetter"/>
      <w:start w:val="1"/>
    </w:lvl>
    <w:lvl w:ilvl="1">
      <w:lvlJc w:val="left"/>
      <w:lvlText w:val="%2."/>
      <w:numFmt w:val="decimal"/>
      <w:start w:val="5"/>
    </w:lvl>
  </w:abstractNum>
  <w:abstractNum w:abstractNumId="55">
    <w:nsid w:val="180115BE"/>
    <w:multiLevelType w:val="hybridMultilevel"/>
    <w:lvl w:ilvl="0">
      <w:lvlJc w:val="left"/>
      <w:lvlText w:val="(%1)"/>
      <w:numFmt w:val="lowerLetter"/>
      <w:start w:val="1"/>
    </w:lvl>
    <w:lvl w:ilvl="1">
      <w:lvlJc w:val="left"/>
      <w:lvlText w:val="%2"/>
      <w:numFmt w:val="decimal"/>
      <w:start w:val="1"/>
    </w:lvl>
  </w:abstractNum>
  <w:abstractNum w:abstractNumId="56">
    <w:nsid w:val="235BA861"/>
    <w:multiLevelType w:val="hybridMultilevel"/>
    <w:lvl w:ilvl="0">
      <w:lvlJc w:val="left"/>
      <w:lvlText w:val="(%1)"/>
      <w:numFmt w:val="lowerLetter"/>
      <w:start w:val="2"/>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62" Type="http://schemas.openxmlformats.org/officeDocument/2006/relationships/hyperlink" Target="https://www.sec.gov/Archives/edgar/data/0001866757/000119312521284281/d61525dex31.htm" TargetMode="External"/><Relationship Id="rId163" Type="http://schemas.openxmlformats.org/officeDocument/2006/relationships/hyperlink" Target="https://www.sec.gov/Archives/edgar/data/0001866757/000119312521284281/d61525dex32.htm" TargetMode="External"/><Relationship Id="rId164" Type="http://schemas.openxmlformats.org/officeDocument/2006/relationships/hyperlink" Target="https://www.sec.gov/Archives/edgar/data/0001866757/000119312521272138/d64351dex41.htm" TargetMode="External"/><Relationship Id="rId165" Type="http://schemas.openxmlformats.org/officeDocument/2006/relationships/hyperlink" Target="https://www.sec.gov/Archives/edgar/data/1866757/000186675722000064/exhibit42.htm" TargetMode="External"/><Relationship Id="rId166" Type="http://schemas.openxmlformats.org/officeDocument/2006/relationships/hyperlink" Target="https://www.sec.gov/Archives/edgar/data/0001866757/000119312521284281/d61525dex101.htm" TargetMode="External"/><Relationship Id="rId167" Type="http://schemas.openxmlformats.org/officeDocument/2006/relationships/hyperlink" Target="https://www.sec.gov/Archives/edgar/data/0001866757/000119312521284281/d61525dex102.htm" TargetMode="External"/><Relationship Id="rId168" Type="http://schemas.openxmlformats.org/officeDocument/2006/relationships/hyperlink" Target="https://www.sec.gov/Archives/edgar/data/0001866757/000119312521284281/d61525dex103.htm" TargetMode="External"/><Relationship Id="rId169" Type="http://schemas.openxmlformats.org/officeDocument/2006/relationships/hyperlink" Target="https://www.sec.gov/Archives/edgar/data/0001866757/000119312521284281/d61525dex104.htm" TargetMode="External"/><Relationship Id="rId170" Type="http://schemas.openxmlformats.org/officeDocument/2006/relationships/hyperlink" Target="https://www.sec.gov/Archives/edgar/data/0001866757/000119312521284281/d61525dex105.htm" TargetMode="External"/><Relationship Id="rId171" Type="http://schemas.openxmlformats.org/officeDocument/2006/relationships/hyperlink" Target="https://www.sec.gov/Archives/edgar/data/0001866757/000119312521284281/d61525dex106.htm" TargetMode="External"/><Relationship Id="rId172" Type="http://schemas.openxmlformats.org/officeDocument/2006/relationships/hyperlink" Target="https://www.sec.gov/Archives/edgar/data/0001866757/000119312521284281/d61525dex107.htm" TargetMode="External"/><Relationship Id="rId173" Type="http://schemas.openxmlformats.org/officeDocument/2006/relationships/hyperlink" Target="https://www.sec.gov/Archives/edgar/data/0001866757/000119312521279955/d236309dex991.htm" TargetMode="External"/><Relationship Id="rId174" Type="http://schemas.openxmlformats.org/officeDocument/2006/relationships/hyperlink" Target="https://www.sec.gov/Archives/edgar/data/0001866757/000119312521279955/d236309dex992.htm" TargetMode="External"/><Relationship Id="rId175" Type="http://schemas.openxmlformats.org/officeDocument/2006/relationships/hyperlink" Target="https://www.sec.gov/Archives/edgar/data/0001866757/000119312521272138/d64351dex109.htm" TargetMode="External"/><Relationship Id="rId176" Type="http://schemas.openxmlformats.org/officeDocument/2006/relationships/hyperlink" Target="https://www.sec.gov/Archives/edgar/data/0001866757/000119312521272138/d64351dex1011.htm" TargetMode="External"/><Relationship Id="rId177" Type="http://schemas.openxmlformats.org/officeDocument/2006/relationships/hyperlink" Target="https://www.sec.gov/Archives/edgar/data/0001866757/000119312521272138/d64351dex1012.htm" TargetMode="External"/><Relationship Id="rId178" Type="http://schemas.openxmlformats.org/officeDocument/2006/relationships/hyperlink" Target="https://www.sec.gov/Archives/edgar/data/0001866757/000119312521272138/d64351dex1014.htm" TargetMode="External"/><Relationship Id="rId179" Type="http://schemas.openxmlformats.org/officeDocument/2006/relationships/hyperlink" Target="https://www.sec.gov/Archives/edgar/data/0001866757/000119312521272138/d64351dex1015.htm" TargetMode="External"/><Relationship Id="rId180" Type="http://schemas.openxmlformats.org/officeDocument/2006/relationships/hyperlink" Target="https://www.sec.gov/Archives/edgar/data/1866757/000186675722000155/v2creditagreement-brilli.htm" TargetMode="External"/><Relationship Id="rId181" Type="http://schemas.openxmlformats.org/officeDocument/2006/relationships/hyperlink" Target="https://www.sec.gov/Archives/edgar/data/1866757/000186675722000064/exhibit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2023-03-21T16:23:52Z</dcterms:created>
  <dcterms:modified xsi:type="dcterms:W3CDTF">2023-03-21T16:23:52Z</dcterms:modified>
</cp:coreProperties>
</file>