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4a6c2a389dae40ce8308d3d123946e47_7">
        <w:r>
          <w:rPr>
            <w:rStyle w:val="InternetLink"/>
            <w:rFonts w:ascii="Times New Roman;sans-serif" w:hAnsi="Times New Roman;sans-serif"/>
            <w:b w:val="false"/>
            <w:color w:val="0000FF"/>
            <w:sz w:val="20"/>
            <w:u w:val="single"/>
          </w:rPr>
          <w:t>Table of Contents</w:t>
        </w:r>
      </w:hyperlink>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2023</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Brilliant Earth Group, Inc.</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300 Grant Avenue, Third Floor</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(800) 691-0952</w:t>
      </w:r>
    </w:p>
    <w:p>
      <w:pPr>
        <w:pStyle w:val="TextBody"/>
        <w:bidi w:val="0"/>
        <w:spacing w:lineRule="auto" w:line="21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The Nasdaq Global Market </w:t>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6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405"/>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300" w:before="0" w:after="2"/>
        <w:jc w:val="both"/>
        <w:rPr/>
      </w:pPr>
      <w:r>
        <w:rPr>
          <w:rFonts w:ascii="Times New Roman;sans-serif" w:hAnsi="Times New Roman;sans-serif"/>
          <w:b w:val="false"/>
          <w:color w:val="000000"/>
          <w:sz w:val="16"/>
        </w:rPr>
        <w:t xml:space="preserve">As of November 6, 2023, there were </w:t>
      </w:r>
      <w:r>
        <w:rPr>
          <w:rFonts w:ascii="Times New Roman;sans-serif" w:hAnsi="Times New Roman;sans-serif"/>
          <w:b w:val="false"/>
          <w:color w:val="000000"/>
          <w:sz w:val="16"/>
          <w:shd w:fill="FFFFFF" w:val="clear"/>
        </w:rPr>
        <w:t>12,269,690</w:t>
      </w:r>
      <w:r>
        <w:rPr>
          <w:color w:val="000000"/>
        </w:rPr>
        <w:t xml:space="preserve"> </w:t>
      </w:r>
      <w:r>
        <w:rPr>
          <w:rFonts w:ascii="Times New Roman;sans-serif" w:hAnsi="Times New Roman;sans-serif"/>
          <w:b w:val="false"/>
          <w:color w:val="000000"/>
          <w:sz w:val="16"/>
        </w:rPr>
        <w:t xml:space="preserve">shares of the registrant's Class A common stock, $0.0001 par value per share, outstanding, </w:t>
      </w:r>
      <w:r>
        <w:rPr>
          <w:rFonts w:ascii="Times New Roman;sans-serif" w:hAnsi="Times New Roman;sans-serif"/>
          <w:b w:val="false"/>
          <w:color w:val="000000"/>
          <w:sz w:val="16"/>
          <w:shd w:fill="FFFFFF" w:val="clear"/>
        </w:rPr>
        <w:t>35,697,266</w:t>
      </w:r>
      <w:r>
        <w:rPr>
          <w:color w:val="000000"/>
        </w:rPr>
        <w:t xml:space="preserve"> </w:t>
      </w:r>
      <w:r>
        <w:rPr>
          <w:rFonts w:ascii="Times New Roman;sans-serif" w:hAnsi="Times New Roman;sans-serif"/>
          <w:b w:val="false"/>
          <w:color w:val="000000"/>
          <w:sz w:val="16"/>
        </w:rPr>
        <w:t xml:space="preserve">shares of the registrant's Class B common stock, $0.0001 par value per share, outstanding, </w:t>
      </w:r>
      <w:r>
        <w:rPr>
          <w:rFonts w:ascii="Times New Roman;sans-serif" w:hAnsi="Times New Roman;sans-serif"/>
          <w:b w:val="false"/>
          <w:color w:val="000000"/>
          <w:sz w:val="16"/>
          <w:shd w:fill="FFFFFF" w:val="clear"/>
        </w:rPr>
        <w:t>49,119,976</w:t>
      </w:r>
      <w:r>
        <w:rPr>
          <w:color w:val="000000"/>
        </w:rPr>
        <w:t xml:space="preserve"> </w:t>
      </w:r>
      <w:r>
        <w:rPr>
          <w:rFonts w:ascii="Times New Roman;sans-serif" w:hAnsi="Times New Roman;sans-serif"/>
          <w:b w:val="false"/>
          <w:color w:val="000000"/>
          <w:sz w:val="16"/>
        </w:rPr>
        <w:t xml:space="preserve">shares of the registrant's Class C common stock, $0.0001 par value per share, outstanding and </w:t>
      </w:r>
      <w:r>
        <w:rPr>
          <w:rFonts w:ascii="Times New Roman;sans-serif" w:hAnsi="Times New Roman;sans-serif"/>
          <w:b w:val="false"/>
          <w:color w:val="000000"/>
          <w:sz w:val="16"/>
          <w:shd w:fill="FFFFFF" w:val="clear"/>
        </w:rPr>
        <w:t xml:space="preserve">no </w:t>
      </w:r>
      <w:r>
        <w:rPr>
          <w:rFonts w:ascii="Times New Roman;sans-serif" w:hAnsi="Times New Roman;sans-serif"/>
          <w:b w:val="false"/>
          <w:color w:val="000000"/>
          <w:sz w:val="16"/>
        </w:rPr>
        <w:t>shares of the registrant's Class D common stock,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2"/>
        <w:jc w:val="center"/>
        <w:rPr/>
      </w:pPr>
      <w:r>
        <w:rPr/>
      </w:r>
    </w:p>
    <w:tbl>
      <w:tblPr>
        <w:tblW w:w="9211" w:type="dxa"/>
        <w:jc w:val="left"/>
        <w:tblInd w:w="0" w:type="dxa"/>
        <w:tblLayout w:type="fixed"/>
        <w:tblCellMar>
          <w:top w:w="28" w:type="dxa"/>
          <w:left w:w="28" w:type="dxa"/>
          <w:bottom w:w="28" w:type="dxa"/>
          <w:right w:w="28" w:type="dxa"/>
        </w:tblCellMar>
      </w:tblPr>
      <w:tblGrid>
        <w:gridCol w:w="3136"/>
        <w:gridCol w:w="2760"/>
        <w:gridCol w:w="2774"/>
        <w:gridCol w:w="158"/>
        <w:gridCol w:w="158"/>
        <w:gridCol w:w="225"/>
      </w:tblGrid>
      <w:tr>
        <w:trPr/>
        <w:tc>
          <w:tcPr>
            <w:tcW w:w="3136"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6">
              <w:r>
                <w:rPr>
                  <w:rStyle w:val="InternetLink"/>
                  <w:rFonts w:ascii="Times New Roman;sans-serif" w:hAnsi="Times New Roman;sans-serif"/>
                  <w:b w:val="false"/>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9">
              <w:r>
                <w:rPr>
                  <w:rStyle w:val="InternetLink"/>
                  <w:rFonts w:ascii="Times New Roman;sans-serif" w:hAnsi="Times New Roman;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9">
              <w:r>
                <w:rPr>
                  <w:rStyle w:val="InternetLink"/>
                  <w:rFonts w:ascii="Times New Roman;sans-serif" w:hAnsi="Times New Roman;sans-serif"/>
                  <w:b w:val="false"/>
                  <w:color w:val="0000FF"/>
                  <w:sz w:val="20"/>
                  <w:u w:val="single"/>
                </w:rPr>
                <w:t>5</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6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67">
              <w:r>
                <w:rPr>
                  <w:rStyle w:val="InternetLink"/>
                  <w:rFonts w:ascii="Times New Roman;sans-serif" w:hAnsi="Times New Roman;sans-serif"/>
                  <w:b w:val="false"/>
                  <w:color w:val="0000FF"/>
                  <w:sz w:val="20"/>
                  <w:u w:val="single"/>
                </w:rPr>
                <w:t>26</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4a6c2a389dae40ce8308d3d123946e47_100">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00">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4a6c2a389dae40ce8308d3d123946e47_103">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03">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4a6c2a389dae40ce8308d3d123946e47_106">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4a6c2a389dae40ce8308d3d123946e47_109">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09">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12">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12">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15">
              <w:r>
                <w:rPr>
                  <w:rStyle w:val="InternetLink"/>
                  <w:rFonts w:ascii="Times New Roman;sans-serif" w:hAnsi="Times New Roman;sans-serif"/>
                  <w:b w:val="false"/>
                  <w:color w:val="0000FF"/>
                  <w:sz w:val="20"/>
                  <w:u w:val="single"/>
                </w:rPr>
                <w:t>Item 2. Unregistered Sales of Equity Securities, Use of Proceeds,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15">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18">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18">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21">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21">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24">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24">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27">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27">
              <w:r>
                <w:rPr>
                  <w:rStyle w:val="InternetLink"/>
                  <w:rFonts w:ascii="Times New Roman;sans-serif" w:hAnsi="Times New Roman;sans-serif"/>
                  <w:b w:val="false"/>
                  <w:color w:val="0000FF"/>
                  <w:sz w:val="20"/>
                  <w:u w:val="single"/>
                </w:rPr>
                <w:t>44</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a6c2a389dae40ce8308d3d123946e47_130">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4a6c2a389dae40ce8308d3d123946e47_130">
              <w:r>
                <w:rPr>
                  <w:rStyle w:val="InternetLink"/>
                  <w:rFonts w:ascii="Times New Roman;sans-serif" w:hAnsi="Times New Roman;sans-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before="0" w:after="2"/>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introduction of new products, future capital expenditures, and debt service obligations, are forward-looking statements. In some cases, you can identify forward-looking statements by terms, such as "</w:t>
      </w:r>
      <w:r>
        <w:rPr>
          <w:rFonts w:ascii="Times New Roman;sans-serif" w:hAnsi="Times New Roman;sans-serif"/>
          <w:b w:val="false"/>
          <w:color w:val="000000"/>
          <w:sz w:val="20"/>
        </w:rPr>
        <w:t xml:space="preserve">anticipate," "believe," "contemplate," "continue," "could," "estimate," "evolve," "expect," "intend," "may," "plan," "potential," "predict," "seek," "should," "strategy," "target," "will," or "would," or the negative of these terms or other similar expressions. </w:t>
      </w:r>
      <w:r>
        <w:rPr>
          <w:rFonts w:ascii="Times New Roman;sans-serif" w:hAnsi="Times New Roman;sans-serif"/>
          <w:b w:val="false"/>
          <w:color w:val="000000"/>
          <w:sz w:val="20"/>
          <w:shd w:fill="FFFFFF" w:val="clear"/>
        </w:rPr>
        <w:t>Accordingly, we caution you that any such forward-looking statements are not guarantees of future performance and are subject to risks, assumptions, and uncertainties that are difficult to predict.</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our rapid growth in recent years and limited operating experience; our ability to manage growth effectively; risks related to increases in costs of diamonds, other gemstones and precious metals; lead times, and supply shortages and supply changes; our ability to maintain a low cost of production and distribution;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our ability to cost-effectively turn existing customers into repeat customers or to acquire new customers; our expansion plans in the U.S.; risks related to an overall decline in the health of the economy and other factors impacting consumer spending, such as recessionary conditions, governmental instability, war or the threat of war, and natural disasters; our history of losses, and our ability to sustain profitability; our ability to compete in the fine jewelry retail industry; our ability to manage our inventory balances and inventory shrinkage; a decline in sales of Create Your Own rings; our ability to maintain and enhance our brand; the effectiveness of our marketing efforts; the impact of environmental, social, and governance matters on our business and reputation; our e-commerce and omnichannel business; our ability to effectively anticipate and respond to changes in consumer preferences and shopping patterns; our ability to predict future performance due to quarterly and annual fluctuations of our results of operations and operating cash flow; our dependence on distributions from Brilliant Earth, LLC to pay our taxes and expenses; risks related to our obligations under the Tax Receivable Agreement (as defined below) and our organizational structure; and the other risks, uncertainties and the factors described in Part I, Item 1A, "Risk Factors" in our Annual Report on Form 10-K for the fiscal year ended December 31, 2022 (the "2022 Form 10-K") filed with the Securities and Exchange Commission (the "</w:t>
      </w:r>
      <w:r>
        <w:rPr>
          <w:rFonts w:ascii="Times New Roman;sans-serif" w:hAnsi="Times New Roman;sans-serif"/>
          <w:b w:val="false"/>
          <w:color w:val="000000"/>
          <w:sz w:val="20"/>
        </w:rPr>
        <w:t>SEC") on March 21, 2023</w:t>
      </w:r>
      <w:r>
        <w:rPr>
          <w:rFonts w:ascii="Times New Roman;sans-serif" w:hAnsi="Times New Roman;sans-serif"/>
          <w:b w:val="false"/>
          <w:color w:val="000000"/>
          <w:sz w:val="20"/>
          <w:shd w:fill="FFFFFF" w:val="clear"/>
        </w:rPr>
        <w:t xml:space="preserve">. Other sections of this Quarterly Report on Form 10-Q include additional factors that could adversely impact our business and financial performance.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 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2"/>
        <w:jc w:val="center"/>
        <w:rPr/>
      </w:pPr>
      <w:r>
        <w:rPr/>
      </w:r>
    </w:p>
    <w:p>
      <w:pPr>
        <w:pStyle w:val="TextBody"/>
        <w:bidi w:val="0"/>
        <w:spacing w:lineRule="auto" w:line="300" w:before="0" w:after="2"/>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otherwise requires, references to:</w:t>
      </w:r>
    </w:p>
    <w:p>
      <w:pPr>
        <w:pStyle w:val="TextBody"/>
        <w:bidi w:val="0"/>
        <w:spacing w:before="0" w:after="2"/>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"us," "our," the "Company," "Brilliant Earth," and similar references refer to Brilliant Earth Group, Inc., and, unless otherwise stated, all of its subsidiaries, including Brilliant Earth, LLC.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"Brilliant Earth LLC Agreement" refers to Brilliant Earth, LLC's amended and restated limited liability company agreement, which became effective prior to the consummation of the IPO.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"Continuing Equity Owners" refers collectively to holders of LLC Interests (as defined below)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"Founders" refers to Beth Gerstein, our Co-Founder and Chief Executive Officer, Eric Grossberg, our Co-Founder and Executive Chairman, and Just Rocks, Inc., a Delaware corporation, which is jointly owned and controlled by our Founders.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"LLC Interests" or "LLC Units" refers to the common units of Brilliant Earth, LLC, including those that we purchased with the net proceeds from the IPO.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"Mainsail" 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"Reorganization Transactions" refers to the organizational transactions and the IPO, and the application of the net proceeds therefrom.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pPr>
      <w:hyperlink w:anchor="i4a6c2a389dae40ce8308d3d123946e47_7">
        <w:r>
          <w:rPr>
            <w:rStyle w:val="InternetLink"/>
            <w:rFonts w:ascii="Times New Roman;sans-serif" w:hAnsi="Times New Roman;sans-serif"/>
            <w:b/>
            <w:color w:val="000000"/>
            <w:sz w:val="20"/>
            <w:u w:val="singl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BALANCE SHEETS</w:t>
      </w:r>
    </w:p>
    <w:p>
      <w:pPr>
        <w:pStyle w:val="TextBody"/>
        <w:bidi w:val="0"/>
        <w:spacing w:lineRule="auto" w:line="276" w:before="0" w:after="1"/>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30"/>
        <w:gridCol w:w="2363"/>
        <w:gridCol w:w="2355"/>
        <w:gridCol w:w="203"/>
        <w:gridCol w:w="781"/>
        <w:gridCol w:w="113"/>
        <w:gridCol w:w="109"/>
        <w:gridCol w:w="109"/>
        <w:gridCol w:w="109"/>
        <w:gridCol w:w="199"/>
        <w:gridCol w:w="765"/>
        <w:gridCol w:w="111"/>
        <w:gridCol w:w="158"/>
      </w:tblGrid>
      <w:tr>
        <w:trPr/>
        <w:tc>
          <w:tcPr>
            <w:tcW w:w="2830"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147,131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154,649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37,256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39,331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11,271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11,764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195,867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205,949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22,402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16,554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9,272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8,948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35,459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27,812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2,693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3,311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assets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265,693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262,574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4,108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11,032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35,073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37,833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deferred revenue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23,051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18,505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4,866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3,873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3,656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3,250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current liabilities </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70,754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74,493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56,749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59,462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37,066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28,537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pursuant to the Tax Receivable Agreement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7,675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6,893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172,248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169,433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10)</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none issued and outstanding at September 30, 2023 and December 31, 2022, respectively</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1,200,000,000 shares authorized; 12,260,942 and 11,246,694 shares issued and outstanding at September 30, 2023 and December 31, 2022, respectively</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150,000,000 shares authorized; 35,669,224 and 35,482,534 shares issued and outstanding at September 30, 2023 and December 31, 2022, respectively</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150,000,000 shares authorized; 49,119,976 and 49,119,976 shares issued and outstanding at September 30, 2023 and December 31, 2022, respectively</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$0.0001 par value, 150,000,000 shares authorized; none issued and outstanding at September 30, 2023 and December 31, 2022, respectively</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7,791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7,256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4,004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3,663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Equity attributable to Brilliant Earth Group, Inc.</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11,805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10,929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NCI attributable to Brilliant Earth, LLC</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81,640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82,212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equity</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93,445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93,141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equity</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265,693</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262,574</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9912" w:type="dxa"/>
        <w:jc w:val="left"/>
        <w:tblInd w:w="0" w:type="dxa"/>
        <w:tblLayout w:type="fixed"/>
        <w:tblCellMar>
          <w:top w:w="28" w:type="dxa"/>
          <w:left w:w="28" w:type="dxa"/>
          <w:bottom w:w="28" w:type="dxa"/>
          <w:right w:w="28" w:type="dxa"/>
        </w:tblCellMar>
      </w:tblPr>
      <w:tblGrid>
        <w:gridCol w:w="1482"/>
        <w:gridCol w:w="1307"/>
        <w:gridCol w:w="1321"/>
        <w:gridCol w:w="202"/>
        <w:gridCol w:w="774"/>
        <w:gridCol w:w="109"/>
        <w:gridCol w:w="109"/>
        <w:gridCol w:w="109"/>
        <w:gridCol w:w="109"/>
        <w:gridCol w:w="202"/>
        <w:gridCol w:w="774"/>
        <w:gridCol w:w="109"/>
        <w:gridCol w:w="109"/>
        <w:gridCol w:w="109"/>
        <w:gridCol w:w="109"/>
        <w:gridCol w:w="202"/>
        <w:gridCol w:w="774"/>
        <w:gridCol w:w="109"/>
        <w:gridCol w:w="109"/>
        <w:gridCol w:w="109"/>
        <w:gridCol w:w="109"/>
        <w:gridCol w:w="202"/>
        <w:gridCol w:w="774"/>
        <w:gridCol w:w="109"/>
        <w:gridCol w:w="109"/>
        <w:gridCol w:w="109"/>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114,154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111,405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322,036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320,252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47,327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50,487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138,044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151,397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66,827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60,918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183,992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168,855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64,813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54,615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180,708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151,576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6,303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17,279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tax</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5,899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13,228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1,998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5,719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12,839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non-controlling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2,452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Brilliant Earth Group, Inc.</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shares of common stock outstanding: </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12,149,770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10,884,306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11,780,905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10,571,777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97,194,920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96,574,462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96,918,465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96,488,889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pPr>
      <w:r>
        <w:rPr>
          <w:rFonts w:ascii="Times New Roman;sans-serif" w:hAnsi="Times New Roman;sans-serif"/>
          <w:b/>
          <w:color w:val="000000"/>
          <w:sz w:val="20"/>
        </w:rPr>
        <w:t xml:space="preserve">UNAUDITED CONDENSED CONSOLIDATED </w:t>
      </w:r>
      <w:r>
        <w:rPr>
          <w:rFonts w:ascii="Times New Roman;sans-serif" w:hAnsi="Times New Roman;sans-serif"/>
          <w:b/>
          <w:color w:val="000000"/>
          <w:sz w:val="20"/>
          <w:shd w:fill="FFFFFF" w:val="clear"/>
        </w:rPr>
        <w:t xml:space="preserve">STATEMENTS OF CHANGES IN EQUITY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tbl>
      <w:tblPr>
        <w:tblW w:w="13639" w:type="dxa"/>
        <w:jc w:val="left"/>
        <w:tblInd w:w="0" w:type="dxa"/>
        <w:tblLayout w:type="fixed"/>
        <w:tblCellMar>
          <w:top w:w="28" w:type="dxa"/>
          <w:left w:w="28" w:type="dxa"/>
          <w:bottom w:w="28" w:type="dxa"/>
          <w:right w:w="28" w:type="dxa"/>
        </w:tblCellMar>
      </w:tblPr>
      <w:tblGrid>
        <w:gridCol w:w="516"/>
        <w:gridCol w:w="177"/>
        <w:gridCol w:w="178"/>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175"/>
        <w:gridCol w:w="460"/>
        <w:gridCol w:w="116"/>
        <w:gridCol w:w="109"/>
        <w:gridCol w:w="109"/>
        <w:gridCol w:w="109"/>
        <w:gridCol w:w="166"/>
        <w:gridCol w:w="436"/>
        <w:gridCol w:w="109"/>
        <w:gridCol w:w="109"/>
        <w:gridCol w:w="109"/>
        <w:gridCol w:w="109"/>
        <w:gridCol w:w="200"/>
        <w:gridCol w:w="598"/>
        <w:gridCol w:w="133"/>
        <w:gridCol w:w="109"/>
        <w:gridCol w:w="109"/>
        <w:gridCol w:w="109"/>
        <w:gridCol w:w="353"/>
        <w:gridCol w:w="353"/>
        <w:gridCol w:w="141"/>
        <w:gridCol w:w="109"/>
        <w:gridCol w:w="109"/>
        <w:gridCol w:w="109"/>
        <w:gridCol w:w="166"/>
        <w:gridCol w:w="496"/>
        <w:gridCol w:w="109"/>
        <w:gridCol w:w="327"/>
        <w:gridCol w:w="166"/>
        <w:gridCol w:w="49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January 1, 2023</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11,246,694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35,482,534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7,256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10,929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84,602,510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93,141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252,941 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March 31, 2023</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11,571,521</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35,526,085</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7,615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11,236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84,646,061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93,426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54,600 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(54,600)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(54,600)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411,444 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112,115 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112,115 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June 30, 2023</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12,037,565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35,583,600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7,882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11,651</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84,703,576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81,983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93,634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(19,865)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(19,865)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203,512 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105,489 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105,489 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September 30, 2023</w:t>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12,260,942</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35,669,224</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7,791</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4,004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11,805</w:t>
            </w:r>
            <w:r>
              <w:rPr>
                <w:color w:val="000000"/>
              </w:rPr>
              <w:t>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84,789,200</w:t>
            </w: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81,640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93,445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CHANGES IN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tbl>
      <w:tblPr>
        <w:tblW w:w="13639" w:type="dxa"/>
        <w:jc w:val="center"/>
        <w:tblInd w:w="0" w:type="dxa"/>
        <w:tblLayout w:type="fixed"/>
        <w:tblCellMar>
          <w:top w:w="28" w:type="dxa"/>
          <w:left w:w="28" w:type="dxa"/>
          <w:bottom w:w="28" w:type="dxa"/>
          <w:right w:w="28" w:type="dxa"/>
        </w:tblCellMar>
      </w:tblPr>
      <w:tblGrid>
        <w:gridCol w:w="516"/>
        <w:gridCol w:w="177"/>
        <w:gridCol w:w="178"/>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175"/>
        <w:gridCol w:w="460"/>
        <w:gridCol w:w="116"/>
        <w:gridCol w:w="109"/>
        <w:gridCol w:w="109"/>
        <w:gridCol w:w="109"/>
        <w:gridCol w:w="166"/>
        <w:gridCol w:w="436"/>
        <w:gridCol w:w="109"/>
        <w:gridCol w:w="109"/>
        <w:gridCol w:w="109"/>
        <w:gridCol w:w="109"/>
        <w:gridCol w:w="217"/>
        <w:gridCol w:w="570"/>
        <w:gridCol w:w="144"/>
        <w:gridCol w:w="109"/>
        <w:gridCol w:w="109"/>
        <w:gridCol w:w="109"/>
        <w:gridCol w:w="353"/>
        <w:gridCol w:w="353"/>
        <w:gridCol w:w="141"/>
        <w:gridCol w:w="109"/>
        <w:gridCol w:w="109"/>
        <w:gridCol w:w="109"/>
        <w:gridCol w:w="166"/>
        <w:gridCol w:w="496"/>
        <w:gridCol w:w="109"/>
        <w:gridCol w:w="327"/>
        <w:gridCol w:w="166"/>
        <w:gridCol w:w="49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January 1,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9,614,523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35,658,013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49,505,250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6,865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8,403</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85,163,263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74,435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82,838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and Class C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1,053,914 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(668,640)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(385,274)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(1,053,914)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40,019 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337,323 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337,323 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Net income </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March 31, 2022</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10,708,456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35,326,696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7,339</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1,884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9,233</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84,446,672</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72,809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82,042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(110,000)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140,897 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Net income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June 30,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10,835,394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35,357,593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6,749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2,308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9,067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84,477,569</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70,687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79,754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85,708 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(85,708)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(85,708)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19,270 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123,853 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123,853 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Net income </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 xml:space="preserve">Balance, September 30, 2022 </w:t>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10,940,372</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35,395,738</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6,731</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2,954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9,695</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84,515,714</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74,897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84,592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950" w:type="dxa"/>
        <w:jc w:val="left"/>
        <w:tblInd w:w="0" w:type="dxa"/>
        <w:tblLayout w:type="fixed"/>
        <w:tblCellMar>
          <w:top w:w="28" w:type="dxa"/>
          <w:left w:w="28" w:type="dxa"/>
          <w:bottom w:w="28" w:type="dxa"/>
          <w:right w:w="28" w:type="dxa"/>
        </w:tblCellMar>
      </w:tblPr>
      <w:tblGrid>
        <w:gridCol w:w="2283"/>
        <w:gridCol w:w="2008"/>
        <w:gridCol w:w="2024"/>
        <w:gridCol w:w="208"/>
        <w:gridCol w:w="798"/>
        <w:gridCol w:w="115"/>
        <w:gridCol w:w="115"/>
        <w:gridCol w:w="115"/>
        <w:gridCol w:w="115"/>
        <w:gridCol w:w="208"/>
        <w:gridCol w:w="798"/>
        <w:gridCol w:w="163"/>
      </w:tblGrid>
      <w:tr>
        <w:trPr/>
        <w:tc>
          <w:tcPr>
            <w:tcW w:w="22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0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Equity-based compensation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current liabilities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15,514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9,019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(10,729)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(6,566)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SVB term loan facility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received from SVB term loan facility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Runway term loan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(58,158)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Runway term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Final payment and prepayment penalty on Runway term loan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(12,299)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(22,387)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 cash, cash equivalents and restricted cash</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(7,514)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(19,934)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147,340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153,136</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147,340 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153,136 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new operating lease liabilities</w:t>
            </w:r>
          </w:p>
        </w:tc>
        <w:tc>
          <w:tcPr>
            <w:tcW w:w="20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associated with redemption of LLC Units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 Obligation associated with redemption of LLC Units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 and accrued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APIC related to redemption of LLC Units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 included in accounts payable and accrued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 capitalized to principal of long-term debt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i/>
          <w:color w:val="000000"/>
          <w:sz w:val="16"/>
        </w:rPr>
        <w:t xml:space="preserve">The accompanying notes are an integral part of these unaudited </w:t>
      </w:r>
      <w:r>
        <w:rPr>
          <w:rFonts w:ascii="Times New Roman;sans-serif" w:hAnsi="Times New Roman;sans-serif"/>
          <w:b w:val="false"/>
          <w:i/>
          <w:color w:val="000000"/>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Brilliant Earth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THE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4"/>
        </w:rPr>
        <w:t xml:space="preserve">1. </w:t>
      </w:r>
      <w:r>
        <w:rPr>
          <w:rFonts w:ascii="Times New Roman;sans-serif" w:hAnsi="Times New Roman;sans-serif"/>
          <w:b/>
          <w:color w:val="000000"/>
          <w:sz w:val="22"/>
        </w:rPr>
        <w:t>DESCRIPTION OF BUSINESS AND SUMMARY OF SIGNIFICANT ACCOUNTING POLICIES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lineRule="auto" w:line="288" w:before="0" w:after="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designs, procures and sells ethically-sourced diamonds, gemstones and jewelry online and through showrooms operating within the United States ("U.S."). Co-headquarters are located in San Francisco, California and Denver, Colorado.</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unaudited condensed consolidated financial statements have been prepared in accordance with U.S. GAAP and the 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2023, or for any other interim period or for any other future year.</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condensed consolidated balance sheet as of December 31, 2022 has been derived from the audited consolidated financial statements of the Company, which are included in the Company's Annual Report on Form 10-K for the year ended December 31, 2022 (the "2022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These unaudited condensed consolidated financial statements should be read in conjunction with the audited consolidated financial statements and the related notes thereto as of and for the year ended December 31, 2022, as disclosed in the 2022 </w:t>
      </w:r>
      <w:r>
        <w:rPr>
          <w:rFonts w:ascii="Times New Roman;sans-serif" w:hAnsi="Times New Roman;sans-serif"/>
          <w:b w:val="false"/>
          <w:color w:val="000000"/>
          <w:sz w:val="22"/>
          <w:shd w:fill="FFFFFF" w:val="clear"/>
        </w:rPr>
        <w:t>Form 10-K</w:t>
      </w:r>
      <w:r>
        <w:rPr>
          <w:rFonts w:ascii="Times New Roman;sans-serif" w:hAnsi="Times New Roman;sans-serif"/>
          <w:b w:val="false"/>
          <w:color w:val="000000"/>
          <w:sz w:val="22"/>
        </w:rPr>
        <w:t>.</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or updates to the Company's significant accounting policies from those described in the audited consolidated financial statements included in the 2022 Form 10-K except for the updates noted below.</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Principles of Consolidation and Non-Controlling Interest</w:t>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The unaudited condensed consolidated financial statements include the accounts of the Company and its subsidiary, Brilliant Earth, LLC, which it controls due to ownership of the voting interest</w:t>
      </w:r>
      <w:r>
        <w:rPr>
          <w:color w:val="000000"/>
          <w:shd w:fill="FFFFFF" w:val="clear"/>
        </w:rPr>
        <w:t xml:space="preserve"> </w:t>
      </w:r>
      <w:r>
        <w:rPr>
          <w:rFonts w:ascii="Times New Roman;sans-serif" w:hAnsi="Times New Roman;sans-serif"/>
          <w:b w:val="false"/>
          <w:color w:val="000000"/>
          <w:sz w:val="22"/>
          <w:shd w:fill="FFFFFF" w:val="clear"/>
        </w:rPr>
        <w:t>or pursuant to variable interest entity ("VIE") accounting guidance. Al</w:t>
      </w:r>
      <w:r>
        <w:rPr>
          <w:rFonts w:ascii="Times New Roman;sans-serif" w:hAnsi="Times New Roman;sans-serif"/>
          <w:b w:val="false"/>
          <w:color w:val="000000"/>
          <w:sz w:val="22"/>
        </w:rPr>
        <w:t xml:space="preserve">l intercompany balances and transactions have been eliminated in consolidation. </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non-controlling interest on the unaudited condensed consolidated statements of operations represents the portion of earnings or loss attributable to the economic interest in Brilliant Earth, LLC 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2"/>
          <w:shd w:fill="FFFFFF" w:val="clear"/>
        </w:rPr>
        <w:t>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w:t>
      </w:r>
      <w:r>
        <w:rPr>
          <w:rFonts w:ascii="Times New Roman;sans-serif" w:hAnsi="Times New Roman;sans-serif"/>
          <w:b w:val="false"/>
          <w:color w:val="000000"/>
          <w:sz w:val="22"/>
        </w:rPr>
        <w:t>As of September 30, 2023, the non-controlling interest was </w:t>
      </w:r>
      <w:r>
        <w:rPr>
          <w:rFonts w:ascii="Times New Roman;sans-serif" w:hAnsi="Times New Roman;sans-serif"/>
          <w:b w:val="false"/>
          <w:color w:val="000000"/>
          <w:sz w:val="22"/>
          <w:shd w:fill="FFFFFF" w:val="clear"/>
        </w:rPr>
        <w:t>87.4%</w:t>
      </w:r>
      <w:r>
        <w:rPr>
          <w:rFonts w:ascii="Times New Roman;sans-serif" w:hAnsi="Times New Roman;sans-serif"/>
          <w:b w:val="false"/>
          <w:color w:val="000000"/>
          <w:sz w:val="22"/>
        </w:rPr>
        <w:t>. At the end of each reporting period, equity related to Brilliant Earth, LLC that is attributable to Brilliant Earth Group, Inc. and Continuing Equity Owners is rebalanced to reflect Brilliant Earth Group, Inc.'s and Continuing Equity Owners' ownership in Brilliant Earth, LLC.</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Use of Estimates</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useful lives and depreciation of long-lived assets, and fair value of equity-based compensation.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Fair Value Measurements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1        Valuation based on quoted prices (unadjusted) observed in active markets for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identical assets or liabilities.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2        Valuation techniques based on inputs that are quoted prices of similar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instruments in active markets; quoted prices for identical or similar instruments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markets that are not in active markets; inputs other than quoted prices used in a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valuation model that are observable for that instrument; and inputs that are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derived from, or corroborated by, observable market data by correlation or other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means.</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Level 3        Valuation techniques with significant unobservable market inputs.</w:t>
      </w:r>
    </w:p>
    <w:p>
      <w:pPr>
        <w:pStyle w:val="TextBody"/>
        <w:bidi w:val="0"/>
        <w:spacing w:before="0" w:after="0"/>
        <w:ind w:left="0" w:right="0" w:hanging="108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required to disclose its estimate of the fair value of material financial instruments, including those recorded as assets or liabilities in its financial statements, in accordance with U.S. GAAP.</w:t>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At September 30, 2023 and December 31, 2022, there were</w:t>
      </w:r>
      <w:r>
        <w:rPr>
          <w:color w:val="000000"/>
          <w:shd w:fill="FFFFFF" w:val="clear"/>
        </w:rPr>
        <w:t xml:space="preserve"> </w:t>
      </w:r>
      <w:r>
        <w:rPr>
          <w:rFonts w:ascii="Times New Roman;sans-serif" w:hAnsi="Times New Roman;sans-serif"/>
          <w:b w:val="false"/>
          <w:color w:val="000000"/>
          <w:sz w:val="22"/>
          <w:shd w:fill="FFFFFF" w:val="clear"/>
        </w:rPr>
        <w:t xml:space="preserve">no </w:t>
      </w:r>
      <w:r>
        <w:rPr>
          <w:rFonts w:ascii="Times New Roman;sans-serif" w:hAnsi="Times New Roman;sans-serif"/>
          <w:b w:val="false"/>
          <w:color w:val="000000"/>
          <w:sz w:val="22"/>
        </w:rPr>
        <w:t>financial instruments (assets or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amounts of cash and cash equivalents, restricted cash, accounts payable and accrued expenses and other current liabilities approximate fair value due to their short-term maturities and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 </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rPr>
      </w:pPr>
      <w:r>
        <w:rPr>
          <w:rFonts w:ascii="Times New Roman;sans-serif" w:hAnsi="Times New Roman;sans-serif"/>
          <w:b/>
          <w:i/>
          <w:color w:val="000000"/>
          <w:sz w:val="22"/>
        </w:rPr>
        <w:t>Marketing Expenses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Marketing, advertising and promotional costs are generally expensed as incurred, except for certain production costs that are expensed the first time the advertising takes place. </w:t>
      </w:r>
    </w:p>
    <w:p>
      <w:pPr>
        <w:pStyle w:val="TextBody"/>
        <w:bidi w:val="0"/>
        <w:spacing w:before="0" w:after="2"/>
        <w:jc w:val="both"/>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lineRule="auto" w:line="288" w:before="0" w:after="0"/>
        <w:ind w:left="0" w:right="0" w:firstLine="720"/>
        <w:jc w:val="both"/>
        <w:rPr>
          <w:rFonts w:ascii="Times New Roman;sans-serif" w:hAnsi="Times New Roman;sans-serif"/>
          <w:b w:val="false"/>
          <w:color w:val="201F1E"/>
          <w:sz w:val="22"/>
        </w:rPr>
      </w:pPr>
      <w:r>
        <w:rPr>
          <w:rFonts w:ascii="Times New Roman;sans-serif" w:hAnsi="Times New Roman;sans-serif"/>
          <w:b w:val="false"/>
          <w:color w:val="201F1E"/>
          <w:sz w:val="22"/>
        </w:rPr>
        <w:t>The Company has considered all recent accounting pronouncements issued, but not yet effective, and does not expect any to have a material effect on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4"/>
        </w:rPr>
      </w:pPr>
      <w:r>
        <w:rPr>
          <w:rFonts w:ascii="Times New Roman;sans-serif" w:hAnsi="Times New Roman;sans-serif"/>
          <w:b/>
          <w:color w:val="000000"/>
          <w:sz w:val="24"/>
        </w:rPr>
        <w:t>2. EARNINGS PER SHARE</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pPr>
      <w:r>
        <w:rPr>
          <w:rFonts w:ascii="Times New Roman;sans-serif" w:hAnsi="Times New Roman;sans-serif"/>
          <w:b w:val="false"/>
          <w:color w:val="000000"/>
          <w:sz w:val="22"/>
          <w:shd w:fill="FFFFFF" w:val="clear"/>
        </w:rPr>
        <w:t xml:space="preserve">Basic and diluted earnings per share of common stock for the three and </w:t>
      </w:r>
      <w:r>
        <w:rPr>
          <w:rFonts w:ascii="Times New Roman;sans-serif" w:hAnsi="Times New Roman;sans-serif"/>
          <w:b w:val="false"/>
          <w:color w:val="000000"/>
          <w:sz w:val="22"/>
        </w:rPr>
        <w:t>nine months ended</w:t>
      </w:r>
      <w:r>
        <w:rPr>
          <w:color w:val="000000"/>
          <w:shd w:fill="FFFFFF" w:val="clear"/>
        </w:rPr>
        <w:t xml:space="preserve"> </w:t>
      </w:r>
      <w:r>
        <w:rPr>
          <w:rFonts w:ascii="Times New Roman;sans-serif" w:hAnsi="Times New Roman;sans-serif"/>
          <w:b w:val="false"/>
          <w:color w:val="000000"/>
          <w:sz w:val="22"/>
          <w:shd w:fill="FFFFFF" w:val="clear"/>
        </w:rPr>
        <w:t>September 30, 2023 and 2022 have been computed as follows (in thousands, except share and per share amounts):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1570"/>
        <w:gridCol w:w="1284"/>
        <w:gridCol w:w="1291"/>
        <w:gridCol w:w="299"/>
        <w:gridCol w:w="817"/>
        <w:gridCol w:w="126"/>
        <w:gridCol w:w="126"/>
        <w:gridCol w:w="126"/>
        <w:gridCol w:w="126"/>
        <w:gridCol w:w="299"/>
        <w:gridCol w:w="817"/>
        <w:gridCol w:w="126"/>
        <w:gridCol w:w="109"/>
        <w:gridCol w:w="109"/>
        <w:gridCol w:w="109"/>
        <w:gridCol w:w="286"/>
        <w:gridCol w:w="811"/>
        <w:gridCol w:w="123"/>
        <w:gridCol w:w="123"/>
        <w:gridCol w:w="123"/>
        <w:gridCol w:w="123"/>
        <w:gridCol w:w="286"/>
        <w:gridCol w:w="811"/>
        <w:gridCol w:w="185"/>
      </w:tblGrid>
      <w:tr>
        <w:trPr/>
        <w:tc>
          <w:tcPr>
            <w:tcW w:w="15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BASIC</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impact from assumed redemption of all LLC Units to common stock</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expense on net income attributable to NCI</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after adjustment for assumed conversion, DILUTED</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BASIC</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12,149,770 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10,884,306 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11,780,905 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10,571,777 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effects of:</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 that are exchangeable for common stock</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84,727,903 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84,478,855 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84,661,708 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84,579,316 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 that are exchangeable for common stock</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1,154,306 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183,490 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DILUTED</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97,194,920 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96,574,462 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96,918,465 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96,488,889 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29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9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and nine months ended September 30, 2023 and 2022, the dilutive impact of LLC Units convertible into common stock were included in the computation of diluted earnings per share under the if-converted method; the dilutive impact of unvested LLC Units and RSUs were included using the treasury stock method.</w:t>
      </w:r>
    </w:p>
    <w:p>
      <w:pPr>
        <w:pStyle w:val="TextBody"/>
        <w:bidi w:val="0"/>
        <w:spacing w:before="0" w:after="2"/>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the shares underlying RSUs and stock options for the three and nine months ended September 30, 2023 and 2022 that have been excluded from the computation of earnings per share because such impact is anti-dilutive: </w:t>
      </w:r>
    </w:p>
    <w:p>
      <w:pPr>
        <w:pStyle w:val="TextBody"/>
        <w:bidi w:val="0"/>
        <w:spacing w:before="0" w:after="2"/>
        <w:jc w:val="both"/>
        <w:rPr/>
      </w:pPr>
      <w:r>
        <w:rPr/>
      </w:r>
    </w:p>
    <w:tbl>
      <w:tblPr>
        <w:tblW w:w="7559" w:type="dxa"/>
        <w:jc w:val="left"/>
        <w:tblInd w:w="0" w:type="dxa"/>
        <w:tblLayout w:type="fixed"/>
        <w:tblCellMar>
          <w:top w:w="28" w:type="dxa"/>
          <w:left w:w="28" w:type="dxa"/>
          <w:bottom w:w="28" w:type="dxa"/>
          <w:right w:w="28" w:type="dxa"/>
        </w:tblCellMar>
      </w:tblPr>
      <w:tblGrid>
        <w:gridCol w:w="450"/>
        <w:gridCol w:w="394"/>
        <w:gridCol w:w="401"/>
        <w:gridCol w:w="488"/>
        <w:gridCol w:w="488"/>
        <w:gridCol w:w="206"/>
        <w:gridCol w:w="206"/>
        <w:gridCol w:w="206"/>
        <w:gridCol w:w="206"/>
        <w:gridCol w:w="492"/>
        <w:gridCol w:w="484"/>
        <w:gridCol w:w="220"/>
        <w:gridCol w:w="109"/>
        <w:gridCol w:w="109"/>
        <w:gridCol w:w="109"/>
        <w:gridCol w:w="488"/>
        <w:gridCol w:w="488"/>
        <w:gridCol w:w="190"/>
        <w:gridCol w:w="190"/>
        <w:gridCol w:w="190"/>
        <w:gridCol w:w="190"/>
        <w:gridCol w:w="500"/>
        <w:gridCol w:w="476"/>
        <w:gridCol w:w="279"/>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3,226,891 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2,250,505 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3,075,461 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2,039,301 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955,961 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806,339 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1,182,592 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3. REVENUE</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Disaggregation of Revenue</w:t>
      </w:r>
    </w:p>
    <w:p>
      <w:pPr>
        <w:pStyle w:val="TextBody"/>
        <w:bidi w:val="0"/>
        <w:spacing w:lineRule="auto" w:line="288" w:before="0" w:after="1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discloses total net sales by geography for the three and nine months ended September 30, 2023 and 2022 (in thousands):</w:t>
      </w:r>
    </w:p>
    <w:tbl>
      <w:tblPr>
        <w:tblW w:w="6944" w:type="dxa"/>
        <w:jc w:val="left"/>
        <w:tblInd w:w="0" w:type="dxa"/>
        <w:tblLayout w:type="fixed"/>
        <w:tblCellMar>
          <w:top w:w="28" w:type="dxa"/>
          <w:left w:w="28" w:type="dxa"/>
          <w:bottom w:w="28" w:type="dxa"/>
          <w:right w:w="28" w:type="dxa"/>
        </w:tblCellMar>
      </w:tblPr>
      <w:tblGrid>
        <w:gridCol w:w="484"/>
        <w:gridCol w:w="424"/>
        <w:gridCol w:w="4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color w:val="000000"/>
        </w:rPr>
      </w:pPr>
      <w:r>
        <w:rPr>
          <w:color w:val="000000"/>
        </w:rPr>
        <w:t>    </w:t>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Deferred Revenue</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As of September 30, 2023, December 31, 2022, and December 31, 2021, total deferred revenue that includes our contract balances was </w:t>
      </w:r>
      <w:r>
        <w:rPr>
          <w:rFonts w:ascii="Times New Roman;sans-serif" w:hAnsi="Times New Roman;sans-serif"/>
          <w:b w:val="false"/>
          <w:color w:val="000000"/>
          <w:sz w:val="22"/>
          <w:shd w:fill="FFFFFF" w:val="clear"/>
        </w:rPr>
        <w:t xml:space="preserve">$23.1 million, </w:t>
      </w:r>
      <w:r>
        <w:rPr>
          <w:rFonts w:ascii="Times New Roman;sans-serif" w:hAnsi="Times New Roman;sans-serif"/>
          <w:b w:val="false"/>
          <w:color w:val="000000"/>
          <w:sz w:val="22"/>
        </w:rPr>
        <w:t xml:space="preserve">$18.6 million, and $19.0 million, respectively, of which less than </w:t>
      </w:r>
      <w:r>
        <w:rPr>
          <w:rFonts w:ascii="Times New Roman;sans-serif" w:hAnsi="Times New Roman;sans-serif"/>
          <w:b w:val="false"/>
          <w:color w:val="000000"/>
          <w:sz w:val="22"/>
          <w:shd w:fill="FFFFFF" w:val="clear"/>
        </w:rPr>
        <w:t>$0.1 million,</w:t>
      </w:r>
      <w:r>
        <w:rPr>
          <w:color w:val="000000"/>
        </w:rPr>
        <w:t xml:space="preserve"> </w:t>
      </w:r>
      <w:r>
        <w:rPr>
          <w:rFonts w:ascii="Times New Roman;sans-serif" w:hAnsi="Times New Roman;sans-serif"/>
          <w:b w:val="false"/>
          <w:color w:val="000000"/>
          <w:sz w:val="22"/>
        </w:rPr>
        <w:t xml:space="preserve">less than $0.1 million, and $0.2 million, respectively, were included within other long-term liabilities. </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During the three months ended September 30, 2023 and 2022, the Company recognized </w:t>
      </w:r>
      <w:r>
        <w:rPr>
          <w:rFonts w:ascii="Times New Roman;sans-serif" w:hAnsi="Times New Roman;sans-serif"/>
          <w:b w:val="false"/>
          <w:color w:val="000000"/>
          <w:sz w:val="22"/>
          <w:shd w:fill="FFFFFF" w:val="clear"/>
        </w:rPr>
        <w:t>$20.2 million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shd w:fill="FFFFFF" w:val="clear"/>
        </w:rPr>
        <w:t>$21.4 million</w:t>
      </w:r>
      <w:r>
        <w:rPr>
          <w:rFonts w:ascii="Times New Roman;sans-serif" w:hAnsi="Times New Roman;sans-serif"/>
          <w:b w:val="false"/>
          <w:color w:val="000000"/>
          <w:sz w:val="22"/>
        </w:rPr>
        <w:t xml:space="preserve">, respectively, that was deferred as of June 30, 2023 and June 30, 2022, respectively. </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During the nine months ended September 30, 2023 and 2022, the Company recognized </w:t>
      </w:r>
      <w:r>
        <w:rPr>
          <w:rFonts w:ascii="Times New Roman;sans-serif" w:hAnsi="Times New Roman;sans-serif"/>
          <w:b w:val="false"/>
          <w:color w:val="000000"/>
          <w:sz w:val="22"/>
          <w:shd w:fill="FFFFFF" w:val="clear"/>
        </w:rPr>
        <w:t>$18.0 million</w:t>
      </w:r>
      <w:r>
        <w:rPr>
          <w:color w:val="000000"/>
        </w:rPr>
        <w:t xml:space="preserve"> </w:t>
      </w:r>
      <w:r>
        <w:rPr>
          <w:rFonts w:ascii="Times New Roman;sans-serif" w:hAnsi="Times New Roman;sans-serif"/>
          <w:b w:val="false"/>
          <w:color w:val="000000"/>
          <w:sz w:val="22"/>
        </w:rPr>
        <w:t>and $18.2 million of revenue, respectively, that was deferred as of December 31, 2022 and December 31, 2021, respectively.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Sales Returns and Allowances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returns asset account and a refund liabilities account are maintained to record the effects of estimated product returns and sales returns allowance. Returns asset and refund liabilities are updated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end of each financial reporting period and the effect of such changes are accounted for in the period in which such changes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As of September 30, 2023 and December 31, 2022, refund liabilities balances were </w:t>
      </w:r>
      <w:r>
        <w:rPr>
          <w:rFonts w:ascii="Times New Roman;sans-serif" w:hAnsi="Times New Roman;sans-serif"/>
          <w:b w:val="false"/>
          <w:color w:val="000000"/>
          <w:sz w:val="22"/>
          <w:shd w:fill="FFFFFF" w:val="clear"/>
        </w:rPr>
        <w:t>$1.5 million</w:t>
      </w:r>
      <w:r>
        <w:rPr>
          <w:color w:val="000000"/>
        </w:rPr>
        <w:t xml:space="preserve"> </w:t>
      </w:r>
      <w:r>
        <w:rPr>
          <w:rFonts w:ascii="Times New Roman;sans-serif" w:hAnsi="Times New Roman;sans-serif"/>
          <w:b w:val="false"/>
          <w:color w:val="000000"/>
          <w:sz w:val="22"/>
        </w:rPr>
        <w:t xml:space="preserve">and $2.3 million, respectively, and are included as a provision for sales returns and allowances within accrued expenses and other current liabilities in the unaudited condensed consolidated balance sheets. As of September 30, 2023 and December 31, 2022, returns asset balances were </w:t>
      </w:r>
      <w:r>
        <w:rPr>
          <w:rFonts w:ascii="Times New Roman;sans-serif" w:hAnsi="Times New Roman;sans-serif"/>
          <w:b w:val="false"/>
          <w:color w:val="000000"/>
          <w:sz w:val="22"/>
          <w:shd w:fill="FFFFFF" w:val="clear"/>
        </w:rPr>
        <w:t>$0.6 million</w:t>
      </w:r>
      <w:r>
        <w:rPr>
          <w:color w:val="000000"/>
        </w:rPr>
        <w:t xml:space="preserve"> </w:t>
      </w:r>
      <w:r>
        <w:rPr>
          <w:rFonts w:ascii="Times New Roman;sans-serif" w:hAnsi="Times New Roman;sans-serif"/>
          <w:b w:val="false"/>
          <w:color w:val="000000"/>
          <w:sz w:val="22"/>
        </w:rPr>
        <w:t xml:space="preserve">and $0.9 million, respectively, and are included within prepaid expenses and other current assets in the unaudited condensed consolidated balance sheets.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4. INVENTORIES,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Inventories, net consist of the following (in thousands):</w:t>
      </w:r>
    </w:p>
    <w:tbl>
      <w:tblPr>
        <w:tblW w:w="6160" w:type="dxa"/>
        <w:jc w:val="center"/>
        <w:tblInd w:w="0" w:type="dxa"/>
        <w:tblLayout w:type="fixed"/>
        <w:tblCellMar>
          <w:top w:w="28" w:type="dxa"/>
          <w:left w:w="28" w:type="dxa"/>
          <w:bottom w:w="28" w:type="dxa"/>
          <w:right w:w="28" w:type="dxa"/>
        </w:tblCellMar>
      </w:tblPr>
      <w:tblGrid>
        <w:gridCol w:w="1168"/>
        <w:gridCol w:w="1025"/>
        <w:gridCol w:w="1031"/>
        <w:gridCol w:w="260"/>
        <w:gridCol w:w="910"/>
        <w:gridCol w:w="134"/>
        <w:gridCol w:w="109"/>
        <w:gridCol w:w="109"/>
        <w:gridCol w:w="109"/>
        <w:gridCol w:w="250"/>
        <w:gridCol w:w="873"/>
        <w:gridCol w:w="182"/>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Loose diamonds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jewelry and other</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inventory obsolescence</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37,256</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39,331</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allowance for inventory obsolescence consists of the following (in thousands):</w:t>
      </w:r>
    </w:p>
    <w:p>
      <w:pPr>
        <w:pStyle w:val="TextBody"/>
        <w:bidi w:val="0"/>
        <w:spacing w:before="0" w:after="2"/>
        <w:jc w:val="left"/>
        <w:rPr/>
      </w:pPr>
      <w:r>
        <w:rPr/>
      </w:r>
    </w:p>
    <w:tbl>
      <w:tblPr>
        <w:tblW w:w="7045" w:type="dxa"/>
        <w:jc w:val="center"/>
        <w:tblInd w:w="0" w:type="dxa"/>
        <w:tblLayout w:type="fixed"/>
        <w:tblCellMar>
          <w:top w:w="28" w:type="dxa"/>
          <w:left w:w="28" w:type="dxa"/>
          <w:bottom w:w="28" w:type="dxa"/>
          <w:right w:w="28" w:type="dxa"/>
        </w:tblCellMar>
      </w:tblPr>
      <w:tblGrid>
        <w:gridCol w:w="1472"/>
        <w:gridCol w:w="1294"/>
        <w:gridCol w:w="1298"/>
        <w:gridCol w:w="344"/>
        <w:gridCol w:w="784"/>
        <w:gridCol w:w="177"/>
        <w:gridCol w:w="109"/>
        <w:gridCol w:w="109"/>
        <w:gridCol w:w="109"/>
        <w:gridCol w:w="336"/>
        <w:gridCol w:w="767"/>
        <w:gridCol w:w="246"/>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inventory obsolescence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(356)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(279)</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As of September 30, 2023 and December 31, 2022, the Company had </w:t>
      </w:r>
      <w:r>
        <w:rPr>
          <w:rFonts w:ascii="Times New Roman;sans-serif" w:hAnsi="Times New Roman;sans-serif"/>
          <w:b w:val="false"/>
          <w:color w:val="000000"/>
          <w:sz w:val="22"/>
          <w:shd w:fill="FFFFFF" w:val="clear"/>
        </w:rPr>
        <w:t>$27.7 million</w:t>
      </w:r>
      <w:r>
        <w:rPr>
          <w:color w:val="000000"/>
        </w:rPr>
        <w:t xml:space="preserve"> </w:t>
      </w:r>
      <w:r>
        <w:rPr>
          <w:rFonts w:ascii="Times New Roman;sans-serif" w:hAnsi="Times New Roman;sans-serif"/>
          <w:b w:val="false"/>
          <w:color w:val="000000"/>
          <w:sz w:val="22"/>
        </w:rPr>
        <w:t>and $27.6 million, respectively, in consigned inventory held on behalf of suppliers which is not recorded in the unaudited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5. ACCRUED EXPENSES AND OTHER CURRENT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Accrued expenses and other current liabilities consist of the following (in thousands):</w:t>
      </w:r>
    </w:p>
    <w:p>
      <w:pPr>
        <w:pStyle w:val="TextBody"/>
        <w:bidi w:val="0"/>
        <w:spacing w:before="0" w:after="0"/>
        <w:jc w:val="left"/>
        <w:rPr/>
      </w:pPr>
      <w:r>
        <w:rPr/>
      </w:r>
    </w:p>
    <w:tbl>
      <w:tblPr>
        <w:tblW w:w="7391" w:type="dxa"/>
        <w:jc w:val="center"/>
        <w:tblInd w:w="0" w:type="dxa"/>
        <w:tblLayout w:type="fixed"/>
        <w:tblCellMar>
          <w:top w:w="28" w:type="dxa"/>
          <w:left w:w="28" w:type="dxa"/>
          <w:bottom w:w="28" w:type="dxa"/>
          <w:right w:w="28" w:type="dxa"/>
        </w:tblCellMar>
      </w:tblPr>
      <w:tblGrid>
        <w:gridCol w:w="1614"/>
        <w:gridCol w:w="1415"/>
        <w:gridCol w:w="1426"/>
        <w:gridCol w:w="260"/>
        <w:gridCol w:w="910"/>
        <w:gridCol w:w="134"/>
        <w:gridCol w:w="109"/>
        <w:gridCol w:w="109"/>
        <w:gridCol w:w="109"/>
        <w:gridCol w:w="250"/>
        <w:gridCol w:w="873"/>
        <w:gridCol w:w="182"/>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expenses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received not billed</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expenses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other tax payable </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returns and allowances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TRA</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35,073</w:t>
            </w:r>
            <w:r>
              <w:rPr>
                <w:color w:val="000000"/>
              </w:rPr>
              <w:t>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37,833</w:t>
            </w:r>
            <w:r>
              <w:rPr>
                <w:color w:val="000000"/>
              </w:rPr>
              <w:t> </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Included in accrued expenses and other current liabilities is a provision for sales returns and allowances. Returns are estimated based on past experience and current expectations and are recorded as an adjustment to revenue. </w:t>
      </w:r>
      <w:r>
        <w:rPr>
          <w:rFonts w:ascii="Times New Roman;sans-serif" w:hAnsi="Times New Roman;sans-serif"/>
          <w:b w:val="false"/>
          <w:color w:val="000000"/>
          <w:sz w:val="22"/>
          <w:shd w:fill="FFFFFF" w:val="clear"/>
        </w:rPr>
        <w:t>Activity for the nine months ended September 30, 2023 and 2022 was as follows (in thousands):</w:t>
      </w:r>
    </w:p>
    <w:p>
      <w:pPr>
        <w:pStyle w:val="TextBody"/>
        <w:bidi w:val="0"/>
        <w:spacing w:before="0" w:after="0"/>
        <w:jc w:val="left"/>
        <w:rPr/>
      </w:pPr>
      <w:r>
        <w:rPr/>
      </w:r>
    </w:p>
    <w:tbl>
      <w:tblPr>
        <w:tblW w:w="5619" w:type="dxa"/>
        <w:jc w:val="center"/>
        <w:tblInd w:w="0" w:type="dxa"/>
        <w:tblLayout w:type="fixed"/>
        <w:tblCellMar>
          <w:top w:w="28" w:type="dxa"/>
          <w:left w:w="28" w:type="dxa"/>
          <w:bottom w:w="28" w:type="dxa"/>
          <w:right w:w="28" w:type="dxa"/>
        </w:tblCellMar>
      </w:tblPr>
      <w:tblGrid>
        <w:gridCol w:w="956"/>
        <w:gridCol w:w="840"/>
        <w:gridCol w:w="843"/>
        <w:gridCol w:w="289"/>
        <w:gridCol w:w="865"/>
        <w:gridCol w:w="150"/>
        <w:gridCol w:w="109"/>
        <w:gridCol w:w="109"/>
        <w:gridCol w:w="109"/>
        <w:gridCol w:w="285"/>
        <w:gridCol w:w="854"/>
        <w:gridCol w:w="210"/>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end of period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1,541</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1,609</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6. LEASES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 </w:t>
      </w:r>
    </w:p>
    <w:p>
      <w:pPr>
        <w:pStyle w:val="TextBody"/>
        <w:bidi w:val="0"/>
        <w:spacing w:before="0" w:after="2"/>
        <w:ind w:left="0" w:right="0" w:firstLine="720"/>
        <w:jc w:val="left"/>
        <w:rPr/>
      </w:pPr>
      <w:r>
        <w:rPr/>
      </w:r>
    </w:p>
    <w:p>
      <w:pPr>
        <w:pStyle w:val="TextBody"/>
        <w:bidi w:val="0"/>
        <w:spacing w:before="0" w:after="2"/>
        <w:ind w:left="0" w:right="0" w:firstLine="72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pPr>
      <w:r>
        <w:rPr>
          <w:rFonts w:ascii="Times New Roman;sans-serif" w:hAnsi="Times New Roman;sans-serif"/>
          <w:b w:val="false"/>
          <w:color w:val="000000"/>
          <w:sz w:val="22"/>
          <w:shd w:fill="FFFFFF" w:val="clear"/>
        </w:rPr>
        <w:t>Total operating lease ROU assets and lease liabilities were as follows (</w:t>
      </w:r>
      <w:r>
        <w:rPr>
          <w:rFonts w:ascii="Times New Roman;sans-serif" w:hAnsi="Times New Roman;sans-serif"/>
          <w:b w:val="false"/>
          <w:color w:val="000000"/>
          <w:sz w:val="22"/>
        </w:rPr>
        <w:t>in thousands):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785"/>
        <w:gridCol w:w="675"/>
        <w:gridCol w:w="683"/>
        <w:gridCol w:w="109"/>
        <w:gridCol w:w="109"/>
        <w:gridCol w:w="109"/>
        <w:gridCol w:w="1010"/>
        <w:gridCol w:w="1010"/>
        <w:gridCol w:w="1013"/>
        <w:gridCol w:w="109"/>
        <w:gridCol w:w="109"/>
        <w:gridCol w:w="109"/>
        <w:gridCol w:w="403"/>
        <w:gridCol w:w="1368"/>
        <w:gridCol w:w="227"/>
        <w:gridCol w:w="109"/>
        <w:gridCol w:w="109"/>
        <w:gridCol w:w="109"/>
        <w:gridCol w:w="395"/>
        <w:gridCol w:w="1336"/>
        <w:gridCol w:w="319"/>
      </w:tblGrid>
      <w:tr>
        <w:trPr/>
        <w:tc>
          <w:tcPr>
            <w:tcW w:w="78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As of September 30, 2022</w:t>
            </w:r>
          </w:p>
        </w:tc>
      </w:tr>
      <w:tr>
        <w:trPr/>
        <w:tc>
          <w:tcPr>
            <w:tcW w:w="2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ROU assets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35,459</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22,864</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2022</w:t>
            </w:r>
          </w:p>
        </w:tc>
      </w:tr>
      <w:tr>
        <w:trPr/>
        <w:tc>
          <w:tcPr>
            <w:tcW w:w="2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37,066 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41,932</w:t>
            </w:r>
            <w:r>
              <w:rPr>
                <w:color w:val="000000"/>
              </w:rPr>
              <w: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26,487</w:t>
            </w:r>
            <w:r>
              <w:rPr>
                <w:color w:val="000000"/>
              </w:rPr>
              <w:t>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ind w:left="0" w:right="0" w:firstLine="720"/>
        <w:jc w:val="left"/>
        <w:rPr/>
      </w:pPr>
      <w:r>
        <w:rPr/>
      </w:r>
    </w:p>
    <w:p>
      <w:pPr>
        <w:pStyle w:val="TextBody"/>
        <w:bidi w:val="0"/>
        <w:spacing w:before="0" w:after="2"/>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operating lease costs were as follows (in thousands):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434"/>
        <w:gridCol w:w="382"/>
        <w:gridCol w:w="383"/>
        <w:gridCol w:w="695"/>
        <w:gridCol w:w="695"/>
        <w:gridCol w:w="697"/>
        <w:gridCol w:w="109"/>
        <w:gridCol w:w="109"/>
        <w:gridCol w:w="109"/>
        <w:gridCol w:w="310"/>
        <w:gridCol w:w="905"/>
        <w:gridCol w:w="174"/>
        <w:gridCol w:w="109"/>
        <w:gridCol w:w="109"/>
        <w:gridCol w:w="109"/>
        <w:gridCol w:w="310"/>
        <w:gridCol w:w="905"/>
        <w:gridCol w:w="174"/>
        <w:gridCol w:w="109"/>
        <w:gridCol w:w="109"/>
        <w:gridCol w:w="109"/>
        <w:gridCol w:w="310"/>
        <w:gridCol w:w="905"/>
        <w:gridCol w:w="174"/>
        <w:gridCol w:w="109"/>
        <w:gridCol w:w="109"/>
        <w:gridCol w:w="109"/>
        <w:gridCol w:w="305"/>
        <w:gridCol w:w="889"/>
        <w:gridCol w:w="250"/>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Three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Three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Nine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Nine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costs</w:t>
            </w:r>
          </w:p>
        </w:tc>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2,132</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1,089</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6,077</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3,067</w:t>
            </w: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maturity analysis of the operating lease liabilities as of September 30, 2023 was as follows (in thousands):</w:t>
      </w:r>
    </w:p>
    <w:tbl>
      <w:tblPr>
        <w:tblW w:w="5151" w:type="dxa"/>
        <w:jc w:val="center"/>
        <w:tblInd w:w="0" w:type="dxa"/>
        <w:tblLayout w:type="fixed"/>
        <w:tblCellMar>
          <w:top w:w="28" w:type="dxa"/>
          <w:left w:w="28" w:type="dxa"/>
          <w:bottom w:w="28" w:type="dxa"/>
          <w:right w:w="28" w:type="dxa"/>
        </w:tblCellMar>
      </w:tblPr>
      <w:tblGrid>
        <w:gridCol w:w="1498"/>
        <w:gridCol w:w="1319"/>
        <w:gridCol w:w="1323"/>
        <w:gridCol w:w="196"/>
        <w:gridCol w:w="661"/>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For the remainder of the year ending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minimum lease payments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present value of operating lease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41,932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37,066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summarizes the weighted-average remaining lease term and weighted-average discount rate on long-term leases as follows (in thousands): </w:t>
      </w:r>
    </w:p>
    <w:p>
      <w:pPr>
        <w:pStyle w:val="TextBody"/>
        <w:bidi w:val="0"/>
        <w:spacing w:before="0" w:after="0"/>
        <w:jc w:val="left"/>
        <w:rPr/>
      </w:pPr>
      <w:r>
        <w:rPr/>
      </w:r>
    </w:p>
    <w:tbl>
      <w:tblPr>
        <w:tblW w:w="9861" w:type="dxa"/>
        <w:jc w:val="left"/>
        <w:tblInd w:w="0" w:type="dxa"/>
        <w:tblLayout w:type="fixed"/>
        <w:tblCellMar>
          <w:top w:w="28" w:type="dxa"/>
          <w:left w:w="28" w:type="dxa"/>
          <w:bottom w:w="28" w:type="dxa"/>
          <w:right w:w="28" w:type="dxa"/>
        </w:tblCellMar>
      </w:tblPr>
      <w:tblGrid>
        <w:gridCol w:w="2158"/>
        <w:gridCol w:w="1894"/>
        <w:gridCol w:w="1902"/>
        <w:gridCol w:w="109"/>
        <w:gridCol w:w="109"/>
        <w:gridCol w:w="109"/>
        <w:gridCol w:w="286"/>
        <w:gridCol w:w="944"/>
        <w:gridCol w:w="374"/>
        <w:gridCol w:w="109"/>
        <w:gridCol w:w="109"/>
        <w:gridCol w:w="109"/>
        <w:gridCol w:w="307"/>
        <w:gridCol w:w="871"/>
        <w:gridCol w:w="471"/>
      </w:tblGrid>
      <w:tr>
        <w:trPr/>
        <w:tc>
          <w:tcPr>
            <w:tcW w:w="215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years</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 related to operating leases is as follows: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7. DEBT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net carrying amount of the Company's outstanding debt as of September 30, 2023 and December 31, 2022, net of debt issuance costs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9"/>
        <w:gridCol w:w="298"/>
        <w:gridCol w:w="300"/>
        <w:gridCol w:w="283"/>
        <w:gridCol w:w="969"/>
        <w:gridCol w:w="147"/>
        <w:gridCol w:w="109"/>
        <w:gridCol w:w="109"/>
        <w:gridCol w:w="109"/>
        <w:gridCol w:w="275"/>
        <w:gridCol w:w="671"/>
        <w:gridCol w:w="142"/>
        <w:gridCol w:w="109"/>
        <w:gridCol w:w="109"/>
        <w:gridCol w:w="109"/>
        <w:gridCol w:w="264"/>
        <w:gridCol w:w="903"/>
        <w:gridCol w:w="136"/>
        <w:gridCol w:w="109"/>
        <w:gridCol w:w="109"/>
        <w:gridCol w:w="109"/>
        <w:gridCol w:w="283"/>
        <w:gridCol w:w="969"/>
        <w:gridCol w:w="147"/>
        <w:gridCol w:w="109"/>
        <w:gridCol w:w="109"/>
        <w:gridCol w:w="109"/>
        <w:gridCol w:w="275"/>
        <w:gridCol w:w="671"/>
        <w:gridCol w:w="142"/>
        <w:gridCol w:w="109"/>
        <w:gridCol w:w="109"/>
        <w:gridCol w:w="109"/>
        <w:gridCol w:w="262"/>
        <w:gridCol w:w="895"/>
        <w:gridCol w:w="199"/>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Runway Term Loan Agreement - Runway Growth Credit Finance Corp.</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30, 2019, the Company entered into a Loan and Security Agreement with Runway Growth Finance Corp. (f/k/a Runway Growth Credit Fund Inc.) ("Runway") which, as subsequently amended, provided for up to $65.0 million of borrowings (as subsequently amended, the "Runway Term 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origination of the Runway Term Loan, a warrant for 333,333 Class P Units was issued. The fair value of the warrant was $0.1 million at the time of issuance which was accounted for as a debt origination cost (contra-liability).</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was required to make interest-only payments on the Runway Term Loan through April 15, 2022, at which time the Runway Term Loan began amortizing, with equal monthly payments of principal, which would have fully amortized the principal amount of the Runway Term Loan by October 15, 2023, plus interest being paid by the Company to Runway in consecutive monthly installments until October 15, 2023. The Runway Term Loan carried a prepayment fee of 3.00% declining to 0.00% based on the anniversary date of payment, and a final payment fee equal to 4.5% of the principal amount repaid upon prepayment, plus $0.2 million.</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May 24, 2022, concurrently with entry into the Silicon Valley Bank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1.00% prepayment fee, plus a final payment fee. The Runway Term Loan was scheduled to mature on October 15, 2023. As a result of the extinguishment of the Runway Term Loan, the Company recognized a loss on debt extinguishment of $0.6 million associated with the prepayment fee and the write-off of unamortized debt issuance costs.</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Credit Agreement - Silicon Valley Bank</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2022 (the "Closing Date"), Brilliant Earth, LLC, as borrower, and SVB, as administrative agent and collateral agent for the lenders, entered into a credit agreement (the "SVB Credit Agreement") which provides for a secured term loan credit facility of $65.0 million (the "SVB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Facility") and a secured revolving credit facility in an amount of up to $40.0 million (the "SVB Revolving Credit Facility," and together with the SVB Term Loan Facility, the "SVB Credit Facilities"). </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SVB Credit Facilities were used to refinance existing indebtedness, pay related fees and expenses, and will be used from and after the Closing Date for working capital and general corporate purposes. The Credit Facilities mature on May 24, 2027 (the "SVB Maturity Date"). </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Credit Agreement).</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September 30, 2023,</w:t>
      </w:r>
      <w:r>
        <w:rPr>
          <w:color w:val="000000"/>
          <w:shd w:fill="FFFFFF" w:val="clear"/>
        </w:rPr>
        <w:t xml:space="preserve"> </w:t>
      </w:r>
      <w:r>
        <w:rPr>
          <w:rFonts w:ascii="Times New Roman;sans-serif" w:hAnsi="Times New Roman;sans-serif"/>
          <w:b w:val="false"/>
          <w:color w:val="000000"/>
          <w:sz w:val="22"/>
          <w:shd w:fill="FFFFFF" w:val="clear"/>
        </w:rPr>
        <w:t xml:space="preserve">the Company was in compliance with such covenants. </w:t>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 xml:space="preserve">At September 30, 2023, deferred issuance costs included in other assets totaled </w:t>
      </w:r>
      <w:r>
        <w:rPr>
          <w:rFonts w:ascii="Times New Roman;sans-serif" w:hAnsi="Times New Roman;sans-serif"/>
          <w:b w:val="false"/>
          <w:color w:val="000000"/>
          <w:sz w:val="22"/>
          <w:shd w:fill="FFFFFF" w:val="clear"/>
        </w:rPr>
        <w:t>$0.3 million</w:t>
      </w:r>
      <w:r>
        <w:rPr>
          <w:rFonts w:ascii="Times New Roman;sans-serif" w:hAnsi="Times New Roman;sans-serif"/>
          <w:b w:val="false"/>
          <w:color w:val="000000"/>
          <w:sz w:val="22"/>
        </w:rPr>
        <w:t xml:space="preserve">, net of accumulated amortization of </w:t>
      </w:r>
      <w:r>
        <w:rPr>
          <w:rFonts w:ascii="Times New Roman;sans-serif" w:hAnsi="Times New Roman;sans-serif"/>
          <w:b w:val="false"/>
          <w:color w:val="000000"/>
          <w:sz w:val="22"/>
          <w:shd w:fill="FFFFFF" w:val="clear"/>
        </w:rPr>
        <w:t>$0.1 million</w:t>
      </w:r>
      <w:r>
        <w:rPr>
          <w:rFonts w:ascii="Times New Roman;sans-serif" w:hAnsi="Times New Roman;sans-serif"/>
          <w:b w:val="false"/>
          <w:color w:val="000000"/>
          <w:sz w:val="22"/>
        </w:rPr>
        <w:t xml:space="preserve">. At September 30, 2023, deferred issuance costs included in long-term debt totaled </w:t>
      </w:r>
      <w:r>
        <w:rPr>
          <w:rFonts w:ascii="Times New Roman;sans-serif" w:hAnsi="Times New Roman;sans-serif"/>
          <w:b w:val="false"/>
          <w:color w:val="000000"/>
          <w:sz w:val="22"/>
          <w:shd w:fill="FFFFFF" w:val="clear"/>
        </w:rPr>
        <w:t>$0.5 million</w:t>
      </w:r>
      <w:r>
        <w:rPr>
          <w:rFonts w:ascii="Times New Roman;sans-serif" w:hAnsi="Times New Roman;sans-serif"/>
          <w:b w:val="false"/>
          <w:color w:val="000000"/>
          <w:sz w:val="22"/>
        </w:rPr>
        <w:t xml:space="preserve">, net of accumulated amortization of </w:t>
      </w:r>
      <w:r>
        <w:rPr>
          <w:rFonts w:ascii="Times New Roman;sans-serif" w:hAnsi="Times New Roman;sans-serif"/>
          <w:b w:val="false"/>
          <w:color w:val="000000"/>
          <w:sz w:val="22"/>
          <w:shd w:fill="FFFFFF" w:val="clear"/>
        </w:rPr>
        <w:t>$0.2 million</w:t>
      </w:r>
      <w:r>
        <w:rPr>
          <w:rFonts w:ascii="Times New Roman;sans-serif" w:hAnsi="Times New Roman;sans-serif"/>
          <w:b w:val="false"/>
          <w:color w:val="000000"/>
          <w:sz w:val="22"/>
        </w:rPr>
        <w:t>. These costs are being amortized to interest expense over the term of the loan.</w:t>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 xml:space="preserve">The Company's debt effective interest rate was </w:t>
      </w:r>
      <w:r>
        <w:rPr>
          <w:rFonts w:ascii="Times New Roman;sans-serif" w:hAnsi="Times New Roman;sans-serif"/>
          <w:b w:val="false"/>
          <w:color w:val="000000"/>
          <w:sz w:val="22"/>
          <w:shd w:fill="FFFFFF" w:val="clear"/>
        </w:rPr>
        <w:t>8.49%</w:t>
      </w:r>
      <w:r>
        <w:rPr>
          <w:color w:val="000000"/>
        </w:rPr>
        <w:t xml:space="preserve"> </w:t>
      </w:r>
      <w:r>
        <w:rPr>
          <w:rFonts w:ascii="Times New Roman;sans-serif" w:hAnsi="Times New Roman;sans-serif"/>
          <w:b w:val="false"/>
          <w:color w:val="000000"/>
          <w:sz w:val="22"/>
        </w:rPr>
        <w:t xml:space="preserve">and 4.74% for the three months ended September 30, 2023 and 2022, respectively. Interest expense was </w:t>
      </w:r>
      <w:r>
        <w:rPr>
          <w:rFonts w:ascii="Times New Roman;sans-serif" w:hAnsi="Times New Roman;sans-serif"/>
          <w:b w:val="false"/>
          <w:color w:val="000000"/>
          <w:sz w:val="22"/>
          <w:shd w:fill="FFFFFF" w:val="clear"/>
        </w:rPr>
        <w:t>$1.3 million</w:t>
      </w:r>
      <w:r>
        <w:rPr>
          <w:rFonts w:ascii="Times New Roman;sans-serif" w:hAnsi="Times New Roman;sans-serif"/>
          <w:b w:val="false"/>
          <w:color w:val="000000"/>
          <w:sz w:val="22"/>
        </w:rPr>
        <w:t xml:space="preserve">, and $0.7 million for the three months ended September 30, 2023 and 2022, respectively; and the amortization of deferred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both"/>
        <w:rPr/>
      </w:pPr>
      <w:r>
        <w:rPr>
          <w:rFonts w:ascii="Times New Roman;sans-serif" w:hAnsi="Times New Roman;sans-serif"/>
          <w:b w:val="false"/>
          <w:color w:val="000000"/>
          <w:sz w:val="22"/>
        </w:rPr>
        <w:t xml:space="preserve">costs was </w:t>
      </w:r>
      <w:r>
        <w:rPr>
          <w:rFonts w:ascii="Times New Roman;sans-serif" w:hAnsi="Times New Roman;sans-serif"/>
          <w:b w:val="false"/>
          <w:color w:val="000000"/>
          <w:sz w:val="22"/>
          <w:shd w:fill="FFFFFF" w:val="clear"/>
        </w:rPr>
        <w:t>$0.1 million</w:t>
      </w:r>
      <w:r>
        <w:rPr>
          <w:color w:val="000000"/>
        </w:rPr>
        <w:t xml:space="preserve"> </w:t>
      </w:r>
      <w:r>
        <w:rPr>
          <w:rFonts w:ascii="Times New Roman;sans-serif" w:hAnsi="Times New Roman;sans-serif"/>
          <w:b w:val="false"/>
          <w:color w:val="000000"/>
          <w:sz w:val="22"/>
        </w:rPr>
        <w:t>and $0.1 million for the three months ended September 30, 2023 and 2022, respectively.</w:t>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 xml:space="preserve">The Company's debt effective interest rate was </w:t>
      </w:r>
      <w:r>
        <w:rPr>
          <w:rFonts w:ascii="Times New Roman;sans-serif" w:hAnsi="Times New Roman;sans-serif"/>
          <w:b w:val="false"/>
          <w:color w:val="000000"/>
          <w:sz w:val="22"/>
          <w:shd w:fill="FFFFFF" w:val="clear"/>
        </w:rPr>
        <w:t>8.14%</w:t>
      </w:r>
      <w:r>
        <w:rPr>
          <w:color w:val="000000"/>
        </w:rPr>
        <w:t xml:space="preserve"> </w:t>
      </w:r>
      <w:r>
        <w:rPr>
          <w:rFonts w:ascii="Times New Roman;sans-serif" w:hAnsi="Times New Roman;sans-serif"/>
          <w:b w:val="false"/>
          <w:color w:val="000000"/>
          <w:sz w:val="22"/>
        </w:rPr>
        <w:t xml:space="preserve">and 7.58% for the nine months ended September 30, 2023 and 2022, respectively. Interest expense was </w:t>
      </w:r>
      <w:r>
        <w:rPr>
          <w:rFonts w:ascii="Times New Roman;sans-serif" w:hAnsi="Times New Roman;sans-serif"/>
          <w:b w:val="false"/>
          <w:color w:val="000000"/>
          <w:sz w:val="22"/>
          <w:shd w:fill="FFFFFF" w:val="clear"/>
        </w:rPr>
        <w:t>$3.6 million</w:t>
      </w:r>
      <w:r>
        <w:rPr>
          <w:color w:val="000000"/>
        </w:rPr>
        <w:t xml:space="preserve"> </w:t>
      </w:r>
      <w:r>
        <w:rPr>
          <w:rFonts w:ascii="Times New Roman;sans-serif" w:hAnsi="Times New Roman;sans-serif"/>
          <w:b w:val="false"/>
          <w:color w:val="000000"/>
          <w:sz w:val="22"/>
        </w:rPr>
        <w:t xml:space="preserve">and $3.2 million for the nine months ended September 30, 2023 and 2022, respectively; and the amortization of deferred issuance costs was </w:t>
      </w:r>
      <w:r>
        <w:rPr>
          <w:rFonts w:ascii="Times New Roman;sans-serif" w:hAnsi="Times New Roman;sans-serif"/>
          <w:b w:val="false"/>
          <w:color w:val="000000"/>
          <w:sz w:val="22"/>
          <w:shd w:fill="FFFFFF" w:val="clear"/>
        </w:rPr>
        <w:t>$0.2 million</w:t>
      </w:r>
      <w:r>
        <w:rPr>
          <w:color w:val="000000"/>
        </w:rPr>
        <w:t xml:space="preserve"> </w:t>
      </w:r>
      <w:r>
        <w:rPr>
          <w:rFonts w:ascii="Times New Roman;sans-serif" w:hAnsi="Times New Roman;sans-serif"/>
          <w:b w:val="false"/>
          <w:color w:val="000000"/>
          <w:sz w:val="22"/>
        </w:rPr>
        <w:t>and $0.5 million for the nine months ended September 30, 2023 and 2022, respectively.</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March 10, 2023, SVB was closed by the California Department of Financial Protection and Innovation, and the Federal Deposit Insurance Corporation ("FDIC") was appointed as receiver. On March 14, 2023, the FDIC announced the establishment of Silicon Valley Bridge Bank, N.A., which assumed the deposits and obligations of SVB. On March 26, 2023, the FDIC announced that it had entered into a purchase and assumption agreement with First-Citizens Bank &amp; Trust Company, Raleigh, North Carolina ("First Citizens") under which all deposits and loans of SVB were assumed by First Citizens.</w:t>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As of September 30, 2023, there w</w:t>
      </w:r>
      <w:r>
        <w:rPr>
          <w:rFonts w:ascii="Times New Roman;sans-serif" w:hAnsi="Times New Roman;sans-serif"/>
          <w:b w:val="false"/>
          <w:color w:val="000000"/>
          <w:sz w:val="22"/>
          <w:shd w:fill="FFFFFF" w:val="clear"/>
        </w:rPr>
        <w:t>ere no am</w:t>
      </w:r>
      <w:r>
        <w:rPr>
          <w:rFonts w:ascii="Times New Roman;sans-serif" w:hAnsi="Times New Roman;sans-serif"/>
          <w:b w:val="false"/>
          <w:color w:val="000000"/>
          <w:sz w:val="22"/>
        </w:rPr>
        <w:t>ounts outstanding under the SVB Revolving Credit Facility.</w:t>
      </w:r>
    </w:p>
    <w:p>
      <w:pPr>
        <w:pStyle w:val="TextBody"/>
        <w:bidi w:val="0"/>
        <w:spacing w:lineRule="auto" w:line="288" w:before="0" w:after="2"/>
        <w:jc w:val="left"/>
        <w:rPr>
          <w:color w:val="000000"/>
        </w:rPr>
      </w:pPr>
      <w:r>
        <w:rPr>
          <w:color w:val="000000"/>
        </w:rPr>
        <w:t>    </w:t>
      </w:r>
      <w:r>
        <w:rPr>
          <w:rFonts w:ascii="Times New Roman;sans-serif" w:hAnsi="Times New Roman;sans-serif"/>
          <w:b w:val="false"/>
          <w:color w:val="000000"/>
          <w:sz w:val="22"/>
        </w:rPr>
        <w:t>As of September 30, 2023, the aggregate future principal payments under the SVB Term Loan Facility were as follows (in thousands):</w:t>
      </w:r>
    </w:p>
    <w:tbl>
      <w:tblPr>
        <w:tblW w:w="6201" w:type="dxa"/>
        <w:jc w:val="center"/>
        <w:tblInd w:w="0" w:type="dxa"/>
        <w:tblLayout w:type="fixed"/>
        <w:tblCellMar>
          <w:top w:w="28" w:type="dxa"/>
          <w:left w:w="28" w:type="dxa"/>
          <w:bottom w:w="28" w:type="dxa"/>
          <w:right w:w="28" w:type="dxa"/>
        </w:tblCellMar>
      </w:tblPr>
      <w:tblGrid>
        <w:gridCol w:w="1695"/>
        <w:gridCol w:w="1490"/>
        <w:gridCol w:w="1494"/>
        <w:gridCol w:w="211"/>
        <w:gridCol w:w="721"/>
        <w:gridCol w:w="109"/>
        <w:gridCol w:w="109"/>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the year ending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8. 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Restricted Stock Units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following table summarizes the activity related to the Company's restricted stock units ("RSUs") for the nine months ended September 30, 2023:</w:t>
      </w:r>
    </w:p>
    <w:p>
      <w:pPr>
        <w:pStyle w:val="TextBody"/>
        <w:bidi w:val="0"/>
        <w:spacing w:before="0" w:after="2"/>
        <w:jc w:val="left"/>
        <w:rPr/>
      </w:pPr>
      <w:r>
        <w:rPr/>
      </w:r>
    </w:p>
    <w:tbl>
      <w:tblPr>
        <w:tblW w:w="8995" w:type="dxa"/>
        <w:jc w:val="left"/>
        <w:tblInd w:w="0" w:type="dxa"/>
        <w:tblLayout w:type="fixed"/>
        <w:tblCellMar>
          <w:top w:w="28" w:type="dxa"/>
          <w:left w:w="28" w:type="dxa"/>
          <w:bottom w:w="28" w:type="dxa"/>
          <w:right w:w="28" w:type="dxa"/>
        </w:tblCellMar>
      </w:tblPr>
      <w:tblGrid>
        <w:gridCol w:w="1337"/>
        <w:gridCol w:w="1175"/>
        <w:gridCol w:w="1178"/>
        <w:gridCol w:w="499"/>
        <w:gridCol w:w="499"/>
        <w:gridCol w:w="501"/>
        <w:gridCol w:w="109"/>
        <w:gridCol w:w="109"/>
        <w:gridCol w:w="109"/>
        <w:gridCol w:w="836"/>
        <w:gridCol w:w="2028"/>
        <w:gridCol w:w="615"/>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 unvested</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3,158,686 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2,420,081 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(867,897)</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(666,078)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 unvested</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4,044,792 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RSUs was ap</w:t>
      </w:r>
      <w:r>
        <w:rPr>
          <w:rFonts w:ascii="Times New Roman;sans-serif" w:hAnsi="Times New Roman;sans-serif"/>
          <w:b w:val="false"/>
          <w:color w:val="000000"/>
          <w:sz w:val="22"/>
        </w:rPr>
        <w:t xml:space="preserve">proximately </w:t>
      </w:r>
      <w:r>
        <w:rPr>
          <w:rFonts w:ascii="Times New Roman;sans-serif" w:hAnsi="Times New Roman;sans-serif"/>
          <w:b w:val="false"/>
          <w:color w:val="000000"/>
          <w:sz w:val="22"/>
          <w:shd w:fill="FFFFFF" w:val="clear"/>
        </w:rPr>
        <w:t>$2.3 million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shd w:fill="FFFFFF" w:val="clear"/>
        </w:rPr>
        <w:t>$6.7 million</w:t>
      </w:r>
      <w:r>
        <w:rPr>
          <w:color w:val="000000"/>
        </w:rPr>
        <w:t xml:space="preserve"> </w:t>
      </w:r>
      <w:r>
        <w:rPr>
          <w:rFonts w:ascii="Times New Roman;sans-serif" w:hAnsi="Times New Roman;sans-serif"/>
          <w:b w:val="false"/>
          <w:color w:val="000000"/>
          <w:sz w:val="22"/>
          <w:shd w:fill="FFFFFF" w:val="clear"/>
        </w:rPr>
        <w:t xml:space="preserve">for the three and nine months ended September 30, 2023, respectively, and $2.0 million and $5.2 million for the three and nine months ended September 30, 2022, </w:t>
      </w:r>
      <w:r>
        <w:rPr>
          <w:rFonts w:ascii="Times New Roman;sans-serif" w:hAnsi="Times New Roman;sans-serif"/>
          <w:b w:val="false"/>
          <w:color w:val="000000"/>
          <w:sz w:val="22"/>
        </w:rPr>
        <w:t>r</w:t>
      </w:r>
      <w:r>
        <w:rPr>
          <w:rFonts w:ascii="Times New Roman;sans-serif" w:hAnsi="Times New Roman;sans-serif"/>
          <w:b w:val="false"/>
          <w:color w:val="000000"/>
          <w:sz w:val="22"/>
          <w:shd w:fill="FFFFFF" w:val="clear"/>
        </w:rPr>
        <w:t xml:space="preserve">espectively, </w:t>
      </w:r>
      <w:r>
        <w:rPr>
          <w:rFonts w:ascii="Times New Roman;sans-serif" w:hAnsi="Times New Roman;sans-serif"/>
          <w:b w:val="false"/>
          <w:color w:val="000000"/>
          <w:sz w:val="22"/>
        </w:rPr>
        <w:t xml:space="preserve">and is included in selling, general and administrative expenses in the unaudited condensed consolidated statements of operations.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As of September 30, 2023, total compensation cost related to unvested RSUs not yet recognized is </w:t>
      </w:r>
      <w:r>
        <w:rPr>
          <w:rFonts w:ascii="Times New Roman;sans-serif" w:hAnsi="Times New Roman;sans-serif"/>
          <w:b w:val="false"/>
          <w:color w:val="000000"/>
          <w:sz w:val="22"/>
          <w:shd w:fill="FFFFFF" w:val="clear"/>
        </w:rPr>
        <w:t>$23.4 million</w:t>
      </w:r>
      <w:r>
        <w:rPr>
          <w:color w:val="000000"/>
        </w:rPr>
        <w:t xml:space="preserve"> </w:t>
      </w:r>
      <w:r>
        <w:rPr>
          <w:rFonts w:ascii="Times New Roman;sans-serif" w:hAnsi="Times New Roman;sans-serif"/>
          <w:b w:val="false"/>
          <w:color w:val="000000"/>
          <w:sz w:val="22"/>
        </w:rPr>
        <w:t xml:space="preserve">and is expected to be recognized over a weighted-average period of approximately </w:t>
      </w:r>
      <w:r>
        <w:rPr>
          <w:rFonts w:ascii="Times New Roman;sans-serif" w:hAnsi="Times New Roman;sans-serif"/>
          <w:b w:val="false"/>
          <w:color w:val="000000"/>
          <w:sz w:val="22"/>
          <w:shd w:fill="FFFFFF" w:val="clear"/>
        </w:rPr>
        <w:t>2.7</w:t>
      </w:r>
      <w:r>
        <w:rPr>
          <w:color w:val="000000"/>
        </w:rPr>
        <w:t xml:space="preserve"> </w:t>
      </w:r>
      <w:r>
        <w:rPr>
          <w:rFonts w:ascii="Times New Roman;sans-serif" w:hAnsi="Times New Roman;sans-serif"/>
          <w:b w:val="false"/>
          <w:color w:val="000000"/>
          <w:sz w:val="22"/>
        </w:rPr>
        <w:t>years.</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Stock Options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following table summarizes the activity related to the outstanding and exercisable stock options </w:t>
      </w:r>
      <w:r>
        <w:rPr>
          <w:rFonts w:ascii="Times New Roman;sans-serif" w:hAnsi="Times New Roman;sans-serif"/>
          <w:b w:val="false"/>
          <w:color w:val="000000"/>
          <w:sz w:val="22"/>
          <w:shd w:fill="FFFFFF" w:val="clear"/>
        </w:rPr>
        <w:t>for the nine months ended September 30, 2023:</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861"/>
        <w:gridCol w:w="730"/>
        <w:gridCol w:w="732"/>
        <w:gridCol w:w="554"/>
        <w:gridCol w:w="364"/>
        <w:gridCol w:w="361"/>
        <w:gridCol w:w="109"/>
        <w:gridCol w:w="109"/>
        <w:gridCol w:w="109"/>
        <w:gridCol w:w="353"/>
        <w:gridCol w:w="1033"/>
        <w:gridCol w:w="182"/>
        <w:gridCol w:w="109"/>
        <w:gridCol w:w="109"/>
        <w:gridCol w:w="109"/>
        <w:gridCol w:w="441"/>
        <w:gridCol w:w="1071"/>
        <w:gridCol w:w="230"/>
        <w:gridCol w:w="109"/>
        <w:gridCol w:w="109"/>
        <w:gridCol w:w="109"/>
        <w:gridCol w:w="674"/>
        <w:gridCol w:w="674"/>
        <w:gridCol w:w="964"/>
      </w:tblGrid>
      <w:tr>
        <w:trPr/>
        <w:tc>
          <w:tcPr>
            <w:tcW w:w="86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769,487 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September 30, 2023</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September 30, 2023</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September 30, 2023</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769,487 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As of September 30, 2023,</w:t>
      </w:r>
      <w:r>
        <w:rPr>
          <w:color w:val="000000"/>
          <w:shd w:fill="FFFFFF" w:val="clear"/>
        </w:rPr>
        <w:t xml:space="preserve"> </w:t>
      </w:r>
      <w:r>
        <w:rPr>
          <w:rFonts w:ascii="Times New Roman;sans-serif" w:hAnsi="Times New Roman;sans-serif"/>
          <w:b w:val="false"/>
          <w:color w:val="000000"/>
          <w:sz w:val="22"/>
          <w:shd w:fill="FFFFFF" w:val="clear"/>
        </w:rPr>
        <w:t xml:space="preserve">the vested stock options did not have an aggregated intrinsic value as the exercise price exceeded the estimated fair market value of the stock options.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stock options was approximately $0.2 million and $0.6 million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 xml:space="preserve">for the three and nine months ended September 30, 2023, </w:t>
      </w:r>
      <w:r>
        <w:rPr>
          <w:rFonts w:ascii="Times New Roman;sans-serif" w:hAnsi="Times New Roman;sans-serif"/>
          <w:b w:val="false"/>
          <w:color w:val="000000"/>
          <w:sz w:val="22"/>
        </w:rPr>
        <w:t xml:space="preserve">respectively, and $0.2 million and $1.2 million for the three and nine months ended September 30, 2022, respectively, </w:t>
      </w:r>
      <w:r>
        <w:rPr>
          <w:rFonts w:ascii="Times New Roman;sans-serif" w:hAnsi="Times New Roman;sans-serif"/>
          <w:b w:val="false"/>
          <w:color w:val="000000"/>
          <w:sz w:val="22"/>
          <w:shd w:fill="FFFFFF" w:val="clear"/>
        </w:rPr>
        <w:t>and is included in selling, general and administrative expenses in the unaudited condensed consolidated statements of operations.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As of September 30, 2023, total compensation cost related to unvested options not yet recognized is $1.0 million</w:t>
      </w:r>
      <w:r>
        <w:rPr>
          <w:color w:val="000000"/>
        </w:rPr>
        <w:t xml:space="preserve"> </w:t>
      </w:r>
      <w:r>
        <w:rPr>
          <w:rFonts w:ascii="Times New Roman;sans-serif" w:hAnsi="Times New Roman;sans-serif"/>
          <w:b w:val="false"/>
          <w:color w:val="000000"/>
          <w:sz w:val="22"/>
        </w:rPr>
        <w:t xml:space="preserve">and is expected to be recognized over a weighted-average period of approximately </w:t>
      </w:r>
      <w:r>
        <w:rPr>
          <w:rFonts w:ascii="Times New Roman;sans-serif" w:hAnsi="Times New Roman;sans-serif"/>
          <w:b w:val="false"/>
          <w:color w:val="000000"/>
          <w:sz w:val="22"/>
          <w:shd w:fill="FFFFFF" w:val="clear"/>
        </w:rPr>
        <w:t>1.5</w:t>
      </w:r>
      <w:r>
        <w:rPr>
          <w:color w:val="000000"/>
        </w:rPr>
        <w:t xml:space="preserve"> </w:t>
      </w:r>
      <w:r>
        <w:rPr>
          <w:rFonts w:ascii="Times New Roman;sans-serif" w:hAnsi="Times New Roman;sans-serif"/>
          <w:b w:val="false"/>
          <w:color w:val="000000"/>
          <w:sz w:val="22"/>
        </w:rPr>
        <w:t>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Outstanding Restricted LLC Units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2"/>
          <w:shd w:fill="FFFFFF" w:val="clear"/>
        </w:rPr>
        <w:t xml:space="preserve">The following table summarizes the activity related to the unvested restricted LLC Units for the </w:t>
      </w:r>
      <w:r>
        <w:rPr>
          <w:rFonts w:ascii="Times New Roman;sans-serif" w:hAnsi="Times New Roman;sans-serif"/>
          <w:b w:val="false"/>
          <w:color w:val="000000"/>
          <w:sz w:val="22"/>
        </w:rPr>
        <w:t xml:space="preserve">nine months ended </w:t>
      </w:r>
      <w:r>
        <w:rPr>
          <w:rFonts w:ascii="Times New Roman;sans-serif" w:hAnsi="Times New Roman;sans-serif"/>
          <w:b w:val="false"/>
          <w:color w:val="000000"/>
          <w:sz w:val="22"/>
          <w:shd w:fill="FFFFFF" w:val="clear"/>
        </w:rPr>
        <w:t>September 30, 2023</w:t>
      </w:r>
      <w:r>
        <w:rPr>
          <w:rFonts w:ascii="Times New Roman;sans-serif" w:hAnsi="Times New Roman;sans-serif"/>
          <w:b w:val="false"/>
          <w:color w:val="000000"/>
          <w:sz w:val="22"/>
        </w:rPr>
        <w:t>:</w:t>
      </w:r>
    </w:p>
    <w:p>
      <w:pPr>
        <w:pStyle w:val="TextBody"/>
        <w:bidi w:val="0"/>
        <w:spacing w:before="0" w:after="2"/>
        <w:jc w:val="left"/>
        <w:rPr/>
      </w:pPr>
      <w:r>
        <w:rPr/>
      </w:r>
    </w:p>
    <w:tbl>
      <w:tblPr>
        <w:tblW w:w="8320" w:type="dxa"/>
        <w:jc w:val="center"/>
        <w:tblInd w:w="0" w:type="dxa"/>
        <w:tblLayout w:type="fixed"/>
        <w:tblCellMar>
          <w:top w:w="28" w:type="dxa"/>
          <w:left w:w="28" w:type="dxa"/>
          <w:bottom w:w="28" w:type="dxa"/>
          <w:right w:w="28" w:type="dxa"/>
        </w:tblCellMar>
      </w:tblPr>
      <w:tblGrid>
        <w:gridCol w:w="1200"/>
        <w:gridCol w:w="1055"/>
        <w:gridCol w:w="1059"/>
        <w:gridCol w:w="929"/>
        <w:gridCol w:w="929"/>
        <w:gridCol w:w="932"/>
        <w:gridCol w:w="109"/>
        <w:gridCol w:w="109"/>
        <w:gridCol w:w="109"/>
        <w:gridCol w:w="454"/>
        <w:gridCol w:w="1101"/>
        <w:gridCol w:w="334"/>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restricted LLC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 unvested</w:t>
            </w:r>
          </w:p>
        </w:tc>
        <w:tc>
          <w:tcPr>
            <w:tcW w:w="1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58"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(333,041)</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 unvested</w:t>
            </w:r>
          </w:p>
        </w:tc>
        <w:tc>
          <w:tcPr>
            <w:tcW w:w="18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262,009 </w:t>
            </w:r>
          </w:p>
        </w:tc>
        <w:tc>
          <w:tcPr>
            <w:tcW w:w="9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unvested restricted LLC Units was</w:t>
      </w:r>
      <w:r>
        <w:rPr>
          <w:color w:val="000000"/>
        </w:rPr>
        <w:t xml:space="preserve"> </w:t>
      </w:r>
      <w:r>
        <w:rPr>
          <w:rFonts w:ascii="Times New Roman;sans-serif" w:hAnsi="Times New Roman;sans-serif"/>
          <w:b w:val="false"/>
          <w:color w:val="000000"/>
          <w:sz w:val="22"/>
          <w:shd w:fill="FFFFFF" w:val="clear"/>
        </w:rPr>
        <w:t>$0.1 million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shd w:fill="FFFFFF" w:val="clear"/>
        </w:rPr>
        <w:t>$0.2 million</w:t>
      </w:r>
      <w:r>
        <w:rPr>
          <w:color w:val="000000"/>
        </w:rPr>
        <w:t xml:space="preserve"> </w:t>
      </w:r>
      <w:r>
        <w:rPr>
          <w:rFonts w:ascii="Times New Roman;sans-serif" w:hAnsi="Times New Roman;sans-serif"/>
          <w:b w:val="false"/>
          <w:color w:val="000000"/>
          <w:sz w:val="22"/>
        </w:rPr>
        <w:t>for the three and nine months ended September 30, 2023, respectively, and $0.1 million and $0.2 million for the three and nine months ended September 30, 2022, respectively, and is included</w:t>
      </w:r>
      <w:r>
        <w:rPr>
          <w:color w:val="000000"/>
          <w:shd w:fill="FFFFFF" w:val="clear"/>
        </w:rPr>
        <w:t xml:space="preserve"> </w:t>
      </w:r>
      <w:r>
        <w:rPr>
          <w:rFonts w:ascii="Times New Roman;sans-serif" w:hAnsi="Times New Roman;sans-serif"/>
          <w:b w:val="false"/>
          <w:color w:val="000000"/>
          <w:sz w:val="22"/>
          <w:shd w:fill="FFFFFF" w:val="clear"/>
        </w:rPr>
        <w:t>in selling, general and administrative expenses in the unaudited condensed consolidated statements of operations.</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As of </w:t>
      </w:r>
      <w:r>
        <w:rPr>
          <w:rFonts w:ascii="Times New Roman;sans-serif" w:hAnsi="Times New Roman;sans-serif"/>
          <w:b w:val="false"/>
          <w:color w:val="000000"/>
          <w:sz w:val="22"/>
          <w:shd w:fill="FFFFFF" w:val="clear"/>
        </w:rPr>
        <w:t>September 30, 2023</w:t>
      </w:r>
      <w:r>
        <w:rPr>
          <w:rFonts w:ascii="Times New Roman;sans-serif" w:hAnsi="Times New Roman;sans-serif"/>
          <w:b w:val="false"/>
          <w:color w:val="000000"/>
          <w:sz w:val="22"/>
        </w:rPr>
        <w:t xml:space="preserve">, total compensation cost related to unvested restricted LLC Units not yet recognized is </w:t>
      </w:r>
      <w:r>
        <w:rPr>
          <w:rFonts w:ascii="Times New Roman;sans-serif" w:hAnsi="Times New Roman;sans-serif"/>
          <w:b w:val="false"/>
          <w:color w:val="000000"/>
          <w:sz w:val="22"/>
          <w:shd w:fill="FFFFFF" w:val="clear"/>
        </w:rPr>
        <w:t>$0.2 million</w:t>
      </w:r>
      <w:r>
        <w:rPr>
          <w:color w:val="000000"/>
        </w:rPr>
        <w:t xml:space="preserve"> </w:t>
      </w:r>
      <w:r>
        <w:rPr>
          <w:rFonts w:ascii="Times New Roman;sans-serif" w:hAnsi="Times New Roman;sans-serif"/>
          <w:b w:val="false"/>
          <w:color w:val="000000"/>
          <w:sz w:val="22"/>
        </w:rPr>
        <w:t xml:space="preserve">and is expected to be recognized over a weighted-average period of approximately </w:t>
      </w:r>
      <w:r>
        <w:rPr>
          <w:rFonts w:ascii="Times New Roman;sans-serif" w:hAnsi="Times New Roman;sans-serif"/>
          <w:b w:val="false"/>
          <w:color w:val="000000"/>
          <w:sz w:val="22"/>
          <w:shd w:fill="FFFFFF" w:val="clear"/>
        </w:rPr>
        <w:t>1.4</w:t>
      </w:r>
      <w:r>
        <w:rPr>
          <w:color w:val="000000"/>
        </w:rPr>
        <w:t xml:space="preserve"> </w:t>
      </w:r>
      <w:r>
        <w:rPr>
          <w:rFonts w:ascii="Times New Roman;sans-serif" w:hAnsi="Times New Roman;sans-serif"/>
          <w:b w:val="false"/>
          <w:color w:val="000000"/>
          <w:sz w:val="22"/>
        </w:rPr>
        <w:t>years.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INCOME TAXES AND TAX RECEIVABLE AGREEMENT</w:t>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Overview of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0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Tax Provision and Deferred Tax Asset</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 xml:space="preserve">In calculating the provision for interim income taxes in accordance with ASC Topic 740, </w:t>
      </w:r>
      <w:r>
        <w:rPr>
          <w:rFonts w:ascii="Times New Roman;sans-serif" w:hAnsi="Times New Roman;sans-serif"/>
          <w:b w:val="false"/>
          <w:i/>
          <w:color w:val="000000"/>
          <w:sz w:val="22"/>
          <w:shd w:fill="FFFFFF" w:val="clear"/>
        </w:rPr>
        <w:t>Income Taxes</w:t>
      </w:r>
      <w:r>
        <w:rPr>
          <w:rFonts w:ascii="Times New Roman;sans-serif" w:hAnsi="Times New Roman;sans-serif"/>
          <w:b w:val="false"/>
          <w:color w:val="000000"/>
          <w:sz w:val="22"/>
          <w:shd w:fill="FFFFFF" w:val="clear"/>
        </w:rPr>
        <w:t xml:space="preserve">, an estimated annual effective tax rate is applied to year-to-date ordinary income. At the end of each interim period, Brilliant Earth Group, Inc. estimates the effective tax rate expected to be applicable for the full fiscal year. This differs from the method utilized at the end of an annual period. </w:t>
      </w:r>
      <w:r>
        <w:rPr>
          <w:rFonts w:ascii="Times New Roman;sans-serif" w:hAnsi="Times New Roman;sans-serif"/>
          <w:b w:val="false"/>
          <w:color w:val="000000"/>
          <w:sz w:val="22"/>
        </w:rPr>
        <w:t xml:space="preserve">The Company's effective tax rate of </w:t>
      </w:r>
      <w:r>
        <w:rPr>
          <w:rFonts w:ascii="Times New Roman;sans-serif" w:hAnsi="Times New Roman;sans-serif"/>
          <w:b w:val="false"/>
          <w:color w:val="000000"/>
          <w:sz w:val="22"/>
          <w:shd w:fill="FFFFFF" w:val="clear"/>
        </w:rPr>
        <w:t>4.09%</w:t>
      </w:r>
      <w:r>
        <w:rPr>
          <w:color w:val="000000"/>
        </w:rPr>
        <w:t xml:space="preserve"> </w:t>
      </w:r>
      <w:r>
        <w:rPr>
          <w:rFonts w:ascii="Times New Roman;sans-serif" w:hAnsi="Times New Roman;sans-serif"/>
          <w:b w:val="false"/>
          <w:color w:val="000000"/>
          <w:sz w:val="22"/>
        </w:rPr>
        <w:t>for the nine months ended September 30, 2023, differs from the U.S. federal statutory tax rate of 21% primarily due to income associated with the non-controlling interest, state tax expense and other permanent items.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The Company recorded net increases in deferred tax assets of </w:t>
      </w:r>
      <w:r>
        <w:rPr>
          <w:rFonts w:ascii="Times New Roman;sans-serif" w:hAnsi="Times New Roman;sans-serif"/>
          <w:b w:val="false"/>
          <w:color w:val="000000"/>
          <w:sz w:val="22"/>
          <w:shd w:fill="FFFFFF" w:val="clear"/>
        </w:rPr>
        <w:t>$0.3 million</w:t>
      </w:r>
      <w:r>
        <w:rPr>
          <w:color w:val="000000"/>
        </w:rPr>
        <w:t xml:space="preserve"> </w:t>
      </w:r>
      <w:r>
        <w:rPr>
          <w:rFonts w:ascii="Times New Roman;sans-serif" w:hAnsi="Times New Roman;sans-serif"/>
          <w:b w:val="false"/>
          <w:color w:val="000000"/>
          <w:sz w:val="22"/>
        </w:rPr>
        <w:t>during the nine months ended September 30, 2023, with a corresponding increase to additional paid in capital, resulting from changes in the outside basis difference on Brilliant Earth's investment in LLC. The Company has determined it is more-likely-than-not that it will be able to realize this deferred tax asset in the future.</w:t>
      </w:r>
    </w:p>
    <w:p>
      <w:pPr>
        <w:pStyle w:val="TextBody"/>
        <w:bidi w:val="0"/>
        <w:spacing w:before="0" w:after="2"/>
        <w:jc w:val="both"/>
        <w:rPr/>
      </w:pPr>
      <w:r>
        <w:rPr/>
      </w:r>
    </w:p>
    <w:p>
      <w:pPr>
        <w:pStyle w:val="TextBody"/>
        <w:bidi w:val="0"/>
        <w:spacing w:lineRule="auto" w:line="288" w:before="0" w:after="2"/>
        <w:jc w:val="both"/>
        <w:rPr/>
      </w:pPr>
      <w:r>
        <w:rPr>
          <w:color w:val="000000"/>
        </w:rPr>
        <w:t>    </w:t>
      </w:r>
      <w:r>
        <w:rPr>
          <w:rFonts w:ascii="Times New Roman;sans-serif" w:hAnsi="Times New Roman;sans-serif"/>
          <w:b w:val="false"/>
          <w:color w:val="000000"/>
          <w:sz w:val="22"/>
        </w:rPr>
        <w:t xml:space="preserve">The Company's income tax provision was </w:t>
      </w:r>
      <w:r>
        <w:rPr>
          <w:rFonts w:ascii="Times New Roman;sans-serif" w:hAnsi="Times New Roman;sans-serif"/>
          <w:b w:val="false"/>
          <w:color w:val="000000"/>
          <w:sz w:val="22"/>
          <w:shd w:fill="FFFFFF" w:val="clear"/>
        </w:rPr>
        <w:t>$0.1 million</w:t>
      </w:r>
      <w:r>
        <w:rPr>
          <w:color w:val="000000"/>
        </w:rPr>
        <w:t xml:space="preserve"> </w:t>
      </w:r>
      <w:r>
        <w:rPr>
          <w:rFonts w:ascii="Times New Roman;sans-serif" w:hAnsi="Times New Roman;sans-serif"/>
          <w:b w:val="false"/>
          <w:color w:val="000000"/>
          <w:sz w:val="22"/>
        </w:rPr>
        <w:t xml:space="preserve">for both the three and nine months ended September 30, 2023, respectively, and $0.2 million and $0.4 million for the three and nine months ended September 30, 2022, respectively. </w:t>
      </w:r>
      <w:r>
        <w:rPr>
          <w:rFonts w:ascii="Times New Roman;sans-serif" w:hAnsi="Times New Roman;sans-serif"/>
          <w:b w:val="false"/>
          <w:color w:val="000000"/>
          <w:sz w:val="22"/>
          <w:shd w:fill="FFFFFF" w:val="clear"/>
        </w:rPr>
        <w:br/>
        <w:br/>
      </w:r>
      <w:r>
        <w:rPr>
          <w:rFonts w:ascii="Times New Roman;sans-serif" w:hAnsi="Times New Roman;sans-serif"/>
          <w:b/>
          <w:i/>
          <w:color w:val="000000"/>
          <w:sz w:val="22"/>
        </w:rPr>
        <w:t xml:space="preserve">Tax Receivable Agreement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In addition, as part of the IPO, the Company entered into a tax receivable agreement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 xml:space="preserve">As of </w:t>
      </w:r>
      <w:r>
        <w:rPr>
          <w:rFonts w:ascii="Times New Roman;sans-serif" w:hAnsi="Times New Roman;sans-serif"/>
          <w:b w:val="false"/>
          <w:color w:val="000000"/>
          <w:sz w:val="22"/>
        </w:rPr>
        <w:t>September 30, 2023</w:t>
      </w:r>
      <w:r>
        <w:rPr>
          <w:rFonts w:ascii="Times New Roman;sans-serif" w:hAnsi="Times New Roman;sans-serif"/>
          <w:b w:val="false"/>
          <w:color w:val="000000"/>
          <w:sz w:val="22"/>
          <w:shd w:fill="FFFFFF" w:val="clear"/>
        </w:rPr>
        <w:t>, related to the TRA, the Company has recorded (i) a deferred tax asset in the amount of</w:t>
      </w:r>
      <w:r>
        <w:rPr>
          <w:color w:val="000000"/>
        </w:rPr>
        <w:t xml:space="preserve"> </w:t>
      </w:r>
      <w:r>
        <w:rPr>
          <w:rFonts w:ascii="Times New Roman;sans-serif" w:hAnsi="Times New Roman;sans-serif"/>
          <w:b w:val="false"/>
          <w:color w:val="000000"/>
          <w:sz w:val="22"/>
          <w:shd w:fill="FFFFFF" w:val="clear"/>
        </w:rPr>
        <w:t>$8.9 million</w:t>
      </w:r>
      <w:r>
        <w:rPr>
          <w:rFonts w:ascii="Times New Roman;sans-serif" w:hAnsi="Times New Roman;sans-serif"/>
          <w:b w:val="false"/>
          <w:color w:val="000000"/>
          <w:sz w:val="22"/>
        </w:rPr>
        <w:t xml:space="preserve">, (ii) a corresponding estimated liability with a balance of </w:t>
      </w:r>
      <w:r>
        <w:rPr>
          <w:rFonts w:ascii="Times New Roman;sans-serif" w:hAnsi="Times New Roman;sans-serif"/>
          <w:b w:val="false"/>
          <w:color w:val="000000"/>
          <w:sz w:val="22"/>
          <w:shd w:fill="FFFFFF" w:val="clear"/>
        </w:rPr>
        <w:t>$7.9 million</w:t>
      </w:r>
      <w:r>
        <w:rPr>
          <w:color w:val="000000"/>
        </w:rPr>
        <w:t xml:space="preserve"> </w:t>
      </w:r>
      <w:r>
        <w:rPr>
          <w:rFonts w:ascii="Times New Roman;sans-serif" w:hAnsi="Times New Roman;sans-serif"/>
          <w:b w:val="false"/>
          <w:color w:val="000000"/>
          <w:sz w:val="22"/>
        </w:rPr>
        <w:t xml:space="preserve">representing 85% of the </w:t>
      </w:r>
      <w:r>
        <w:rPr>
          <w:rFonts w:ascii="Times New Roman;sans-serif" w:hAnsi="Times New Roman;sans-serif"/>
          <w:b w:val="false"/>
          <w:color w:val="000000"/>
          <w:sz w:val="22"/>
          <w:shd w:fill="FFFFFF" w:val="clear"/>
        </w:rPr>
        <w:t>projected tax benefits to the Continuing Equity Owners; and (iii) $1.0 million of additional paid-in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At this time, any liability related to the alleged claims is not currently probable or reasonably estimable.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7" w:after="160"/>
        <w:jc w:val="left"/>
        <w:rPr/>
      </w:pPr>
      <w:r>
        <w:rPr/>
      </w:r>
    </w:p>
    <w:p>
      <w:pPr>
        <w:pStyle w:val="TextBody"/>
        <w:bidi w:val="0"/>
        <w:spacing w:lineRule="auto" w:line="276" w:before="0" w:after="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2022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2022 Form 10-K. We assume no obligation to update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4"/>
        </w:rPr>
      </w:pPr>
      <w:r>
        <w:rPr>
          <w:rFonts w:ascii="Times New Roman;sans-serif" w:hAnsi="Times New Roman;sans-serif"/>
          <w:b/>
          <w:color w:val="000000"/>
          <w:sz w:val="24"/>
        </w:rPr>
        <w:t>Company Overview</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Brilliant Earth is an innovative, digitally native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September 30, 2023, Brilliant Earth has sold to consumers in over 50 countries.</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achieved strong financial performance and rapid growth since our founding, and believe we are in the early stages of realizing our potential in a significant market opportunity.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three months ended September 30,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Net sales of </w:t>
      </w:r>
      <w:r>
        <w:rPr>
          <w:rFonts w:ascii="Times New Roman;sans-serif" w:hAnsi="Times New Roman;sans-serif"/>
          <w:b w:val="false"/>
          <w:color w:val="000000"/>
          <w:sz w:val="22"/>
          <w:shd w:fill="FFFFFF" w:val="clear"/>
        </w:rPr>
        <w:t>$114.2 million</w:t>
      </w:r>
      <w:r>
        <w:rPr>
          <w:rFonts w:ascii="Times New Roman;sans-serif" w:hAnsi="Times New Roman;sans-serif"/>
          <w:b w:val="false"/>
          <w:color w:val="000000"/>
          <w:sz w:val="22"/>
        </w:rPr>
        <w:t xml:space="preserve">, up </w:t>
      </w:r>
      <w:r>
        <w:rPr>
          <w:rFonts w:ascii="Times New Roman;sans-serif" w:hAnsi="Times New Roman;sans-serif"/>
          <w:b w:val="false"/>
          <w:color w:val="000000"/>
          <w:sz w:val="22"/>
          <w:shd w:fill="FFFFFF" w:val="clear"/>
        </w:rPr>
        <w:t>2.5%</w:t>
      </w:r>
      <w:r>
        <w:rPr>
          <w:color w:val="000000"/>
        </w:rPr>
        <w:t xml:space="preserve"> </w:t>
      </w:r>
      <w:r>
        <w:rPr>
          <w:rFonts w:ascii="Times New Roman;sans-serif" w:hAnsi="Times New Roman;sans-serif"/>
          <w:b w:val="false"/>
          <w:color w:val="000000"/>
          <w:sz w:val="22"/>
        </w:rPr>
        <w:t>compared to $111.4 million for the three months ended September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Net income of </w:t>
      </w:r>
      <w:r>
        <w:rPr>
          <w:rFonts w:ascii="Times New Roman;sans-serif" w:hAnsi="Times New Roman;sans-serif"/>
          <w:b w:val="false"/>
          <w:color w:val="000000"/>
          <w:sz w:val="22"/>
          <w:shd w:fill="FFFFFF" w:val="clear"/>
        </w:rPr>
        <w:t>$2.0 million</w:t>
      </w:r>
      <w:r>
        <w:rPr>
          <w:rFonts w:ascii="Times New Roman;sans-serif" w:hAnsi="Times New Roman;sans-serif"/>
          <w:b w:val="false"/>
          <w:color w:val="000000"/>
          <w:sz w:val="22"/>
        </w:rPr>
        <w:t xml:space="preserve">, down </w:t>
      </w:r>
      <w:r>
        <w:rPr>
          <w:rFonts w:ascii="Times New Roman;sans-serif" w:hAnsi="Times New Roman;sans-serif"/>
          <w:b w:val="false"/>
          <w:color w:val="000000"/>
          <w:sz w:val="22"/>
          <w:shd w:fill="FFFFFF" w:val="clear"/>
        </w:rPr>
        <w:t>65.1%</w:t>
      </w:r>
      <w:r>
        <w:rPr>
          <w:color w:val="000000"/>
        </w:rPr>
        <w:t xml:space="preserve"> </w:t>
      </w:r>
      <w:r>
        <w:rPr>
          <w:rFonts w:ascii="Times New Roman;sans-serif" w:hAnsi="Times New Roman;sans-serif"/>
          <w:b w:val="false"/>
          <w:color w:val="000000"/>
          <w:sz w:val="22"/>
        </w:rPr>
        <w:t>compared to $5.7 million for the three months ended September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Net income margin of </w:t>
      </w:r>
      <w:r>
        <w:rPr>
          <w:rFonts w:ascii="Times New Roman;sans-serif" w:hAnsi="Times New Roman;sans-serif"/>
          <w:b w:val="false"/>
          <w:color w:val="000000"/>
          <w:sz w:val="22"/>
          <w:shd w:fill="FFFFFF" w:val="clear"/>
        </w:rPr>
        <w:t>1.8%</w:t>
      </w:r>
      <w:r>
        <w:rPr>
          <w:rFonts w:ascii="Times New Roman;sans-serif" w:hAnsi="Times New Roman;sans-serif"/>
          <w:b w:val="false"/>
          <w:color w:val="000000"/>
          <w:sz w:val="22"/>
        </w:rPr>
        <w:t>, compared to 5.1% for the three months ended September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Adjusted EBITDA of </w:t>
      </w:r>
      <w:r>
        <w:rPr>
          <w:rFonts w:ascii="Times New Roman;sans-serif" w:hAnsi="Times New Roman;sans-serif"/>
          <w:b w:val="false"/>
          <w:color w:val="000000"/>
          <w:sz w:val="22"/>
          <w:shd w:fill="FFFFFF" w:val="clear"/>
        </w:rPr>
        <w:t>$7.6 million</w:t>
      </w:r>
      <w:r>
        <w:rPr>
          <w:rFonts w:ascii="Times New Roman;sans-serif" w:hAnsi="Times New Roman;sans-serif"/>
          <w:b w:val="false"/>
          <w:color w:val="000000"/>
          <w:sz w:val="22"/>
        </w:rPr>
        <w:t>, down 23.5%, compared to $10.0 million for the three months ended September 30,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Adjusted EBITDA margin of </w:t>
      </w:r>
      <w:r>
        <w:rPr>
          <w:rFonts w:ascii="Times New Roman;sans-serif" w:hAnsi="Times New Roman;sans-serif"/>
          <w:b w:val="false"/>
          <w:color w:val="000000"/>
          <w:sz w:val="22"/>
          <w:shd w:fill="FFFFFF" w:val="clear"/>
        </w:rPr>
        <w:t>6.7%</w:t>
      </w:r>
      <w:r>
        <w:rPr>
          <w:rFonts w:ascii="Times New Roman;sans-serif" w:hAnsi="Times New Roman;sans-serif"/>
          <w:b w:val="false"/>
          <w:color w:val="000000"/>
          <w:sz w:val="22"/>
        </w:rPr>
        <w:t>, compared to 8.9% for the three months ended September 30,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nine months ended September 30,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Net sales of </w:t>
      </w:r>
      <w:r>
        <w:rPr>
          <w:rFonts w:ascii="Times New Roman;sans-serif" w:hAnsi="Times New Roman;sans-serif"/>
          <w:b w:val="false"/>
          <w:color w:val="000000"/>
          <w:sz w:val="22"/>
          <w:shd w:fill="FFFFFF" w:val="clear"/>
        </w:rPr>
        <w:t>$322.0 million</w:t>
      </w:r>
      <w:r>
        <w:rPr>
          <w:rFonts w:ascii="Times New Roman;sans-serif" w:hAnsi="Times New Roman;sans-serif"/>
          <w:b w:val="false"/>
          <w:color w:val="000000"/>
          <w:sz w:val="22"/>
        </w:rPr>
        <w:t>, up 0.6% compared to $320.3 million for the nine months ended September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Net income of </w:t>
      </w:r>
      <w:r>
        <w:rPr>
          <w:rFonts w:ascii="Times New Roman;sans-serif" w:hAnsi="Times New Roman;sans-serif"/>
          <w:b w:val="false"/>
          <w:color w:val="000000"/>
          <w:sz w:val="22"/>
          <w:shd w:fill="FFFFFF" w:val="clear"/>
        </w:rPr>
        <w:t>$2.8 million</w:t>
      </w:r>
      <w:r>
        <w:rPr>
          <w:rFonts w:ascii="Times New Roman;sans-serif" w:hAnsi="Times New Roman;sans-serif"/>
          <w:b w:val="false"/>
          <w:color w:val="000000"/>
          <w:sz w:val="22"/>
        </w:rPr>
        <w:t>, down 78.2% compared to $12.8 million for the nine months ended September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Net income margin of </w:t>
      </w:r>
      <w:r>
        <w:rPr>
          <w:rFonts w:ascii="Times New Roman;sans-serif" w:hAnsi="Times New Roman;sans-serif"/>
          <w:b w:val="false"/>
          <w:color w:val="000000"/>
          <w:sz w:val="22"/>
          <w:shd w:fill="FFFFFF" w:val="clear"/>
        </w:rPr>
        <w:t>0.9%</w:t>
      </w:r>
      <w:r>
        <w:rPr>
          <w:rFonts w:ascii="Times New Roman;sans-serif" w:hAnsi="Times New Roman;sans-serif"/>
          <w:b w:val="false"/>
          <w:color w:val="000000"/>
          <w:sz w:val="22"/>
        </w:rPr>
        <w:t>, compared to 4.0% for the nine months ended September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Adjusted EBITDA of </w:t>
      </w:r>
      <w:r>
        <w:rPr>
          <w:rFonts w:ascii="Times New Roman;sans-serif" w:hAnsi="Times New Roman;sans-serif"/>
          <w:b w:val="false"/>
          <w:color w:val="000000"/>
          <w:sz w:val="22"/>
          <w:shd w:fill="FFFFFF" w:val="clear"/>
        </w:rPr>
        <w:t>$20.9 million</w:t>
      </w:r>
      <w:r>
        <w:rPr>
          <w:rFonts w:ascii="Times New Roman;sans-serif" w:hAnsi="Times New Roman;sans-serif"/>
          <w:b w:val="false"/>
          <w:color w:val="000000"/>
          <w:sz w:val="22"/>
        </w:rPr>
        <w:t>, down 25.2%, compared to $28.0 million for the nine months ended September 30,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Adjusted EBITDA margin of </w:t>
      </w:r>
      <w:r>
        <w:rPr>
          <w:rFonts w:ascii="Times New Roman;sans-serif" w:hAnsi="Times New Roman;sans-serif"/>
          <w:b w:val="false"/>
          <w:color w:val="000000"/>
          <w:sz w:val="22"/>
          <w:shd w:fill="FFFFFF" w:val="clear"/>
        </w:rPr>
        <w:t>6.5%</w:t>
      </w:r>
      <w:r>
        <w:rPr>
          <w:rFonts w:ascii="Times New Roman;sans-serif" w:hAnsi="Times New Roman;sans-serif"/>
          <w:b w:val="false"/>
          <w:color w:val="000000"/>
          <w:sz w:val="22"/>
        </w:rPr>
        <w:t>, compared to 8.7% for the nine months ended September 30, 2022.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operate in one operating and reporting segment, the retail sale of diamonds, gemstones and jewelry.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Key Factors Affecting Our Performance</w:t>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Our Ability to Increase Brand Awareness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Cost-Effective Acquisition of New Customers and Retention of Existing Customers.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i/>
          <w:color w:val="000000"/>
          <w:sz w:val="22"/>
        </w:rPr>
      </w:pPr>
      <w:r>
        <w:rPr>
          <w:rFonts w:ascii="Times New Roman;sans-serif" w:hAnsi="Times New Roman;sans-serif"/>
          <w:b w:val="false"/>
          <w:i/>
          <w:color w:val="000000"/>
          <w:sz w:val="22"/>
        </w:rPr>
        <w:t>Our Ability to Continue Successfully Growing and Managing our Omnichannel Presence</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ability to successfully grow and manage our omnichannel presence in new markets and locations is an important factor our success. Historically, we have been successful in new geographic markets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Our Ability to Successfully Introduce New Products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International Expansion</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Operational and Marketing Efficiency</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Costs of Operating as a Public Company</w:t>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costs of operating as a public company are significant.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Macroeconomic Trends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Seasonality</w:t>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larger share of annual revenues and profits traditionally occur in the fourth quarter because it includes the November and December holiday sales period.</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left"/>
        <w:rPr>
          <w:rFonts w:ascii="Times New Roman;sans-serif" w:hAnsi="Times New Roman;sans-serif"/>
          <w:b/>
          <w:color w:val="000000"/>
          <w:sz w:val="22"/>
        </w:rPr>
      </w:pPr>
      <w:r>
        <w:rPr>
          <w:rFonts w:ascii="Times New Roman;sans-serif" w:hAnsi="Times New Roman;sans-serif"/>
          <w:b/>
          <w:color w:val="000000"/>
          <w:sz w:val="22"/>
        </w:rPr>
        <w:t>Components of Results of Operations</w:t>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sales are recorded net of estimated sales returns and allowances and sales tax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of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diamonds that meet certain criteria. We offer an extended protection plan through a third-party that has terms ranging from two years to lifetime that vary based on the item purchased.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Revenue is deferred on transactions where payment has been received from the customer, but control has not yet transferred. Revenue related to customer purchases of our in-house extended service plan is deferred and recognized ratably over the service plan term.</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Cost of Sales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costs of shipping orders to customers and certain fulfillment and inventory-related compensation costs. Our cost of sales includes reserves for disposal of obsolete, slow-moving or defective items, and shrinkage, which we estimate and record on a periodic basis.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and other general corporate expenses.</w:t>
      </w:r>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 primarily consists of interest incurred under the Company's prior Loan and Security Agreement with Runway Growth Finance Corp. (as amended, the "Runway Term Loan Agreement") and the SVB Credit Facilities.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Other Income, Net</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Other income, net consists primarily of interest income and other miscellaneous income and expenses such as losses on exchange rates on consumer payments.</w:t>
      </w:r>
    </w:p>
    <w:p>
      <w:pPr>
        <w:pStyle w:val="TextBody"/>
        <w:bidi w:val="0"/>
        <w:spacing w:before="0" w:after="2"/>
        <w:jc w:val="left"/>
        <w:rPr/>
      </w:pPr>
      <w:r>
        <w:rPr/>
      </w:r>
    </w:p>
    <w:p>
      <w:pPr>
        <w:pStyle w:val="TextBody"/>
        <w:bidi w:val="0"/>
        <w:spacing w:lineRule="auto" w:line="300" w:before="0" w:after="200"/>
        <w:jc w:val="both"/>
        <w:rPr>
          <w:rFonts w:ascii="Times New Roman;sans-serif" w:hAnsi="Times New Roman;sans-serif"/>
          <w:b/>
          <w:i/>
          <w:color w:val="000000"/>
          <w:sz w:val="22"/>
        </w:rPr>
      </w:pPr>
      <w:r>
        <w:rPr>
          <w:rFonts w:ascii="Times New Roman;sans-serif" w:hAnsi="Times New Roman;sans-serif"/>
          <w:b/>
          <w:i/>
          <w:color w:val="000000"/>
          <w:sz w:val="22"/>
        </w:rPr>
        <w:t>Income Tax Expense</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Income tax expense represents the federal and state income or franchise taxes assessed on Brilliant Earth Group, Inc.'s share of taxable income for the period.</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data in the following tables for the periods presented have been derived from the unaudited condensed consolidated financial statements included elsewhere in this Quarterly Report on Form 10-Q.</w:t>
      </w:r>
    </w:p>
    <w:p>
      <w:pPr>
        <w:pStyle w:val="TextBody"/>
        <w:bidi w:val="0"/>
        <w:spacing w:lineRule="auto" w:line="288" w:before="160" w:after="2"/>
        <w:jc w:val="left"/>
        <w:rPr>
          <w:rFonts w:ascii="Times New Roman;sans-serif" w:hAnsi="Times New Roman;sans-serif"/>
          <w:b/>
          <w:i/>
          <w:color w:val="000000"/>
          <w:sz w:val="22"/>
        </w:rPr>
      </w:pPr>
      <w:r>
        <w:rPr>
          <w:rFonts w:ascii="Times New Roman;sans-serif" w:hAnsi="Times New Roman;sans-serif"/>
          <w:b/>
          <w:i/>
          <w:color w:val="000000"/>
          <w:sz w:val="22"/>
        </w:rPr>
        <w:t>Comparison of Three Months Ended September 30, 2023 and 2022</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statements of operations for the three months ended September 30, 2023 and 2022, including amounts and percentages of net sales for each period and the period-to-period change in dollars and percent (amounts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4"/>
        <w:gridCol w:w="720"/>
        <w:gridCol w:w="492"/>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616"/>
        <w:gridCol w:w="109"/>
        <w:gridCol w:w="109"/>
        <w:gridCol w:w="109"/>
        <w:gridCol w:w="109"/>
        <w:gridCol w:w="305"/>
        <w:gridCol w:w="311"/>
        <w:gridCol w:w="474"/>
      </w:tblGrid>
      <w:tr>
        <w:trPr/>
        <w:tc>
          <w:tcPr>
            <w:tcW w:w="97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Brilliant Earth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60" w:after="283"/>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Net sales for the three months ended September 30, 2023 increased</w:t>
      </w:r>
      <w:r>
        <w:rPr>
          <w:color w:val="000000"/>
          <w:shd w:fill="FFFFFF" w:val="clear"/>
        </w:rPr>
        <w:t xml:space="preserve"> </w:t>
      </w:r>
      <w:r>
        <w:rPr>
          <w:rFonts w:ascii="Times New Roman;sans-serif" w:hAnsi="Times New Roman;sans-serif"/>
          <w:b w:val="false"/>
          <w:color w:val="000000"/>
          <w:sz w:val="22"/>
          <w:shd w:fill="FFFFFF" w:val="clear"/>
        </w:rPr>
        <w:t>by $2.7 million, or 2.5%, compared to the three months ended September 30, 2022. The increase in net</w:t>
      </w:r>
      <w:r>
        <w:rPr>
          <w:color w:val="000000"/>
        </w:rPr>
        <w:t xml:space="preserve"> </w:t>
      </w:r>
      <w:r>
        <w:rPr>
          <w:rFonts w:ascii="Times New Roman;sans-serif" w:hAnsi="Times New Roman;sans-serif"/>
          <w:b w:val="false"/>
          <w:color w:val="000000"/>
          <w:sz w:val="22"/>
        </w:rPr>
        <w:t xml:space="preserve">sales was comprised of an increase of </w:t>
      </w:r>
      <w:r>
        <w:rPr>
          <w:rFonts w:ascii="Times New Roman;sans-serif" w:hAnsi="Times New Roman;sans-serif"/>
          <w:b w:val="false"/>
          <w:color w:val="000000"/>
          <w:sz w:val="22"/>
          <w:shd w:fill="FFFFFF" w:val="clear"/>
        </w:rPr>
        <w:t>16.7%</w:t>
      </w:r>
      <w:r>
        <w:rPr>
          <w:color w:val="000000"/>
        </w:rPr>
        <w:t xml:space="preserve"> </w:t>
      </w:r>
      <w:r>
        <w:rPr>
          <w:rFonts w:ascii="Times New Roman;sans-serif" w:hAnsi="Times New Roman;sans-serif"/>
          <w:b w:val="false"/>
          <w:color w:val="000000"/>
          <w:sz w:val="22"/>
        </w:rPr>
        <w:t xml:space="preserve">in order volumes partially offset by a decrease of </w:t>
      </w:r>
      <w:r>
        <w:rPr>
          <w:rFonts w:ascii="Times New Roman;sans-serif" w:hAnsi="Times New Roman;sans-serif"/>
          <w:b w:val="false"/>
          <w:color w:val="000000"/>
          <w:sz w:val="22"/>
          <w:shd w:fill="FFFFFF" w:val="clear"/>
        </w:rPr>
        <w:t>12.2%</w:t>
      </w:r>
      <w:r>
        <w:rPr>
          <w:color w:val="000000"/>
        </w:rPr>
        <w:t xml:space="preserve"> </w:t>
      </w:r>
      <w:r>
        <w:rPr>
          <w:rFonts w:ascii="Times New Roman;sans-serif" w:hAnsi="Times New Roman;sans-serif"/>
          <w:b w:val="false"/>
          <w:color w:val="000000"/>
          <w:sz w:val="22"/>
        </w:rPr>
        <w:t xml:space="preserve">in AOV. The increase of </w:t>
      </w:r>
      <w:r>
        <w:rPr>
          <w:rFonts w:ascii="Times New Roman;sans-serif" w:hAnsi="Times New Roman;sans-serif"/>
          <w:b w:val="false"/>
          <w:color w:val="000000"/>
          <w:sz w:val="22"/>
          <w:shd w:fill="FFFFFF" w:val="clear"/>
        </w:rPr>
        <w:t>16.7%</w:t>
      </w:r>
      <w:r>
        <w:rPr>
          <w:color w:val="000000"/>
        </w:rPr>
        <w:t xml:space="preserve"> </w:t>
      </w:r>
      <w:r>
        <w:rPr>
          <w:rFonts w:ascii="Times New Roman;sans-serif" w:hAnsi="Times New Roman;sans-serif"/>
          <w:b w:val="false"/>
          <w:color w:val="000000"/>
          <w:sz w:val="22"/>
        </w:rPr>
        <w:t>in order volumes was due to:</w:t>
      </w:r>
    </w:p>
    <w:p>
      <w:pPr>
        <w:pStyle w:val="TextBody"/>
        <w:bidi w:val="0"/>
        <w:spacing w:before="0" w:after="2"/>
        <w:jc w:val="both"/>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2"/>
          <w:shd w:fill="FFFFFF" w:val="clear"/>
        </w:rPr>
        <w:t>continued effectiveness of our customer acquisition activities;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strong omnichannel performance across the Company's products and new product collection releases; and </w:t>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2"/>
          <w:shd w:fill="FFFFFF" w:val="clear"/>
        </w:rPr>
        <w:t>the opening of new showrooms.</w:t>
      </w:r>
    </w:p>
    <w:p>
      <w:pPr>
        <w:pStyle w:val="TextBody"/>
        <w:bidi w:val="0"/>
        <w:spacing w:before="0" w:after="0"/>
        <w:jc w:val="left"/>
        <w:rPr/>
      </w:pPr>
      <w:r>
        <w:rPr/>
      </w:r>
    </w:p>
    <w:p>
      <w:pPr>
        <w:pStyle w:val="TextBody"/>
        <w:bidi w:val="0"/>
        <w:spacing w:lineRule="auto" w:line="288" w:before="0" w:after="2"/>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decrease in AOV was driven by an increase in sales of lower price point products, including fine jewelry and a moderation in sales growth of products above the $10,000 price point.</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Gross Profit</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Gross profit for the three months ended September 30, 2023 increased by</w:t>
      </w:r>
      <w:r>
        <w:rPr>
          <w:color w:val="000000"/>
          <w:shd w:fill="FFFFFF" w:val="clear"/>
        </w:rPr>
        <w:t xml:space="preserve"> </w:t>
      </w:r>
      <w:r>
        <w:rPr>
          <w:rFonts w:ascii="Times New Roman;sans-serif" w:hAnsi="Times New Roman;sans-serif"/>
          <w:b w:val="false"/>
          <w:color w:val="000000"/>
          <w:sz w:val="22"/>
          <w:shd w:fill="FFFFFF" w:val="clear"/>
        </w:rPr>
        <w:t xml:space="preserve">$5.9 million, or 9.7%, </w:t>
      </w:r>
      <w:r>
        <w:rPr>
          <w:rFonts w:ascii="Times New Roman;sans-serif" w:hAnsi="Times New Roman;sans-serif"/>
          <w:b w:val="false"/>
          <w:color w:val="000000"/>
          <w:sz w:val="22"/>
        </w:rPr>
        <w:t xml:space="preserve">compared to the three months ended September 30, 2022. Gross margin, expressed as a percentage and calculated as gross profit divided by net sales, increased by </w:t>
      </w:r>
      <w:r>
        <w:rPr>
          <w:rFonts w:ascii="Times New Roman;sans-serif" w:hAnsi="Times New Roman;sans-serif"/>
          <w:b w:val="false"/>
          <w:color w:val="000000"/>
          <w:sz w:val="22"/>
          <w:shd w:fill="FFFFFF" w:val="clear"/>
        </w:rPr>
        <w:t>380</w:t>
      </w:r>
      <w:r>
        <w:rPr>
          <w:color w:val="000000"/>
        </w:rPr>
        <w:t xml:space="preserve"> </w:t>
      </w:r>
      <w:r>
        <w:rPr>
          <w:rFonts w:ascii="Times New Roman;sans-serif" w:hAnsi="Times New Roman;sans-serif"/>
          <w:b w:val="false"/>
          <w:color w:val="000000"/>
          <w:sz w:val="22"/>
        </w:rPr>
        <w:t xml:space="preserve">basis points for the three months ended September 30, 2023 compared to the three months ended September 30, 2022, primarily driven by our premium brand and differentiated product offerings, performance of our pricing engine, procurement efficiencies and benefits from our extended warranty program. The increase in gross margin was partially offset by a </w:t>
      </w:r>
      <w:r>
        <w:rPr>
          <w:rFonts w:ascii="Times New Roman;sans-serif" w:hAnsi="Times New Roman;sans-serif"/>
          <w:b w:val="false"/>
          <w:color w:val="000000"/>
          <w:sz w:val="22"/>
          <w:shd w:fill="FFFFFF" w:val="clear"/>
        </w:rPr>
        <w:t>4.9%</w:t>
      </w:r>
      <w:r>
        <w:rPr>
          <w:color w:val="000000"/>
        </w:rPr>
        <w:t xml:space="preserve"> </w:t>
      </w:r>
      <w:r>
        <w:rPr>
          <w:rFonts w:ascii="Times New Roman;sans-serif" w:hAnsi="Times New Roman;sans-serif"/>
          <w:b w:val="false"/>
          <w:color w:val="000000"/>
          <w:sz w:val="22"/>
        </w:rPr>
        <w:t xml:space="preserve">increase in average platinum spot prices and an increase of </w:t>
      </w:r>
      <w:r>
        <w:rPr>
          <w:rFonts w:ascii="Times New Roman;sans-serif" w:hAnsi="Times New Roman;sans-serif"/>
          <w:b w:val="false"/>
          <w:color w:val="000000"/>
          <w:sz w:val="22"/>
          <w:shd w:fill="FFFFFF" w:val="clear"/>
        </w:rPr>
        <w:t>11.3%</w:t>
      </w:r>
      <w:r>
        <w:rPr>
          <w:color w:val="000000"/>
        </w:rPr>
        <w:t xml:space="preserve"> </w:t>
      </w:r>
      <w:r>
        <w:rPr>
          <w:rFonts w:ascii="Times New Roman;sans-serif" w:hAnsi="Times New Roman;sans-serif"/>
          <w:b w:val="false"/>
          <w:color w:val="000000"/>
          <w:sz w:val="22"/>
        </w:rPr>
        <w:t xml:space="preserve">in average gold spot prices for the three months ended September 30, 2023 as compared to the three months ended September 30, 2022.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Selling, general and administrative expenses for the three months ended September 30, 2023 increased by </w:t>
      </w:r>
      <w:r>
        <w:rPr>
          <w:rFonts w:ascii="Times New Roman;sans-serif" w:hAnsi="Times New Roman;sans-serif"/>
          <w:b w:val="false"/>
          <w:color w:val="000000"/>
          <w:sz w:val="22"/>
          <w:shd w:fill="FFFFFF" w:val="clear"/>
        </w:rPr>
        <w:t>$10.2 million</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shd w:fill="FFFFFF" w:val="clear"/>
        </w:rPr>
        <w:t>18.7%</w:t>
      </w:r>
      <w:r>
        <w:rPr>
          <w:color w:val="000000"/>
        </w:rPr>
        <w:t xml:space="preserve"> </w:t>
      </w:r>
      <w:r>
        <w:rPr>
          <w:rFonts w:ascii="Times New Roman;sans-serif" w:hAnsi="Times New Roman;sans-serif"/>
          <w:b w:val="false"/>
          <w:color w:val="000000"/>
          <w:sz w:val="22"/>
        </w:rPr>
        <w:t xml:space="preserve">compared to the three months ended September 30, 2022. Selling, general and administrative expenses as a percentage of net sales increased by </w:t>
      </w:r>
      <w:r>
        <w:rPr>
          <w:rFonts w:ascii="Times New Roman;sans-serif" w:hAnsi="Times New Roman;sans-serif"/>
          <w:b w:val="false"/>
          <w:color w:val="000000"/>
          <w:sz w:val="22"/>
          <w:shd w:fill="FFFFFF" w:val="clear"/>
        </w:rPr>
        <w:t>780</w:t>
      </w:r>
      <w:r>
        <w:rPr>
          <w:color w:val="000000"/>
        </w:rPr>
        <w:t xml:space="preserve"> </w:t>
      </w:r>
      <w:r>
        <w:rPr>
          <w:rFonts w:ascii="Times New Roman;sans-serif" w:hAnsi="Times New Roman;sans-serif"/>
          <w:b w:val="false"/>
          <w:color w:val="000000"/>
          <w:sz w:val="22"/>
        </w:rPr>
        <w:t>basis points for the quarter ended September 30, 2023 compared to the quarter ended September 30, 2022. The increase in selling, general and administrative expenses was driven by an increase in marketing, other general and administrative, and employment expenses, which increased by</w:t>
      </w:r>
      <w:r>
        <w:rPr>
          <w:color w:val="000000"/>
          <w:shd w:fill="FFFFFF" w:val="clear"/>
        </w:rPr>
        <w:t xml:space="preserve"> </w:t>
      </w:r>
      <w:r>
        <w:rPr>
          <w:rFonts w:ascii="Times New Roman;sans-serif" w:hAnsi="Times New Roman;sans-serif"/>
          <w:b w:val="false"/>
          <w:color w:val="000000"/>
          <w:sz w:val="22"/>
          <w:shd w:fill="FFFFFF" w:val="clear"/>
        </w:rPr>
        <w:t>$5.4 million, $3.5 million, and $1.3 million, respectively, from the quarter ended September 30, 2022 to th</w:t>
      </w:r>
      <w:r>
        <w:rPr>
          <w:rFonts w:ascii="Times New Roman;sans-serif" w:hAnsi="Times New Roman;sans-serif"/>
          <w:b w:val="false"/>
          <w:color w:val="000000"/>
          <w:sz w:val="22"/>
        </w:rPr>
        <w:t xml:space="preserve">e quarter ended September 30, 2023. </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increase in marketing expenses was driven by increased investments in marketing and advertising to increase brand awareness and support strategic growth initiatives. The increase in other general and administrative expenses was a result of overall Company growth and principally driven by a </w:t>
      </w:r>
      <w:r>
        <w:rPr>
          <w:rFonts w:ascii="Times New Roman;sans-serif" w:hAnsi="Times New Roman;sans-serif"/>
          <w:b w:val="false"/>
          <w:color w:val="000000"/>
          <w:sz w:val="22"/>
          <w:shd w:fill="FFFFFF" w:val="clear"/>
        </w:rPr>
        <w:t xml:space="preserve">$1.2 million </w:t>
      </w:r>
      <w:r>
        <w:rPr>
          <w:rFonts w:ascii="Times New Roman;sans-serif" w:hAnsi="Times New Roman;sans-serif"/>
          <w:b w:val="false"/>
          <w:color w:val="000000"/>
          <w:sz w:val="22"/>
        </w:rPr>
        <w:t xml:space="preserve">increase in information technology and other software-related costs, a </w:t>
      </w:r>
      <w:r>
        <w:rPr>
          <w:rFonts w:ascii="Times New Roman;sans-serif" w:hAnsi="Times New Roman;sans-serif"/>
          <w:b w:val="false"/>
          <w:color w:val="000000"/>
          <w:sz w:val="22"/>
          <w:shd w:fill="FFFFFF" w:val="clear"/>
        </w:rPr>
        <w:t>$0.8 million</w:t>
      </w:r>
      <w:r>
        <w:rPr>
          <w:color w:val="000000"/>
        </w:rPr>
        <w:t xml:space="preserve"> </w:t>
      </w:r>
      <w:r>
        <w:rPr>
          <w:rFonts w:ascii="Times New Roman;sans-serif" w:hAnsi="Times New Roman;sans-serif"/>
          <w:b w:val="false"/>
          <w:color w:val="000000"/>
          <w:sz w:val="22"/>
        </w:rPr>
        <w:t xml:space="preserve">increase in rent and lease related expenses, a </w:t>
      </w:r>
      <w:r>
        <w:rPr>
          <w:rFonts w:ascii="Times New Roman;sans-serif" w:hAnsi="Times New Roman;sans-serif"/>
          <w:b w:val="false"/>
          <w:color w:val="000000"/>
          <w:sz w:val="22"/>
          <w:shd w:fill="FFFFFF" w:val="clear"/>
        </w:rPr>
        <w:t>$0.6 million</w:t>
      </w:r>
      <w:r>
        <w:rPr>
          <w:color w:val="000000"/>
        </w:rPr>
        <w:t xml:space="preserve"> </w:t>
      </w:r>
      <w:r>
        <w:rPr>
          <w:rFonts w:ascii="Times New Roman;sans-serif" w:hAnsi="Times New Roman;sans-serif"/>
          <w:b w:val="false"/>
          <w:color w:val="000000"/>
          <w:sz w:val="22"/>
        </w:rPr>
        <w:t xml:space="preserve">increase in depreciation, a </w:t>
      </w:r>
      <w:r>
        <w:rPr>
          <w:rFonts w:ascii="Times New Roman;sans-serif" w:hAnsi="Times New Roman;sans-serif"/>
          <w:b w:val="false"/>
          <w:color w:val="000000"/>
          <w:sz w:val="22"/>
          <w:shd w:fill="FFFFFF" w:val="clear"/>
        </w:rPr>
        <w:t>$0.5 million</w:t>
      </w:r>
      <w:r>
        <w:rPr>
          <w:color w:val="000000"/>
        </w:rPr>
        <w:t xml:space="preserve"> </w:t>
      </w:r>
      <w:r>
        <w:rPr>
          <w:rFonts w:ascii="Times New Roman;sans-serif" w:hAnsi="Times New Roman;sans-serif"/>
          <w:b w:val="false"/>
          <w:color w:val="000000"/>
          <w:sz w:val="22"/>
        </w:rPr>
        <w:t xml:space="preserve">increase of pre-opening expenses from the opening of new showrooms, and a </w:t>
      </w:r>
      <w:r>
        <w:rPr>
          <w:rFonts w:ascii="Times New Roman;sans-serif" w:hAnsi="Times New Roman;sans-serif"/>
          <w:b w:val="false"/>
          <w:color w:val="000000"/>
          <w:sz w:val="22"/>
          <w:shd w:fill="FFFFFF" w:val="clear"/>
        </w:rPr>
        <w:t>$0.4 million</w:t>
      </w:r>
      <w:r>
        <w:rPr>
          <w:color w:val="000000"/>
        </w:rPr>
        <w:t xml:space="preserve"> </w:t>
      </w:r>
      <w:r>
        <w:rPr>
          <w:rFonts w:ascii="Times New Roman;sans-serif" w:hAnsi="Times New Roman;sans-serif"/>
          <w:b w:val="false"/>
          <w:color w:val="000000"/>
          <w:sz w:val="22"/>
        </w:rPr>
        <w:t xml:space="preserve">increase in other general administrative expenses. The increase in employment expenses was driven by an increase in salaries and wages, equity-based compensation, and other benefits expense primarily due to the addition of staff to support our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Interest expense for the three months ended September 30, 2023 increased by </w:t>
      </w:r>
      <w:r>
        <w:rPr>
          <w:rFonts w:ascii="Times New Roman;sans-serif" w:hAnsi="Times New Roman;sans-serif"/>
          <w:b w:val="false"/>
          <w:color w:val="000000"/>
          <w:sz w:val="22"/>
          <w:shd w:fill="FFFFFF" w:val="clear"/>
        </w:rPr>
        <w:t>$0.5 million</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shd w:fill="FFFFFF" w:val="clear"/>
        </w:rPr>
        <w:t>69.9%</w:t>
      </w:r>
      <w:r>
        <w:rPr>
          <w:color w:val="000000"/>
        </w:rPr>
        <w:t xml:space="preserve"> </w:t>
      </w:r>
      <w:r>
        <w:rPr>
          <w:rFonts w:ascii="Times New Roman;sans-serif" w:hAnsi="Times New Roman;sans-serif"/>
          <w:b w:val="false"/>
          <w:color w:val="000000"/>
          <w:sz w:val="22"/>
        </w:rPr>
        <w:t>compared to the three months ended September 30, 2022, primarily due to increases in the variable interest rate pursuant to the SVB Credit Agreement entered into on May 24, 2022.</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rPr>
      </w:pPr>
      <w:r>
        <w:rPr>
          <w:rFonts w:ascii="Times New Roman;sans-serif" w:hAnsi="Times New Roman;sans-serif"/>
          <w:b/>
          <w:i/>
          <w:color w:val="000000"/>
          <w:sz w:val="22"/>
        </w:rPr>
        <w:t>Other Income, net</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Other income, net for the three months ended September 30, 2023 increased by </w:t>
      </w:r>
      <w:r>
        <w:rPr>
          <w:rFonts w:ascii="Times New Roman;sans-serif" w:hAnsi="Times New Roman;sans-serif"/>
          <w:b w:val="false"/>
          <w:color w:val="000000"/>
          <w:sz w:val="22"/>
          <w:shd w:fill="FFFFFF" w:val="clear"/>
        </w:rPr>
        <w:t>$1.0 million</w:t>
      </w:r>
      <w:r>
        <w:rPr>
          <w:rFonts w:ascii="Times New Roman;sans-serif" w:hAnsi="Times New Roman;sans-serif"/>
          <w:b w:val="false"/>
          <w:color w:val="000000"/>
          <w:sz w:val="22"/>
        </w:rPr>
        <w:t>, primarily due to increased interest income earned on our cash balances. Additionally, these amounts for all periods presented include immaterial losses on exchange rates on consumer payments and other miscellaneous income.</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Comparison of Nine Months Ended September 30, 2023 and 2022</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statements of operations for the nine months ended September 30, 2023 and 2022, including amounts and percentages of net sales for each period and the period-to-period change in dollars and percent (amounts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2"/>
        <w:gridCol w:w="680"/>
        <w:gridCol w:w="431"/>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643"/>
        <w:gridCol w:w="109"/>
        <w:gridCol w:w="109"/>
        <w:gridCol w:w="109"/>
        <w:gridCol w:w="109"/>
        <w:gridCol w:w="357"/>
        <w:gridCol w:w="364"/>
        <w:gridCol w:w="475"/>
      </w:tblGrid>
      <w:tr>
        <w:trPr/>
        <w:tc>
          <w:tcPr>
            <w:tcW w:w="94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0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1191.7 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allocable to Brilliant Earth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Net sales for the nine months ended September 30, 2023 increased by </w:t>
      </w:r>
      <w:r>
        <w:rPr>
          <w:rFonts w:ascii="Times New Roman;sans-serif" w:hAnsi="Times New Roman;sans-serif"/>
          <w:b w:val="false"/>
          <w:color w:val="000000"/>
          <w:sz w:val="22"/>
          <w:shd w:fill="FFFFFF" w:val="clear"/>
        </w:rPr>
        <w:t>$1.8 million</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shd w:fill="FFFFFF" w:val="clear"/>
        </w:rPr>
        <w:t>0.6%</w:t>
      </w:r>
      <w:r>
        <w:rPr>
          <w:rFonts w:ascii="Times New Roman;sans-serif" w:hAnsi="Times New Roman;sans-serif"/>
          <w:b w:val="false"/>
          <w:color w:val="000000"/>
          <w:sz w:val="22"/>
        </w:rPr>
        <w:t xml:space="preserve">, compared to the nine months ended September 30, 2022. The increase in net sales was comprised of an increase of 16.2% in order volumes partially offset by a decrease of </w:t>
      </w:r>
      <w:r>
        <w:rPr>
          <w:rFonts w:ascii="Times New Roman;sans-serif" w:hAnsi="Times New Roman;sans-serif"/>
          <w:b w:val="false"/>
          <w:color w:val="000000"/>
          <w:sz w:val="22"/>
          <w:shd w:fill="FFFFFF" w:val="clear"/>
        </w:rPr>
        <w:t>13.4%</w:t>
      </w:r>
      <w:r>
        <w:rPr>
          <w:color w:val="000000"/>
        </w:rPr>
        <w:t xml:space="preserve"> </w:t>
      </w:r>
      <w:r>
        <w:rPr>
          <w:rFonts w:ascii="Times New Roman;sans-serif" w:hAnsi="Times New Roman;sans-serif"/>
          <w:b w:val="false"/>
          <w:color w:val="000000"/>
          <w:sz w:val="22"/>
        </w:rPr>
        <w:t xml:space="preserve">in AOV. The increase of </w:t>
      </w:r>
      <w:r>
        <w:rPr>
          <w:rFonts w:ascii="Times New Roman;sans-serif" w:hAnsi="Times New Roman;sans-serif"/>
          <w:b w:val="false"/>
          <w:color w:val="000000"/>
          <w:sz w:val="22"/>
          <w:shd w:fill="FFFFFF" w:val="clear"/>
        </w:rPr>
        <w:t>16.2%</w:t>
      </w:r>
      <w:r>
        <w:rPr>
          <w:color w:val="000000"/>
        </w:rPr>
        <w:t xml:space="preserve"> </w:t>
      </w:r>
      <w:r>
        <w:rPr>
          <w:rFonts w:ascii="Times New Roman;sans-serif" w:hAnsi="Times New Roman;sans-serif"/>
          <w:b w:val="false"/>
          <w:color w:val="000000"/>
          <w:sz w:val="22"/>
        </w:rPr>
        <w:t>in order volumes was due to:</w:t>
      </w:r>
    </w:p>
    <w:p>
      <w:pPr>
        <w:pStyle w:val="TextBody"/>
        <w:bidi w:val="0"/>
        <w:spacing w:before="0" w:after="2"/>
        <w:jc w:val="both"/>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2"/>
          <w:shd w:fill="FFFFFF" w:val="clear"/>
        </w:rPr>
        <w:t>continued effectiveness of our customer acquisition activities;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strong omnichannel performance across the Company's products and new product collection releases; and </w:t>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2"/>
          <w:shd w:fill="FFFFFF" w:val="clear"/>
        </w:rPr>
        <w:t>the opening of new showrooms.</w:t>
      </w:r>
    </w:p>
    <w:p>
      <w:pPr>
        <w:pStyle w:val="TextBody"/>
        <w:bidi w:val="0"/>
        <w:spacing w:before="0" w:after="0"/>
        <w:jc w:val="left"/>
        <w:rPr/>
      </w:pPr>
      <w:r>
        <w:rPr/>
      </w:r>
    </w:p>
    <w:p>
      <w:pPr>
        <w:pStyle w:val="TextBody"/>
        <w:bidi w:val="0"/>
        <w:spacing w:lineRule="auto" w:line="288" w:before="0" w:after="2"/>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decrease in AOV was driven by an increase in sales of lower price point products, including fine jewelry and a moderation in sales growth of products above the $10,000 price point.</w:t>
      </w:r>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Gross Profit</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Gross profit for the nine months ended September 30, 2023 increased by </w:t>
      </w:r>
      <w:r>
        <w:rPr>
          <w:rFonts w:ascii="Times New Roman;sans-serif" w:hAnsi="Times New Roman;sans-serif"/>
          <w:b w:val="false"/>
          <w:color w:val="000000"/>
          <w:sz w:val="22"/>
          <w:shd w:fill="FFFFFF" w:val="clear"/>
        </w:rPr>
        <w:t>$15.1 million, or 9.0%,</w:t>
      </w:r>
      <w:r>
        <w:rPr>
          <w:color w:val="000000"/>
        </w:rPr>
        <w:t xml:space="preserve"> </w:t>
      </w:r>
      <w:r>
        <w:rPr>
          <w:rFonts w:ascii="Times New Roman;sans-serif" w:hAnsi="Times New Roman;sans-serif"/>
          <w:b w:val="false"/>
          <w:color w:val="000000"/>
          <w:sz w:val="22"/>
        </w:rPr>
        <w:t xml:space="preserve">compared to the nine months ended September 30, 2022. Gross margin, expressed as a percentage and calculated as gross profit divided by net sales, increased by </w:t>
      </w:r>
      <w:r>
        <w:rPr>
          <w:rFonts w:ascii="Times New Roman;sans-serif" w:hAnsi="Times New Roman;sans-serif"/>
          <w:b w:val="false"/>
          <w:color w:val="000000"/>
          <w:sz w:val="22"/>
          <w:shd w:fill="FFFFFF" w:val="clear"/>
        </w:rPr>
        <w:t>440</w:t>
      </w:r>
      <w:r>
        <w:rPr>
          <w:color w:val="000000"/>
        </w:rPr>
        <w:t xml:space="preserve"> </w:t>
      </w:r>
      <w:r>
        <w:rPr>
          <w:rFonts w:ascii="Times New Roman;sans-serif" w:hAnsi="Times New Roman;sans-serif"/>
          <w:b w:val="false"/>
          <w:color w:val="000000"/>
          <w:sz w:val="22"/>
        </w:rPr>
        <w:t xml:space="preserve">basis points for the nine months ended September 30, 2023 compared to the nine months ended September 30, 2022, primarily driven by our premium brand and differentiated product offerings, performance of our pricing engine, procurement efficiencies and benefits from our extended warranty program. The increase in gross margin was partially offset by a </w:t>
      </w:r>
      <w:r>
        <w:rPr>
          <w:rFonts w:ascii="Times New Roman;sans-serif" w:hAnsi="Times New Roman;sans-serif"/>
          <w:b w:val="false"/>
          <w:color w:val="000000"/>
          <w:sz w:val="22"/>
          <w:shd w:fill="FFFFFF" w:val="clear"/>
        </w:rPr>
        <w:t>2.6%</w:t>
      </w:r>
      <w:r>
        <w:rPr>
          <w:color w:val="000000"/>
        </w:rPr>
        <w:t xml:space="preserve"> </w:t>
      </w:r>
      <w:r>
        <w:rPr>
          <w:rFonts w:ascii="Times New Roman;sans-serif" w:hAnsi="Times New Roman;sans-serif"/>
          <w:b w:val="false"/>
          <w:color w:val="000000"/>
          <w:sz w:val="22"/>
        </w:rPr>
        <w:t xml:space="preserve">increase in average platinum spot prices and a </w:t>
      </w:r>
      <w:r>
        <w:rPr>
          <w:rFonts w:ascii="Times New Roman;sans-serif" w:hAnsi="Times New Roman;sans-serif"/>
          <w:b w:val="false"/>
          <w:color w:val="000000"/>
          <w:sz w:val="22"/>
          <w:shd w:fill="FFFFFF" w:val="clear"/>
        </w:rPr>
        <w:t>5.6%</w:t>
      </w:r>
      <w:r>
        <w:rPr>
          <w:color w:val="000000"/>
        </w:rPr>
        <w:t xml:space="preserve"> </w:t>
      </w:r>
      <w:r>
        <w:rPr>
          <w:rFonts w:ascii="Times New Roman;sans-serif" w:hAnsi="Times New Roman;sans-serif"/>
          <w:b w:val="false"/>
          <w:color w:val="000000"/>
          <w:sz w:val="22"/>
        </w:rPr>
        <w:t xml:space="preserve">increase in average gold spot prices for the nine months ended September 30, 2023 as compared to the nine months ended September 30, 2022.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Selling, general and administrative expenses for the nine months ended September 30, 2023 increased</w:t>
      </w:r>
      <w:r>
        <w:rPr>
          <w:color w:val="000000"/>
          <w:shd w:fill="FFFFFF" w:val="clear"/>
        </w:rPr>
        <w:t xml:space="preserve"> </w:t>
      </w:r>
      <w:r>
        <w:rPr>
          <w:rFonts w:ascii="Times New Roman;sans-serif" w:hAnsi="Times New Roman;sans-serif"/>
          <w:b w:val="false"/>
          <w:color w:val="000000"/>
          <w:sz w:val="22"/>
          <w:shd w:fill="FFFFFF" w:val="clear"/>
        </w:rPr>
        <w:t>by $29.1 million, or 19.2% co</w:t>
      </w:r>
      <w:r>
        <w:rPr>
          <w:rFonts w:ascii="Times New Roman;sans-serif" w:hAnsi="Times New Roman;sans-serif"/>
          <w:b w:val="false"/>
          <w:color w:val="000000"/>
          <w:sz w:val="22"/>
        </w:rPr>
        <w:t xml:space="preserve">mpared to the nine months ended September 30, 2022. Selling, general and administrative expenses as a percentage of net sales increased by </w:t>
      </w:r>
      <w:r>
        <w:rPr>
          <w:rFonts w:ascii="Times New Roman;sans-serif" w:hAnsi="Times New Roman;sans-serif"/>
          <w:b w:val="false"/>
          <w:color w:val="000000"/>
          <w:sz w:val="22"/>
          <w:shd w:fill="FFFFFF" w:val="clear"/>
        </w:rPr>
        <w:t>880</w:t>
      </w:r>
      <w:r>
        <w:rPr>
          <w:color w:val="000000"/>
        </w:rPr>
        <w:t xml:space="preserve"> </w:t>
      </w:r>
      <w:r>
        <w:rPr>
          <w:rFonts w:ascii="Times New Roman;sans-serif" w:hAnsi="Times New Roman;sans-serif"/>
          <w:b w:val="false"/>
          <w:color w:val="000000"/>
          <w:sz w:val="22"/>
        </w:rPr>
        <w:t xml:space="preserve">basis points for the period ended September 30, 2023 compared to the period ended September 30, 2022. The increase in selling, general and administrative expenses was driven by an increase in marketing, other general and administrative, and employment expenses, which increased by </w:t>
      </w:r>
      <w:r>
        <w:rPr>
          <w:rFonts w:ascii="Times New Roman;sans-serif" w:hAnsi="Times New Roman;sans-serif"/>
          <w:b w:val="false"/>
          <w:color w:val="000000"/>
          <w:sz w:val="22"/>
          <w:shd w:fill="FFFFFF" w:val="clear"/>
        </w:rPr>
        <w:t>$13.7 million, $9.3 million, and $6.1 million, respectively, from the nine months ended September 30, 2022</w:t>
      </w:r>
      <w:r>
        <w:rPr>
          <w:color w:val="000000"/>
        </w:rPr>
        <w:t xml:space="preserve"> </w:t>
      </w:r>
      <w:r>
        <w:rPr>
          <w:rFonts w:ascii="Times New Roman;sans-serif" w:hAnsi="Times New Roman;sans-serif"/>
          <w:b w:val="false"/>
          <w:color w:val="000000"/>
          <w:sz w:val="22"/>
        </w:rPr>
        <w:t xml:space="preserve">to the nine months ended September 30, 2023. </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increase in marketing expenses was driven by increased investments in marketing and advertising to increase brand awareness and support strategic growth initiatives. The increase in other </w:t>
      </w:r>
      <w:r>
        <w:rPr>
          <w:rFonts w:ascii="Times New Roman;sans-serif" w:hAnsi="Times New Roman;sans-serif"/>
          <w:b w:val="false"/>
          <w:color w:val="000000"/>
          <w:sz w:val="22"/>
          <w:shd w:fill="FFFFFF" w:val="clear"/>
        </w:rPr>
        <w:t>general and administrative expenses as a result of overall Company growth was principally driven by a $2.9 million increase in information technology and other software-related costs, a $2.2 million increase in pre-opening expenses from the opening of new showrooms, a $2.2 million increase in rent and lease related expenses, and a $1.7 million increase in depreciation, and a $0.3 million increase in other general administrative expenses. The increase in employment expenses was driven by an increa</w:t>
      </w:r>
      <w:r>
        <w:rPr>
          <w:rFonts w:ascii="Times New Roman;sans-serif" w:hAnsi="Times New Roman;sans-serif"/>
          <w:b w:val="false"/>
          <w:color w:val="000000"/>
          <w:sz w:val="22"/>
        </w:rPr>
        <w:t xml:space="preserve">se in salaries and wages, equity-based compensation, and other benefits expense primarily due to the addition of staff to support our growth.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Interest expense for the nine months ended September 30, 2023 increased by </w:t>
      </w:r>
      <w:r>
        <w:rPr>
          <w:rFonts w:ascii="Times New Roman;sans-serif" w:hAnsi="Times New Roman;sans-serif"/>
          <w:b w:val="false"/>
          <w:color w:val="000000"/>
          <w:sz w:val="22"/>
          <w:shd w:fill="FFFFFF" w:val="clear"/>
        </w:rPr>
        <w:t>$0.1 million</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shd w:fill="FFFFFF" w:val="clear"/>
        </w:rPr>
        <w:t>2.9%</w:t>
      </w:r>
      <w:r>
        <w:rPr>
          <w:color w:val="000000"/>
        </w:rPr>
        <w:t xml:space="preserve"> </w:t>
      </w:r>
      <w:r>
        <w:rPr>
          <w:rFonts w:ascii="Times New Roman;sans-serif" w:hAnsi="Times New Roman;sans-serif"/>
          <w:b w:val="false"/>
          <w:color w:val="000000"/>
          <w:sz w:val="22"/>
        </w:rPr>
        <w:t>compared to the nine months ended September 30, 2022, primarily due to increases in the variable interest rate pursuant to the SVB Credit Agreement entered into on May 24, 2022.</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Other Income, net</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Other income, net for the nine months ended September 30, 2023 changed by </w:t>
      </w:r>
      <w:r>
        <w:rPr>
          <w:rFonts w:ascii="Times New Roman;sans-serif" w:hAnsi="Times New Roman;sans-serif"/>
          <w:b w:val="false"/>
          <w:color w:val="000000"/>
          <w:sz w:val="22"/>
          <w:shd w:fill="FFFFFF" w:val="clear"/>
        </w:rPr>
        <w:t>$3.2 million</w:t>
      </w:r>
      <w:r>
        <w:rPr>
          <w:rFonts w:ascii="Times New Roman;sans-serif" w:hAnsi="Times New Roman;sans-serif"/>
          <w:b w:val="false"/>
          <w:color w:val="000000"/>
          <w:sz w:val="22"/>
        </w:rPr>
        <w:t>, primarily due to increased interest income earned on our cash balances. Additionally, these amounts for all periods presented include immaterial losses on exchange rates on consumer payments and other miscellaneous income.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Key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key performance indicators for the periods presented (amounts in thousands, except for total orders and AOV):</w:t>
      </w:r>
    </w:p>
    <w:p>
      <w:pPr>
        <w:pStyle w:val="TextBody"/>
        <w:bidi w:val="0"/>
        <w:spacing w:before="0" w:after="0"/>
        <w:jc w:val="left"/>
        <w:rPr/>
      </w:pPr>
      <w:r>
        <w:rPr/>
      </w:r>
    </w:p>
    <w:tbl>
      <w:tblPr>
        <w:tblW w:w="11615" w:type="dxa"/>
        <w:jc w:val="left"/>
        <w:tblInd w:w="0" w:type="dxa"/>
        <w:tblLayout w:type="fixed"/>
        <w:tblCellMar>
          <w:top w:w="28" w:type="dxa"/>
          <w:left w:w="28" w:type="dxa"/>
          <w:bottom w:w="28" w:type="dxa"/>
          <w:right w:w="28" w:type="dxa"/>
        </w:tblCellMar>
      </w:tblPr>
      <w:tblGrid>
        <w:gridCol w:w="299"/>
        <w:gridCol w:w="198"/>
        <w:gridCol w:w="164"/>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40"/>
        <w:gridCol w:w="241"/>
        <w:gridCol w:w="503"/>
        <w:gridCol w:w="109"/>
        <w:gridCol w:w="109"/>
        <w:gridCol w:w="109"/>
        <w:gridCol w:w="196"/>
        <w:gridCol w:w="736"/>
        <w:gridCol w:w="109"/>
        <w:gridCol w:w="109"/>
        <w:gridCol w:w="109"/>
        <w:gridCol w:w="109"/>
        <w:gridCol w:w="196"/>
        <w:gridCol w:w="736"/>
        <w:gridCol w:w="109"/>
        <w:gridCol w:w="109"/>
        <w:gridCol w:w="109"/>
        <w:gridCol w:w="109"/>
        <w:gridCol w:w="196"/>
        <w:gridCol w:w="450"/>
        <w:gridCol w:w="109"/>
        <w:gridCol w:w="109"/>
        <w:gridCol w:w="109"/>
        <w:gridCol w:w="109"/>
        <w:gridCol w:w="240"/>
        <w:gridCol w:w="241"/>
        <w:gridCol w:w="503"/>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Orders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50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50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AOV</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5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5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Net Sales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Net sales is defined above in "</w:t>
      </w:r>
      <w:r>
        <w:rPr>
          <w:rFonts w:ascii="Times New Roman;sans-serif" w:hAnsi="Times New Roman;sans-serif"/>
          <w:b w:val="false"/>
          <w:i/>
          <w:color w:val="000000"/>
          <w:sz w:val="22"/>
        </w:rPr>
        <w:t>Components of Results of Operations".</w:t>
      </w:r>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Total Orders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Average Order Value</w:t>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define average order value, or AOV, as net sales in a given period divided by total orders in that period. We believe that AOV is a measure that is useful to investors and management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Adjusted EBITDA and Adjusted EBITDA Margin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and Adjusted EBITDA margin, which are non-GAAP financial measures, are included in this Quarterly Report on Form 10-Q because they are used by management and our board of directors to assess our financial performance. We define Adjusted EBITDA as net income excluding interest expense, income taxes, depreciation expense, amortization of cloud-based software implementation costs, showroom pre-opening expense, equity-based compensation expense, loss on extinguishment of debt,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96"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reconciliation of net income and net income margin, the most comparable GAAP financial measures, to Adjusted EBITDA and Adjusted EBITDA margin, respectively,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1474"/>
        <w:gridCol w:w="1264"/>
        <w:gridCol w:w="1200"/>
        <w:gridCol w:w="211"/>
        <w:gridCol w:w="631"/>
        <w:gridCol w:w="301"/>
        <w:gridCol w:w="109"/>
        <w:gridCol w:w="109"/>
        <w:gridCol w:w="109"/>
        <w:gridCol w:w="211"/>
        <w:gridCol w:w="631"/>
        <w:gridCol w:w="301"/>
        <w:gridCol w:w="109"/>
        <w:gridCol w:w="109"/>
        <w:gridCol w:w="109"/>
        <w:gridCol w:w="109"/>
        <w:gridCol w:w="109"/>
        <w:gridCol w:w="126"/>
        <w:gridCol w:w="126"/>
        <w:gridCol w:w="226"/>
        <w:gridCol w:w="766"/>
        <w:gridCol w:w="331"/>
        <w:gridCol w:w="109"/>
        <w:gridCol w:w="109"/>
        <w:gridCol w:w="109"/>
        <w:gridCol w:w="196"/>
        <w:gridCol w:w="661"/>
        <w:gridCol w:w="350"/>
      </w:tblGrid>
      <w:tr>
        <w:trPr/>
        <w:tc>
          <w:tcPr>
            <w:tcW w:w="147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534" w:type="dxa"/>
            <w:gridSpan w:val="6"/>
            <w:tcBorders/>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1,998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5,719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2,793</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12,839 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cloud-based software implementation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Showroom pre-opening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Transaction costs and other expense </w:t>
            </w:r>
            <w:r>
              <w:rPr>
                <w:rFonts w:ascii="Times New Roman;sans-serif" w:hAnsi="Times New Roman;sans-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7,624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9,961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20,908</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27,958</w:t>
            </w: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margin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0.9</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4.0</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6.7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6.5</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8.7</w:t>
            </w: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Other income, net consists primarily of interest and other miscellaneous income, partially offset by expenses such as losses on exchange rates on consumer payments.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These expenses are those that we did not incur in the normal course of business. For the nine month period ended September 30, 2023, costs included a $1 million charitable contribution.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Overview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September 30, 2023, we had a cash balance, excluding restricted cash, of </w:t>
      </w:r>
      <w:r>
        <w:rPr>
          <w:rFonts w:ascii="Times New Roman;sans-serif" w:hAnsi="Times New Roman;sans-serif"/>
          <w:b w:val="false"/>
          <w:color w:val="000000"/>
          <w:sz w:val="22"/>
          <w:shd w:fill="FFFFFF" w:val="clear"/>
        </w:rPr>
        <w:t>$147.1 million</w:t>
      </w:r>
      <w:r>
        <w:rPr>
          <w:rFonts w:ascii="Times New Roman;sans-serif" w:hAnsi="Times New Roman;sans-serif"/>
          <w:b w:val="false"/>
          <w:color w:val="000000"/>
          <w:sz w:val="22"/>
        </w:rPr>
        <w:t xml:space="preserve">, and working capital, excluding non-restricted cash, of </w:t>
      </w:r>
      <w:r>
        <w:rPr>
          <w:rFonts w:ascii="Times New Roman;sans-serif" w:hAnsi="Times New Roman;sans-serif"/>
          <w:b w:val="false"/>
          <w:color w:val="000000"/>
          <w:sz w:val="22"/>
          <w:shd w:fill="FFFFFF" w:val="clear"/>
        </w:rPr>
        <w:t>($22.0) million</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 addition, we have the SVB Term Loan Facility with a principal balance of </w:t>
      </w:r>
      <w:r>
        <w:rPr>
          <w:rFonts w:ascii="Times New Roman;sans-serif" w:hAnsi="Times New Roman;sans-serif"/>
          <w:b w:val="false"/>
          <w:color w:val="000000"/>
          <w:sz w:val="22"/>
          <w:shd w:fill="FFFFFF" w:val="clear"/>
        </w:rPr>
        <w:t>$60.9 million</w:t>
      </w:r>
      <w:r>
        <w:rPr>
          <w:rFonts w:ascii="Times New Roman;sans-serif" w:hAnsi="Times New Roman;sans-serif"/>
          <w:b w:val="false"/>
          <w:color w:val="000000"/>
          <w:sz w:val="22"/>
        </w:rPr>
        <w:t xml:space="preserve">, excluding unamortized debt issuance costs of </w:t>
      </w:r>
      <w:r>
        <w:rPr>
          <w:rFonts w:ascii="Times New Roman;sans-serif" w:hAnsi="Times New Roman;sans-serif"/>
          <w:b w:val="false"/>
          <w:color w:val="000000"/>
          <w:sz w:val="22"/>
          <w:shd w:fill="FFFFFF" w:val="clear"/>
        </w:rPr>
        <w:t>$0.5 million</w:t>
      </w:r>
      <w:r>
        <w:rPr>
          <w:rFonts w:ascii="Times New Roman;sans-serif" w:hAnsi="Times New Roman;sans-serif"/>
          <w:b w:val="false"/>
          <w:color w:val="000000"/>
          <w:sz w:val="22"/>
        </w:rPr>
        <w:t xml:space="preserve">, of which </w:t>
      </w:r>
      <w:r>
        <w:rPr>
          <w:rFonts w:ascii="Times New Roman;sans-serif" w:hAnsi="Times New Roman;sans-serif"/>
          <w:b w:val="false"/>
          <w:color w:val="000000"/>
          <w:sz w:val="22"/>
          <w:shd w:fill="FFFFFF" w:val="clear"/>
        </w:rPr>
        <w:t>$57.3 million</w:t>
      </w:r>
      <w:r>
        <w:rPr>
          <w:color w:val="000000"/>
        </w:rPr>
        <w:t xml:space="preserve"> </w:t>
      </w:r>
      <w:r>
        <w:rPr>
          <w:rFonts w:ascii="Times New Roman;sans-serif" w:hAnsi="Times New Roman;sans-serif"/>
          <w:b w:val="false"/>
          <w:color w:val="000000"/>
          <w:sz w:val="22"/>
        </w:rPr>
        <w:t>is classified as long-term.</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nine months ended September 30, 2023, the Company declared and paid </w:t>
      </w:r>
      <w:r>
        <w:rPr>
          <w:rFonts w:ascii="Times New Roman;sans-serif" w:hAnsi="Times New Roman;sans-serif"/>
          <w:b w:val="false"/>
          <w:color w:val="000000"/>
          <w:sz w:val="22"/>
          <w:shd w:fill="FFFFFF" w:val="clear"/>
        </w:rPr>
        <w:t>$9.9 million</w:t>
      </w:r>
      <w:r>
        <w:rPr>
          <w:color w:val="000000"/>
        </w:rPr>
        <w:t xml:space="preserve"> </w:t>
      </w:r>
      <w:r>
        <w:rPr>
          <w:rFonts w:ascii="Times New Roman;sans-serif" w:hAnsi="Times New Roman;sans-serif"/>
          <w:b w:val="false"/>
          <w:color w:val="000000"/>
          <w:sz w:val="22"/>
        </w:rPr>
        <w:t xml:space="preserve">of distributions to, or on behalf of, members associated with their estimated income tax obligations. We are committed to continue to make quarterly distributions in connection with member estimated income tax obligations which we expect to fund with cash flow from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believe, based on our current projections, that we have sufficient sources of liquidity to meet our projected operating, debt service, and tax distribution requirements for at least the next 12 months following the filing of this Quarterly Report on Form 10-Q. </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Additional future liquidity needs</w:t>
      </w:r>
      <w:r>
        <w:rPr>
          <w:color w:val="000000"/>
          <w:shd w:fill="FFFFFF" w:val="clear"/>
        </w:rPr>
        <w:t xml:space="preserve"> </w:t>
      </w:r>
      <w:r>
        <w:rPr>
          <w:rFonts w:ascii="Times New Roman;sans-serif" w:hAnsi="Times New Roman;sans-serif"/>
          <w:b w:val="false"/>
          <w:color w:val="000000"/>
          <w:sz w:val="22"/>
          <w:shd w:fill="FFFFFF" w:val="clear"/>
        </w:rPr>
        <w:t>may include p</w:t>
      </w:r>
      <w:r>
        <w:rPr>
          <w:rFonts w:ascii="Times New Roman;sans-serif" w:hAnsi="Times New Roman;sans-serif"/>
          <w:b w:val="false"/>
          <w:color w:val="000000"/>
          <w:sz w:val="22"/>
        </w:rPr>
        <w:t xml:space="preserve">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 </w:t>
      </w:r>
    </w:p>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i/>
          <w:color w:val="000000"/>
          <w:sz w:val="22"/>
        </w:rPr>
      </w:pPr>
      <w:r>
        <w:rPr>
          <w:rFonts w:ascii="Times New Roman;sans-serif" w:hAnsi="Times New Roman;sans-serif"/>
          <w:b/>
          <w:i/>
          <w:color w:val="000000"/>
          <w:sz w:val="22"/>
        </w:rPr>
        <w:t xml:space="preserve">Cash Flow Analysis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for the nine months ended September 30, 2023 and 2022 (in thousands):</w:t>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1943"/>
        <w:gridCol w:w="1710"/>
        <w:gridCol w:w="1716"/>
        <w:gridCol w:w="238"/>
        <w:gridCol w:w="950"/>
        <w:gridCol w:w="123"/>
        <w:gridCol w:w="123"/>
        <w:gridCol w:w="123"/>
        <w:gridCol w:w="123"/>
        <w:gridCol w:w="238"/>
        <w:gridCol w:w="950"/>
        <w:gridCol w:w="174"/>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(7,514)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(19,934)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147,340</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153,136</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Provided by Operating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nine months ended September 30, 2023, net cash provided by operating activities was </w:t>
      </w:r>
      <w:r>
        <w:rPr>
          <w:rFonts w:ascii="Times New Roman;sans-serif" w:hAnsi="Times New Roman;sans-serif"/>
          <w:b w:val="false"/>
          <w:color w:val="000000"/>
          <w:sz w:val="22"/>
          <w:shd w:fill="FFFFFF" w:val="clear"/>
        </w:rPr>
        <w:t>$15.5 million</w:t>
      </w:r>
      <w:r>
        <w:rPr>
          <w:color w:val="000000"/>
        </w:rPr>
        <w:t xml:space="preserve"> </w:t>
      </w:r>
      <w:r>
        <w:rPr>
          <w:rFonts w:ascii="Times New Roman;sans-serif" w:hAnsi="Times New Roman;sans-serif"/>
          <w:b w:val="false"/>
          <w:color w:val="000000"/>
          <w:sz w:val="22"/>
        </w:rPr>
        <w:t xml:space="preserve">compared to net cash provided by operating activities of </w:t>
      </w:r>
      <w:r>
        <w:rPr>
          <w:rFonts w:ascii="Times New Roman;sans-serif" w:hAnsi="Times New Roman;sans-serif"/>
          <w:b w:val="false"/>
          <w:color w:val="000000"/>
          <w:sz w:val="22"/>
          <w:shd w:fill="FFFFFF" w:val="clear"/>
        </w:rPr>
        <w:t>$9.0 million</w:t>
      </w:r>
      <w:r>
        <w:rPr>
          <w:color w:val="000000"/>
        </w:rPr>
        <w:t xml:space="preserve"> </w:t>
      </w:r>
      <w:r>
        <w:rPr>
          <w:rFonts w:ascii="Times New Roman;sans-serif" w:hAnsi="Times New Roman;sans-serif"/>
          <w:b w:val="false"/>
          <w:color w:val="000000"/>
          <w:sz w:val="22"/>
        </w:rPr>
        <w:t xml:space="preserve">for the nine months ended September 30, 2022, an increase of </w:t>
      </w:r>
      <w:r>
        <w:rPr>
          <w:rFonts w:ascii="Times New Roman;sans-serif" w:hAnsi="Times New Roman;sans-serif"/>
          <w:b w:val="false"/>
          <w:color w:val="000000"/>
          <w:sz w:val="22"/>
          <w:shd w:fill="FFFFFF" w:val="clear"/>
        </w:rPr>
        <w:t>$6.5 million</w:t>
      </w:r>
      <w:r>
        <w:rPr>
          <w:rFonts w:ascii="Times New Roman;sans-serif" w:hAnsi="Times New Roman;sans-serif"/>
          <w:b w:val="false"/>
          <w:color w:val="000000"/>
          <w:sz w:val="22"/>
        </w:rPr>
        <w:t xml:space="preserve">. This increase was primarily driven by </w:t>
      </w:r>
      <w:r>
        <w:rPr>
          <w:rFonts w:ascii="Times New Roman;sans-serif" w:hAnsi="Times New Roman;sans-serif"/>
          <w:b w:val="false"/>
          <w:color w:val="000000"/>
          <w:sz w:val="22"/>
          <w:shd w:fill="FFFFFF" w:val="clear"/>
        </w:rPr>
        <w:t>$13.5 million</w:t>
      </w:r>
      <w:r>
        <w:rPr>
          <w:color w:val="000000"/>
        </w:rPr>
        <w:t xml:space="preserve"> </w:t>
      </w:r>
      <w:r>
        <w:rPr>
          <w:rFonts w:ascii="Times New Roman;sans-serif" w:hAnsi="Times New Roman;sans-serif"/>
          <w:b w:val="false"/>
          <w:color w:val="000000"/>
          <w:sz w:val="22"/>
        </w:rPr>
        <w:t xml:space="preserve">from changes in assets and liabilities related to operating activities, partially offset by a decrease in net income adjusted for non-cash expense addbacks of </w:t>
      </w:r>
      <w:r>
        <w:rPr>
          <w:rFonts w:ascii="Times New Roman;sans-serif" w:hAnsi="Times New Roman;sans-serif"/>
          <w:b w:val="false"/>
          <w:color w:val="000000"/>
          <w:sz w:val="22"/>
          <w:shd w:fill="FFFFFF" w:val="clear"/>
        </w:rPr>
        <w:t>$7.0 million</w:t>
      </w:r>
      <w:r>
        <w:rPr>
          <w:rFonts w:ascii="Times New Roman;sans-serif" w:hAnsi="Times New Roman;sans-serif"/>
          <w:b w:val="false"/>
          <w:color w:val="000000"/>
          <w:sz w:val="22"/>
        </w:rPr>
        <w:t xml:space="preserve">. The increase from changes in assets and liabilities related to operating activities was primarily due to an increase of </w:t>
      </w:r>
      <w:r>
        <w:rPr>
          <w:rFonts w:ascii="Times New Roman;sans-serif" w:hAnsi="Times New Roman;sans-serif"/>
          <w:b w:val="false"/>
          <w:color w:val="000000"/>
          <w:sz w:val="22"/>
          <w:shd w:fill="FFFFFF" w:val="clear"/>
        </w:rPr>
        <w:t>$24.7 million</w:t>
      </w:r>
      <w:r>
        <w:rPr>
          <w:color w:val="000000"/>
        </w:rPr>
        <w:t xml:space="preserve"> </w:t>
      </w:r>
      <w:r>
        <w:rPr>
          <w:rFonts w:ascii="Times New Roman;sans-serif" w:hAnsi="Times New Roman;sans-serif"/>
          <w:b w:val="false"/>
          <w:color w:val="000000"/>
          <w:sz w:val="22"/>
        </w:rPr>
        <w:t xml:space="preserve">in inventories, prepaid expenses and other current assets, other assets, and deferred revenue, offset by </w:t>
      </w:r>
      <w:r>
        <w:rPr>
          <w:rFonts w:ascii="Times New Roman;sans-serif" w:hAnsi="Times New Roman;sans-serif"/>
          <w:b w:val="false"/>
          <w:color w:val="000000"/>
          <w:sz w:val="22"/>
          <w:shd w:fill="FFFFFF" w:val="clear"/>
        </w:rPr>
        <w:t xml:space="preserve">$11.3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2"/>
          <w:shd w:fill="FFFFFF" w:val="clear"/>
        </w:rPr>
        <w:t>million</w:t>
      </w:r>
      <w:r>
        <w:rPr>
          <w:color w:val="000000"/>
        </w:rPr>
        <w:t xml:space="preserve"> </w:t>
      </w:r>
      <w:r>
        <w:rPr>
          <w:rFonts w:ascii="Times New Roman;sans-serif" w:hAnsi="Times New Roman;sans-serif"/>
          <w:b w:val="false"/>
          <w:color w:val="000000"/>
          <w:sz w:val="22"/>
        </w:rPr>
        <w:t xml:space="preserve">decrease in accounts payable, accrued expenses and other current liabilities and operating lease liabilities.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nine months ended September 30, 2023, net cash used in investing activities was </w:t>
      </w:r>
      <w:r>
        <w:rPr>
          <w:rFonts w:ascii="Times New Roman;sans-serif" w:hAnsi="Times New Roman;sans-serif"/>
          <w:b w:val="false"/>
          <w:color w:val="000000"/>
          <w:sz w:val="22"/>
          <w:shd w:fill="FFFFFF" w:val="clear"/>
        </w:rPr>
        <w:t>$10.7 million</w:t>
      </w:r>
      <w:r>
        <w:rPr>
          <w:color w:val="000000"/>
        </w:rPr>
        <w:t xml:space="preserve"> </w:t>
      </w:r>
      <w:r>
        <w:rPr>
          <w:rFonts w:ascii="Times New Roman;sans-serif" w:hAnsi="Times New Roman;sans-serif"/>
          <w:b w:val="false"/>
          <w:color w:val="000000"/>
          <w:sz w:val="22"/>
        </w:rPr>
        <w:t xml:space="preserve">compared to $6.6 million for the nine months ended September 30, 2022. The increase of </w:t>
      </w:r>
      <w:r>
        <w:rPr>
          <w:rFonts w:ascii="Times New Roman;sans-serif" w:hAnsi="Times New Roman;sans-serif"/>
          <w:b w:val="false"/>
          <w:color w:val="000000"/>
          <w:sz w:val="22"/>
          <w:shd w:fill="FFFFFF" w:val="clear"/>
        </w:rPr>
        <w:t>$4.2 million</w:t>
      </w:r>
      <w:r>
        <w:rPr>
          <w:color w:val="000000"/>
        </w:rPr>
        <w:t xml:space="preserve"> </w:t>
      </w:r>
      <w:r>
        <w:rPr>
          <w:rFonts w:ascii="Times New Roman;sans-serif" w:hAnsi="Times New Roman;sans-serif"/>
          <w:b w:val="false"/>
          <w:color w:val="000000"/>
          <w:sz w:val="22"/>
        </w:rPr>
        <w:t>was principally due to an increase in purchases of property and equipment related to new facilities leased during the period.</w:t>
      </w:r>
    </w:p>
    <w:p>
      <w:pPr>
        <w:pStyle w:val="TextBody"/>
        <w:bidi w:val="0"/>
        <w:spacing w:before="0" w:after="2"/>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Financing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nine months ended September 30, 2023, net cash used in financing activities was </w:t>
      </w:r>
      <w:r>
        <w:rPr>
          <w:rFonts w:ascii="Times New Roman;sans-serif" w:hAnsi="Times New Roman;sans-serif"/>
          <w:b w:val="false"/>
          <w:color w:val="000000"/>
          <w:sz w:val="22"/>
          <w:shd w:fill="FFFFFF" w:val="clear"/>
        </w:rPr>
        <w:t>$12.3 million</w:t>
      </w:r>
      <w:r>
        <w:rPr>
          <w:color w:val="000000"/>
        </w:rPr>
        <w:t xml:space="preserve"> </w:t>
      </w:r>
      <w:r>
        <w:rPr>
          <w:rFonts w:ascii="Times New Roman;sans-serif" w:hAnsi="Times New Roman;sans-serif"/>
          <w:b w:val="false"/>
          <w:color w:val="000000"/>
          <w:sz w:val="22"/>
        </w:rPr>
        <w:t xml:space="preserve">compared to </w:t>
      </w:r>
      <w:r>
        <w:rPr>
          <w:rFonts w:ascii="Times New Roman;sans-serif" w:hAnsi="Times New Roman;sans-serif"/>
          <w:b w:val="false"/>
          <w:color w:val="000000"/>
          <w:sz w:val="22"/>
          <w:shd w:fill="FFFFFF" w:val="clear"/>
        </w:rPr>
        <w:t>$22.4 million</w:t>
      </w:r>
      <w:r>
        <w:rPr>
          <w:color w:val="000000"/>
        </w:rPr>
        <w:t xml:space="preserve"> </w:t>
      </w:r>
      <w:r>
        <w:rPr>
          <w:rFonts w:ascii="Times New Roman;sans-serif" w:hAnsi="Times New Roman;sans-serif"/>
          <w:b w:val="false"/>
          <w:color w:val="000000"/>
          <w:sz w:val="22"/>
        </w:rPr>
        <w:t xml:space="preserve">for the nine months ended September 30, 2022. The decrease of </w:t>
      </w:r>
      <w:r>
        <w:rPr>
          <w:rFonts w:ascii="Times New Roman;sans-serif" w:hAnsi="Times New Roman;sans-serif"/>
          <w:b w:val="false"/>
          <w:color w:val="000000"/>
          <w:sz w:val="22"/>
          <w:shd w:fill="FFFFFF" w:val="clear"/>
        </w:rPr>
        <w:t>$10.1 million</w:t>
      </w:r>
      <w:r>
        <w:rPr>
          <w:color w:val="000000"/>
        </w:rPr>
        <w:t xml:space="preserve"> </w:t>
      </w:r>
      <w:r>
        <w:rPr>
          <w:rFonts w:ascii="Times New Roman;sans-serif" w:hAnsi="Times New Roman;sans-serif"/>
          <w:b w:val="false"/>
          <w:color w:val="000000"/>
          <w:sz w:val="22"/>
        </w:rPr>
        <w:t>was primarily due to lower tax distributions paid to members pursuant to</w:t>
      </w:r>
      <w:r>
        <w:rPr>
          <w:color w:val="000000"/>
          <w:shd w:fill="FFFFFF" w:val="clear"/>
        </w:rPr>
        <w:t xml:space="preserve"> </w:t>
      </w:r>
      <w:r>
        <w:rPr>
          <w:rFonts w:ascii="Times New Roman;sans-serif" w:hAnsi="Times New Roman;sans-serif"/>
          <w:b w:val="false"/>
          <w:color w:val="000000"/>
          <w:sz w:val="22"/>
          <w:shd w:fill="FFFFFF" w:val="clear"/>
        </w:rPr>
        <w:t>the LLC Agreement of $8.4 million and the debt activity that occurred in 2022 but did not occur in 2023 consisting of the repayment of the Runway Term Loan and issuance of the SVB Term Loan Facility, which resulted in a net decrease of $3.3 million, partially offset by a $1.6 million increase in payments on the SVB Term Loan Facility.</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Silicon Valley Bank Credit Facilities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On May 24, 2022, Brilliant Earth, LLC, as borrower, and Silicon Valley Bank ("SVB"), as administrative agent and collateral agent for the lenders, entered into a SVB Credit Agreement, which provides for a secured SVB Term Loan Facility of $65.0 million and a secured SVB Revolving Credit Facility in an amount of up to $40.0 million. See Note 7. "Debt" to our unaudited condensed consolidated financial statements included elsewhere in this Quarterly Report on Form 10-Q. As of September 30, 2023, there were </w:t>
      </w:r>
      <w:r>
        <w:rPr>
          <w:rFonts w:ascii="Times New Roman;sans-serif" w:hAnsi="Times New Roman;sans-serif"/>
          <w:b w:val="false"/>
          <w:color w:val="000000"/>
          <w:sz w:val="22"/>
          <w:shd w:fill="FFFFFF" w:val="clear"/>
        </w:rPr>
        <w:t>no</w:t>
      </w:r>
      <w:r>
        <w:rPr>
          <w:color w:val="000000"/>
        </w:rPr>
        <w:t xml:space="preserve"> </w:t>
      </w:r>
      <w:r>
        <w:rPr>
          <w:rFonts w:ascii="Times New Roman;sans-serif" w:hAnsi="Times New Roman;sans-serif"/>
          <w:b w:val="false"/>
          <w:color w:val="000000"/>
          <w:sz w:val="22"/>
        </w:rPr>
        <w:t>amounts outstanding under the SVB Revolving Credit Facility.</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March 10, 2023, SVB was closed by the California Department of Financial Protection and Innovation, and the Federal Deposit Insurance Corporation ("FDIC") was appointed as receiver. On March 14, 2023, the FDIC announced the establishment of Silicon Valley Bridge Bank, N.A., which assumed the deposits and obligations of SVB. On March 26, 2023, the FDIC announced that it had entered into a purchase and assumption agreement with First-Citizens Bank &amp; Trust Company, Raleigh, North Carolina ("First Citizens") under which all deposits and loans of SVB were assumed by First Citizens.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Additional Liquidity Requirements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 addition, under the TRA, we are required to make cash payments to the Continuing Equity Owners equal to </w:t>
      </w:r>
      <w:r>
        <w:rPr>
          <w:rFonts w:ascii="Times New Roman;sans-serif" w:hAnsi="Times New Roman;sans-serif"/>
          <w:b w:val="false"/>
          <w:color w:val="000000"/>
          <w:sz w:val="22"/>
          <w:shd w:fill="FFFFFF" w:val="clear"/>
        </w:rPr>
        <w:t>85%</w:t>
      </w:r>
      <w:r>
        <w:rPr>
          <w:color w:val="000000"/>
        </w:rPr>
        <w:t xml:space="preserve"> </w:t>
      </w:r>
      <w:r>
        <w:rPr>
          <w:rFonts w:ascii="Times New Roman;sans-serif" w:hAnsi="Times New Roman;sans-serif"/>
          <w:b w:val="false"/>
          <w:color w:val="000000"/>
          <w:sz w:val="22"/>
        </w:rPr>
        <w:t>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to the Company's critical accounting policies and estimates from those described under "Critical Accounting Policies and Estimates" in the Management's Discussion and Analysis of Financial Condition and Results of Operations of our 2022 Form 10-K.</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For information regarding recent accounting pronouncements, see Note 1</w:t>
      </w:r>
      <w:r>
        <w:rPr>
          <w:color w:val="000000"/>
        </w:rPr>
        <w:t xml:space="preserve"> </w:t>
      </w:r>
      <w:r>
        <w:rPr>
          <w:rFonts w:ascii="Times New Roman;sans-serif" w:hAnsi="Times New Roman;sans-serif"/>
          <w:b w:val="false"/>
          <w:color w:val="000000"/>
          <w:sz w:val="22"/>
        </w:rPr>
        <w:t>to our unaudited condensed consolidated financial statements and related notes thereto included elsewhere in this Quarterly Report on Form 10-Q.</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JOBS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smaller reporting company as defined by Rule 12b-2 of the Securities Exchange Act of 1934 and are not required to provide the information under this item.</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Limitations on effectiveness of control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relative to their costs. </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September 30, 2023, our disclosure controls and procedures were effective at the reasonable assurance level. </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There were</w:t>
      </w:r>
      <w:r>
        <w:rPr>
          <w:color w:val="000000"/>
          <w:shd w:fill="FFFFFF" w:val="clear"/>
        </w:rPr>
        <w:t xml:space="preserve"> </w:t>
      </w:r>
      <w:r>
        <w:rPr>
          <w:rFonts w:ascii="Times New Roman;sans-serif" w:hAnsi="Times New Roman;sans-serif"/>
          <w:b w:val="false"/>
          <w:color w:val="000000"/>
          <w:sz w:val="22"/>
          <w:shd w:fill="FFFFFF" w:val="clear"/>
        </w:rPr>
        <w:t xml:space="preserve">no changes </w:t>
      </w:r>
      <w:r>
        <w:rPr>
          <w:rFonts w:ascii="Times New Roman;sans-serif" w:hAnsi="Times New Roman;sans-serif"/>
          <w:b w:val="false"/>
          <w:color w:val="000000"/>
          <w:sz w:val="22"/>
        </w:rPr>
        <w:t xml:space="preserve">in our internal control over financial reporting (as defined in Rules 13a-15(f) and 15d-15(f) under the Exchange Act) during the quarter ended September 30, 2023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At this time, any liability related to the alleged claims is not currently probable or reasonably estimable.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risk factors are described in Part I, Item 1A, "Risk Factors" of our 2022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Use of Proceeds, and Issuer Purchases of Equity Securities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 None.</w:t>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(b) None.</w:t>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00" w:before="0" w:after="0"/>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29"/>
        <w:gridCol w:w="290"/>
        <w:gridCol w:w="291"/>
        <w:gridCol w:w="1892"/>
        <w:gridCol w:w="1793"/>
        <w:gridCol w:w="1800"/>
        <w:gridCol w:w="165"/>
        <w:gridCol w:w="165"/>
        <w:gridCol w:w="160"/>
        <w:gridCol w:w="249"/>
        <w:gridCol w:w="249"/>
        <w:gridCol w:w="187"/>
        <w:gridCol w:w="205"/>
        <w:gridCol w:w="205"/>
        <w:gridCol w:w="206"/>
        <w:gridCol w:w="217"/>
        <w:gridCol w:w="217"/>
        <w:gridCol w:w="218"/>
        <w:gridCol w:w="396"/>
        <w:gridCol w:w="396"/>
        <w:gridCol w:w="575"/>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 Furnished Herewith</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ans-serif" w:hAnsi="Times New Roman;sans-serif"/>
                  <w:b w:val="false"/>
                  <w:color w:val="0000FF"/>
                  <w:sz w:val="16"/>
                  <w:u w:val="single"/>
                </w:rPr>
                <w:t>Amended and Restated Certificate of Incorporation of Brilliant Earth Group, Inc.</w:t>
              </w:r>
            </w:hyperlink>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16"/>
                  <w:u w:val="single"/>
                </w:rPr>
                <w:t>Amended and Restated Bylaws of Brilliant Earth Group, Inc.</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16"/>
                  <w:u w:val="single"/>
                </w:rPr>
                <w:t>Specimen Stock Certificate evidencing shares of Class A Common Stock</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1brlt-certifi.htm">
              <w:r>
                <w:rPr>
                  <w:rStyle w:val="InternetLink"/>
                  <w:rFonts w:ascii="Times New Roman;sans-serif" w:hAnsi="Times New Roman;sans-serif"/>
                  <w:b w:val="false"/>
                  <w:color w:val="0000FF"/>
                  <w:sz w:val="16"/>
                  <w:u w:val="single"/>
                </w:rPr>
                <w:t>Certification of Chief Executive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2brlt-certifi.htm">
              <w:r>
                <w:rPr>
                  <w:rStyle w:val="InternetLink"/>
                  <w:rFonts w:ascii="Times New Roman;sans-serif" w:hAnsi="Times New Roman;sans-serif"/>
                  <w:b w:val="false"/>
                  <w:color w:val="0000FF"/>
                  <w:sz w:val="16"/>
                  <w:u w:val="single"/>
                </w:rPr>
                <w:t>Certification of Chief Financial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1brlt-certifi.htm">
              <w:r>
                <w:rPr>
                  <w:rStyle w:val="InternetLink"/>
                  <w:rFonts w:ascii="Times New Roman;sans-serif" w:hAnsi="Times New Roman;sans-serif"/>
                  <w:b w:val="false"/>
                  <w:color w:val="0000FF"/>
                  <w:sz w:val="16"/>
                  <w:u w:val="single"/>
                </w:rPr>
                <w:t>Certification of Chief Executive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2brlt-certifi.htm">
              <w:r>
                <w:rPr>
                  <w:rStyle w:val="InternetLink"/>
                  <w:rFonts w:ascii="Times New Roman;sans-serif" w:hAnsi="Times New Roman;sans-serif"/>
                  <w:b w:val="false"/>
                  <w:color w:val="0000FF"/>
                  <w:sz w:val="16"/>
                  <w:u w:val="single"/>
                </w:rPr>
                <w:t>Certification of Chief Financial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00" w:before="0" w:after="2"/>
        <w:jc w:val="left"/>
        <w:rPr/>
      </w:pPr>
      <w:hyperlink w:anchor="i4a6c2a389dae40ce8308d3d123946e4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Act of 1934, the registrant has duly caused this report to be signed on its behalf by the undersigned, thereunto duly authorized.</w:t>
      </w:r>
    </w:p>
    <w:p>
      <w:pPr>
        <w:pStyle w:val="TextBody"/>
        <w:bidi w:val="0"/>
        <w:spacing w:before="0" w:after="2"/>
        <w:jc w:val="left"/>
        <w:rPr/>
      </w:pPr>
      <w:r>
        <w:rPr/>
      </w:r>
    </w:p>
    <w:p>
      <w:pPr>
        <w:pStyle w:val="TextBody"/>
        <w:bidi w:val="0"/>
        <w:spacing w:lineRule="auto" w:line="300" w:before="0" w:after="2"/>
        <w:ind w:left="0" w:right="0" w:firstLine="720"/>
        <w:jc w:val="right"/>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w:t>
      </w:r>
    </w:p>
    <w:p>
      <w:pPr>
        <w:pStyle w:val="TextBody"/>
        <w:bidi w:val="0"/>
        <w:spacing w:before="0" w:after="2"/>
        <w:ind w:left="0" w:right="0" w:hanging="3510"/>
        <w:jc w:val="left"/>
        <w:rPr/>
      </w:pPr>
      <w:r>
        <w:rPr/>
      </w:r>
    </w:p>
    <w:p>
      <w:pPr>
        <w:pStyle w:val="TextBody"/>
        <w:bidi w:val="0"/>
        <w:spacing w:lineRule="auto" w:line="300" w:before="0" w:after="2"/>
        <w:ind w:left="0" w:right="0" w:hanging="3510"/>
        <w:jc w:val="right"/>
        <w:rPr/>
      </w:pPr>
      <w:r>
        <w:rPr>
          <w:rFonts w:ascii="Times New Roman;sans-serif" w:hAnsi="Times New Roman;sans-serif"/>
          <w:b w:val="false"/>
          <w:color w:val="000000"/>
          <w:sz w:val="22"/>
        </w:rPr>
        <w:t>November 9, 2023            </w:t>
      </w:r>
      <w:r>
        <w:rPr>
          <w:rFonts w:ascii="Times New Roman;sans-serif" w:hAnsi="Times New Roman;sans-serif"/>
          <w:b w:val="false"/>
          <w:color w:val="000000"/>
          <w:sz w:val="22"/>
          <w:u w:val="single"/>
        </w:rPr>
        <w:t>By:/s/ Jeffrey Kuo</w:t>
      </w:r>
    </w:p>
    <w:p>
      <w:pPr>
        <w:pStyle w:val="TextBody"/>
        <w:bidi w:val="0"/>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Jeffrey Kuo </w:t>
      </w:r>
    </w:p>
    <w:p>
      <w:pPr>
        <w:pStyle w:val="TextBody"/>
        <w:bidi w:val="0"/>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spacing w:lineRule="auto" w:line="300" w:before="0" w:after="2"/>
        <w:ind w:left="0" w:right="0" w:hanging="3510"/>
        <w:jc w:val="righ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Financial Officer and Principal Accounting Officer) </w:t>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CERTIFICATION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Beth Gerstein,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November 9, 2023                 By: </w:t>
      </w:r>
      <w:r>
        <w:rPr>
          <w:rFonts w:ascii="Times New Roman;sans-serif" w:hAnsi="Times New Roman;sans-serif"/>
          <w:b w:val="false"/>
          <w:color w:val="000000"/>
          <w:sz w:val="22"/>
          <w:u w:val="single"/>
        </w:rPr>
        <w:t>/s/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Jeffrey Kuo,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November 9, 2023                 By: </w:t>
      </w:r>
      <w:r>
        <w:rPr>
          <w:rFonts w:ascii="Times New Roman;sans-serif" w:hAnsi="Times New Roman;sans-serif"/>
          <w:b w:val="false"/>
          <w:color w:val="000000"/>
          <w:sz w:val="22"/>
          <w:u w:val="single"/>
        </w:rPr>
        <w:t xml:space="preserve">/s/ </w:t>
      </w:r>
      <w:r>
        <w:rPr>
          <w:rFonts w:ascii="Times New Roman;sans-serif" w:hAnsi="Times New Roman;sans-serif"/>
          <w:b w:val="false"/>
          <w:color w:val="000000"/>
          <w:sz w:val="24"/>
          <w:u w:val="single"/>
        </w:rPr>
        <w:t>Jeffrey</w:t>
      </w:r>
      <w:r>
        <w:rPr>
          <w:color w:val="000000"/>
          <w:u w:val="single"/>
        </w:rPr>
        <w:t xml:space="preserve"> </w:t>
      </w:r>
      <w:r>
        <w:rPr>
          <w:rFonts w:ascii="Times New Roman;sans-serif" w:hAnsi="Times New Roman;sans-serif"/>
          <w:b w:val="false"/>
          <w:color w:val="000000"/>
          <w:sz w:val="22"/>
          <w:u w:val="single"/>
        </w:rPr>
        <w:t>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on Form 10-Q of Brilliant Earth Group, Inc. (the “Company”) for the period ended September 30,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November 9, 2023             By: </w:t>
      </w:r>
      <w:r>
        <w:rPr>
          <w:rFonts w:ascii="Times New Roman;sans-serif" w:hAnsi="Times New Roman;sans-serif"/>
          <w:b w:val="false"/>
          <w:color w:val="000000"/>
          <w:sz w:val="22"/>
          <w:u w:val="single"/>
        </w:rPr>
        <w:t>/s/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on Form 10-Q of Brilliant Earth Group, Inc. (the “Company”) for the period ended September 30,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November 9, 2023             By: </w:t>
      </w:r>
      <w:r>
        <w:rPr>
          <w:rFonts w:ascii="Times New Roman;sans-serif" w:hAnsi="Times New Roman;sans-serif"/>
          <w:b w:val="false"/>
          <w:color w:val="000000"/>
          <w:sz w:val="22"/>
          <w:u w:val="single"/>
        </w:rPr>
        <w:t xml:space="preserve">/s/ </w:t>
      </w:r>
      <w:r>
        <w:rPr>
          <w:rFonts w:ascii="Times New Roman;sans-serif" w:hAnsi="Times New Roman;sans-serif"/>
          <w:b w:val="false"/>
          <w:color w:val="000000"/>
          <w:sz w:val="24"/>
          <w:u w:val="single"/>
        </w:rPr>
        <w:t>Jeffrey</w:t>
      </w:r>
      <w:r>
        <w:rPr>
          <w:color w:val="000000"/>
          <w:u w:val="single"/>
        </w:rPr>
        <w:t xml:space="preserve"> </w:t>
      </w:r>
      <w:r>
        <w:rPr>
          <w:rFonts w:ascii="Times New Roman;sans-serif" w:hAnsi="Times New Roman;sans-serif"/>
          <w:b w:val="false"/>
          <w:color w:val="000000"/>
          <w:sz w:val="22"/>
          <w:u w:val="single"/>
        </w:rPr>
        <w:t>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Financial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18696</Words>
  <Characters>103152</Characters>
  <CharactersWithSpaces>121038</CharactersWithSpaces>
  <Paragraphs>2744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