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361315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385445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64135</wp:posOffset>
            </wp:positionV>
            <wp:extent cx="22269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47625</wp:posOffset>
            </wp:positionV>
            <wp:extent cx="22269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50"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 the quarterly period ended June 30, 2024</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37"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82" w:lineRule="exact"/>
        <w:rPr>
          <w:sz w:val="24"/>
          <w:szCs w:val="24"/>
          <w:color w:val="auto"/>
        </w:rPr>
      </w:pPr>
    </w:p>
    <w:p>
      <w:pPr>
        <w:ind w:left="4380"/>
        <w:spacing w:after="0"/>
        <w:tabs>
          <w:tab w:leader="none" w:pos="67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001-40836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72390</wp:posOffset>
            </wp:positionV>
            <wp:extent cx="2226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Brilliant Earth Group, Inc.</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66040</wp:posOffset>
            </wp:positionV>
            <wp:extent cx="2226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309" w:lineRule="exact"/>
        <w:rPr>
          <w:sz w:val="24"/>
          <w:szCs w:val="24"/>
          <w:color w:val="auto"/>
        </w:rPr>
      </w:pPr>
    </w:p>
    <w:tbl>
      <w:tblPr>
        <w:tblLayout w:type="fixed"/>
        <w:tblInd w:w="720" w:type="dxa"/>
        <w:tblCellMar>
          <w:top w:w="0" w:type="dxa"/>
          <w:left w:w="0" w:type="dxa"/>
          <w:bottom w:w="0" w:type="dxa"/>
          <w:right w:w="0" w:type="dxa"/>
        </w:tblCellMar>
      </w:tblPr>
      <w:tr>
        <w:trPr>
          <w:trHeight w:val="227"/>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920" w:type="dxa"/>
            <w:vAlign w:val="bottom"/>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rPr>
              <w:t>87-1015499</w:t>
            </w:r>
          </w:p>
        </w:tc>
      </w:tr>
      <w:tr>
        <w:trPr>
          <w:trHeight w:val="271"/>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3920" w:type="dxa"/>
            <w:vAlign w:val="bottom"/>
          </w:tcPr>
          <w:p>
            <w:pPr>
              <w:jc w:val="center"/>
              <w:ind w:left="1034"/>
              <w:spacing w:after="0"/>
              <w:rPr>
                <w:sz w:val="20"/>
                <w:szCs w:val="20"/>
                <w:color w:val="auto"/>
              </w:rPr>
            </w:pPr>
            <w:r>
              <w:rPr>
                <w:rFonts w:ascii="Times New Roman" w:cs="Times New Roman" w:eastAsia="Times New Roman" w:hAnsi="Times New Roman"/>
                <w:sz w:val="17"/>
                <w:szCs w:val="17"/>
                <w:color w:val="auto"/>
              </w:rPr>
              <w:t>(I.R.S. Employer Identification Number)</w:t>
            </w:r>
          </w:p>
        </w:tc>
      </w:tr>
      <w:tr>
        <w:trPr>
          <w:trHeight w:val="250"/>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w w:val="99"/>
              </w:rPr>
              <w:t>300 Grant Avenue, Third Floor</w:t>
            </w:r>
          </w:p>
        </w:tc>
        <w:tc>
          <w:tcPr>
            <w:tcW w:w="3920" w:type="dxa"/>
            <w:vAlign w:val="bottom"/>
          </w:tcPr>
          <w:p>
            <w:pPr>
              <w:spacing w:after="0"/>
              <w:rPr>
                <w:sz w:val="21"/>
                <w:szCs w:val="21"/>
                <w:color w:val="auto"/>
              </w:rPr>
            </w:pPr>
          </w:p>
        </w:tc>
      </w:tr>
      <w:tr>
        <w:trPr>
          <w:trHeight w:val="240"/>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b w:val="1"/>
                <w:bCs w:val="1"/>
                <w:color w:val="auto"/>
              </w:rPr>
              <w:t>San Francisco, CA</w:t>
            </w:r>
          </w:p>
        </w:tc>
        <w:tc>
          <w:tcPr>
            <w:tcW w:w="3920" w:type="dxa"/>
            <w:vAlign w:val="bottom"/>
          </w:tcPr>
          <w:p>
            <w:pPr>
              <w:jc w:val="right"/>
              <w:ind w:right="1094"/>
              <w:spacing w:after="0"/>
              <w:rPr>
                <w:sz w:val="20"/>
                <w:szCs w:val="20"/>
                <w:color w:val="auto"/>
              </w:rPr>
            </w:pPr>
            <w:r>
              <w:rPr>
                <w:rFonts w:ascii="Times New Roman" w:cs="Times New Roman" w:eastAsia="Times New Roman" w:hAnsi="Times New Roman"/>
                <w:sz w:val="17"/>
                <w:szCs w:val="17"/>
                <w:b w:val="1"/>
                <w:bCs w:val="1"/>
                <w:color w:val="auto"/>
              </w:rPr>
              <w:t>94108</w:t>
            </w:r>
          </w:p>
        </w:tc>
      </w:tr>
      <w:tr>
        <w:trPr>
          <w:trHeight w:val="271"/>
        </w:trPr>
        <w:tc>
          <w:tcPr>
            <w:tcW w:w="5220" w:type="dxa"/>
            <w:vAlign w:val="bottom"/>
          </w:tcPr>
          <w:p>
            <w:pPr>
              <w:jc w:val="center"/>
              <w:ind w:right="101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920" w:type="dxa"/>
            <w:vAlign w:val="bottom"/>
          </w:tcPr>
          <w:p>
            <w:pPr>
              <w:jc w:val="center"/>
              <w:ind w:left="103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(800) 691-0952</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24765</wp:posOffset>
            </wp:positionV>
            <wp:extent cx="2226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26945" cy="8255"/>
                    </a:xfrm>
                    <a:prstGeom prst="rect">
                      <a:avLst/>
                    </a:prstGeom>
                    <a:noFill/>
                  </pic:spPr>
                </pic:pic>
              </a:graphicData>
            </a:graphic>
          </wp:anchor>
        </w:drawing>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64"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840" w:type="dxa"/>
            <w:vAlign w:val="bottom"/>
            <w:gridSpan w:val="2"/>
          </w:tcPr>
          <w:p>
            <w:pPr>
              <w:jc w:val="center"/>
              <w:ind w:right="1820"/>
              <w:spacing w:after="0"/>
              <w:rPr>
                <w:sz w:val="20"/>
                <w:szCs w:val="20"/>
                <w:color w:val="auto"/>
              </w:rPr>
            </w:pPr>
            <w:r>
              <w:rPr>
                <w:rFonts w:ascii="Times New Roman" w:cs="Times New Roman" w:eastAsia="Times New Roman" w:hAnsi="Times New Roman"/>
                <w:sz w:val="14"/>
                <w:szCs w:val="14"/>
                <w:b w:val="1"/>
                <w:bCs w:val="1"/>
                <w:color w:val="auto"/>
                <w:w w:val="96"/>
              </w:rPr>
              <w:t>Title of each class</w:t>
            </w:r>
          </w:p>
        </w:tc>
        <w:tc>
          <w:tcPr>
            <w:tcW w:w="2000" w:type="dxa"/>
            <w:vAlign w:val="bottom"/>
            <w:gridSpan w:val="2"/>
          </w:tcPr>
          <w:p>
            <w:pPr>
              <w:jc w:val="center"/>
              <w:ind w:left="831"/>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520" w:type="dxa"/>
            <w:vAlign w:val="bottom"/>
            <w:gridSpan w:val="2"/>
          </w:tcPr>
          <w:p>
            <w:pPr>
              <w:jc w:val="center"/>
              <w:ind w:left="1891"/>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28"/>
        </w:trPr>
        <w:tc>
          <w:tcPr>
            <w:tcW w:w="3760" w:type="dxa"/>
            <w:vAlign w:val="bottom"/>
            <w:gridSpan w:val="3"/>
          </w:tcPr>
          <w:p>
            <w:pPr>
              <w:jc w:val="center"/>
              <w:ind w:right="900"/>
              <w:spacing w:after="0"/>
              <w:rPr>
                <w:sz w:val="20"/>
                <w:szCs w:val="20"/>
                <w:color w:val="auto"/>
              </w:rPr>
            </w:pPr>
            <w:r>
              <w:rPr>
                <w:rFonts w:ascii="Times New Roman" w:cs="Times New Roman" w:eastAsia="Times New Roman" w:hAnsi="Times New Roman"/>
                <w:sz w:val="14"/>
                <w:szCs w:val="14"/>
                <w:color w:val="auto"/>
                <w:w w:val="98"/>
              </w:rPr>
              <w:t>Class A common stock, $0.0001 par value per share</w:t>
            </w:r>
          </w:p>
        </w:tc>
        <w:tc>
          <w:tcPr>
            <w:tcW w:w="9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BRLT</w:t>
            </w:r>
          </w:p>
        </w:tc>
        <w:tc>
          <w:tcPr>
            <w:tcW w:w="1960" w:type="dxa"/>
            <w:vAlign w:val="bottom"/>
          </w:tcPr>
          <w:p>
            <w:pPr>
              <w:spacing w:after="0"/>
              <w:rPr>
                <w:sz w:val="19"/>
                <w:szCs w:val="19"/>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The Nasdaq Global Market</w:t>
            </w:r>
          </w:p>
        </w:tc>
      </w:tr>
    </w:tbl>
    <w:p>
      <w:pPr>
        <w:spacing w:after="0" w:line="131"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2" w:lineRule="exact"/>
        <w:rPr>
          <w:sz w:val="24"/>
          <w:szCs w:val="24"/>
          <w:color w:val="auto"/>
        </w:rPr>
      </w:pPr>
    </w:p>
    <w:p>
      <w:pPr>
        <w:jc w:val="both"/>
        <w:spacing w:after="0" w:line="18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 w:lineRule="exact"/>
        <w:rPr>
          <w:sz w:val="24"/>
          <w:szCs w:val="24"/>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19"/>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1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20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180" w:type="dxa"/>
            <w:vAlign w:val="bottom"/>
          </w:tcPr>
          <w:p>
            <w:pPr>
              <w:ind w:left="78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2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320" w:type="dxa"/>
            <w:vAlign w:val="bottom"/>
          </w:tcPr>
          <w:p>
            <w:pPr>
              <w:ind w:left="22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4" w:lineRule="exact"/>
        <w:rPr>
          <w:sz w:val="24"/>
          <w:szCs w:val="24"/>
          <w:color w:val="auto"/>
        </w:rPr>
      </w:pPr>
    </w:p>
    <w:p>
      <w:pPr>
        <w:jc w:val="both"/>
        <w:ind w:firstLine="77"/>
        <w:spacing w:after="0" w:line="17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ind w:left="360"/>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92"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As of August 5, 2024, there were 13,410,205 shares of the registrant's Class A common stock, $0.0001 par value per share, outstanding, 35,785,663 shares of the registrant's Class B common stock, $0.0001 par value per share, outstanding, 49,119,976 shares of the registrant's Class C common stock, $0.0001 par value per share, outstanding and no shares of the registrant's Class D common stock,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41910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233680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23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580" w:type="dxa"/>
            <w:vAlign w:val="bottom"/>
            <w:gridSpan w:val="4"/>
          </w:tcPr>
          <w:p>
            <w:pPr>
              <w:ind w:left="1700"/>
              <w:spacing w:after="0"/>
              <w:rPr>
                <w:sz w:val="20"/>
                <w:szCs w:val="20"/>
                <w:color w:val="auto"/>
              </w:rPr>
            </w:pPr>
            <w:r>
              <w:rPr>
                <w:rFonts w:ascii="Times New Roman" w:cs="Times New Roman" w:eastAsia="Times New Roman" w:hAnsi="Times New Roman"/>
                <w:sz w:val="17"/>
                <w:szCs w:val="17"/>
                <w:color w:val="auto"/>
              </w:rPr>
              <w:t>Table of Contents</w:t>
            </w: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03"/>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20" w:type="dxa"/>
            <w:vAlign w:val="bottom"/>
            <w:gridSpan w:val="3"/>
          </w:tcPr>
          <w:p>
            <w:pPr>
              <w:jc w:val="right"/>
              <w:ind w:right="340"/>
              <w:spacing w:after="0"/>
              <w:rPr>
                <w:sz w:val="20"/>
                <w:szCs w:val="20"/>
                <w:color w:val="auto"/>
              </w:rPr>
            </w:pPr>
            <w:r>
              <w:rPr>
                <w:rFonts w:ascii="Times New Roman" w:cs="Times New Roman" w:eastAsia="Times New Roman" w:hAnsi="Times New Roman"/>
                <w:sz w:val="17"/>
                <w:szCs w:val="17"/>
                <w:color w:val="auto"/>
              </w:rPr>
              <w:t>Page</w:t>
            </w:r>
          </w:p>
        </w:tc>
      </w:tr>
      <w:tr>
        <w:trPr>
          <w:trHeight w:val="232"/>
        </w:trPr>
        <w:tc>
          <w:tcPr>
            <w:tcW w:w="88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Part I - Financial Information</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1. Financial Statements.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23</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40" w:type="dxa"/>
            <w:vAlign w:val="bottom"/>
            <w:gridSpan w:val="2"/>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37</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680" w:type="dxa"/>
            <w:vAlign w:val="bottom"/>
            <w:gridSpan w:val="3"/>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22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6100" w:type="dxa"/>
            <w:vAlign w:val="bottom"/>
            <w:gridSpan w:val="5"/>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37</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1"/>
        </w:trPr>
        <w:tc>
          <w:tcPr>
            <w:tcW w:w="18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Part II - Other Information</w:t>
            </w:r>
          </w:p>
        </w:tc>
        <w:tc>
          <w:tcPr>
            <w:tcW w:w="7040" w:type="dxa"/>
            <w:vAlign w:val="bottom"/>
            <w:gridSpan w:val="10"/>
          </w:tcPr>
          <w:p>
            <w:pPr>
              <w:spacing w:after="0"/>
              <w:rPr>
                <w:sz w:val="21"/>
                <w:szCs w:val="21"/>
                <w:color w:val="auto"/>
              </w:rPr>
            </w:pPr>
          </w:p>
        </w:tc>
        <w:tc>
          <w:tcPr>
            <w:tcW w:w="2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1. Legal Proceedings.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39</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960" w:type="dxa"/>
            <w:vAlign w:val="bottom"/>
            <w:tcBorders>
              <w:left w:val="single" w:sz="8" w:color="0000FF"/>
            </w:tcBorders>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260" w:type="dxa"/>
            <w:vAlign w:val="bottom"/>
          </w:tcPr>
          <w:p>
            <w:pPr>
              <w:spacing w:after="0"/>
              <w:rPr>
                <w:sz w:val="21"/>
                <w:szCs w:val="21"/>
                <w:color w:val="auto"/>
              </w:rPr>
            </w:pPr>
          </w:p>
        </w:tc>
        <w:tc>
          <w:tcPr>
            <w:tcW w:w="6540" w:type="dxa"/>
            <w:vAlign w:val="bottom"/>
            <w:gridSpan w:val="7"/>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39</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2. Unregistered Sales of Equity Securities and Use of Proceeds</w:t>
            </w:r>
          </w:p>
        </w:tc>
        <w:tc>
          <w:tcPr>
            <w:tcW w:w="3680" w:type="dxa"/>
            <w:vAlign w:val="bottom"/>
            <w:gridSpan w:val="3"/>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39</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960" w:type="dxa"/>
            <w:vAlign w:val="bottom"/>
            <w:tcBorders>
              <w:left w:val="single" w:sz="8" w:color="0000FF"/>
            </w:tcBorders>
            <w:gridSpan w:val="3"/>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368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46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Item 3. Defaults Upon Senior Securities.</w:t>
            </w:r>
          </w:p>
        </w:tc>
        <w:tc>
          <w:tcPr>
            <w:tcW w:w="3680" w:type="dxa"/>
            <w:vAlign w:val="bottom"/>
            <w:gridSpan w:val="3"/>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tcBorders>
              <w:left w:val="single" w:sz="8" w:color="0000FF"/>
            </w:tcBorders>
            <w:gridSpan w:val="7"/>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4. Mine Safety Disclosures.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tcBorders>
              <w:left w:val="single" w:sz="8" w:color="0000FF"/>
            </w:tcBorders>
            <w:gridSpan w:val="7"/>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836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Item 5. Other Information.</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40</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540" w:type="dxa"/>
            <w:vAlign w:val="bottom"/>
            <w:gridSpan w:val="7"/>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520" w:type="dxa"/>
            <w:vAlign w:val="bottom"/>
          </w:tcPr>
          <w:p>
            <w:pPr>
              <w:spacing w:after="0"/>
              <w:rPr>
                <w:sz w:val="21"/>
                <w:szCs w:val="21"/>
                <w:color w:val="auto"/>
              </w:rPr>
            </w:pPr>
          </w:p>
        </w:tc>
        <w:tc>
          <w:tcPr>
            <w:tcW w:w="182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Item 6. Exhibits.</w:t>
            </w:r>
          </w:p>
        </w:tc>
        <w:tc>
          <w:tcPr>
            <w:tcW w:w="6540" w:type="dxa"/>
            <w:vAlign w:val="bottom"/>
            <w:gridSpan w:val="7"/>
          </w:tcPr>
          <w:p>
            <w:pPr>
              <w:spacing w:after="0"/>
              <w:rPr>
                <w:sz w:val="21"/>
                <w:szCs w:val="21"/>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41</w:t>
            </w:r>
          </w:p>
        </w:tc>
      </w:tr>
      <w:tr>
        <w:trPr>
          <w:trHeight w:val="20"/>
        </w:trPr>
        <w:tc>
          <w:tcPr>
            <w:tcW w:w="5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20" w:type="dxa"/>
            <w:vAlign w:val="bottom"/>
            <w:gridSpan w:val="11"/>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251"/>
        </w:trPr>
        <w:tc>
          <w:tcPr>
            <w:tcW w:w="888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0000FF"/>
              </w:rPr>
              <w:t>42</w:t>
            </w:r>
          </w:p>
        </w:tc>
      </w:tr>
      <w:tr>
        <w:trPr>
          <w:trHeight w:val="20"/>
        </w:trPr>
        <w:tc>
          <w:tcPr>
            <w:tcW w:w="5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233680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Statements regarding our future results of operations and financial position, business strategy, plans and objectives of management for future operations, including, among others, statements regarding expected growth, introduction of new products, future capital expenditures, and debt service obligations, are forward-looking statements. In some cases, you can identify forward-looking statements by terms, such as “anticipate,” “believe,” “contemplate,” “continue,” “could,” “estimate,” “evolve,” “expect,” “intend,” “may,” “plan,” “potential,” “predict,” “seek,” “should,” “strategy,” “target,” “will,” or “would,” or the negative of these terms or other similar expressions. Accordingly, we caution you that any such forward-looking statements are not guarantees of future performance and are subject to risks, assumptions, and uncertainties that are difficult to predict.</w:t>
      </w:r>
    </w:p>
    <w:p>
      <w:pPr>
        <w:spacing w:after="0" w:line="7" w:lineRule="exact"/>
        <w:rPr>
          <w:sz w:val="20"/>
          <w:szCs w:val="20"/>
          <w:color w:val="auto"/>
        </w:rPr>
      </w:pPr>
    </w:p>
    <w:p>
      <w:pPr>
        <w:jc w:val="both"/>
        <w:ind w:firstLine="619"/>
        <w:spacing w:after="0" w:line="236" w:lineRule="auto"/>
        <w:rPr>
          <w:sz w:val="20"/>
          <w:szCs w:val="20"/>
          <w:color w:val="auto"/>
        </w:rPr>
      </w:pPr>
      <w:r>
        <w:rPr>
          <w:rFonts w:ascii="Times New Roman" w:cs="Times New Roman" w:eastAsia="Times New Roman" w:hAnsi="Times New Roman"/>
          <w:sz w:val="17"/>
          <w:szCs w:val="17"/>
          <w:color w:val="auto"/>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Although we believe that the expectations reflected in these forward-looking statements are reasonable as of the date made, actual results may prove to be materially different from the results expressed or implied by the forward-looking statements. These forward-looking statements are subject to a number of risks, uncertainties, and assumptions, including, but not limited to risks related to: fluctuations in the pricing and supply of diamonds, other gemstones, and precious metals, particularly responsibly sourced natural and lab-grown diamonds and recycled precious metals such as gold; increases in labor costs for manufacturing such as wage rate increases, as well as inflation, and energy prices; risks related to an overall decline in the health of the economy and other factors impacting consumer spending, such as recessionary or inflationary conditions, governmental instability, war and fears of war, and natural disasters; our ability to cost-effectively turn existing customers into repeat customers or to acquire new customers; our rapid growth in recent years and limited operating experience at our current scale of operations; our ability to manage growth effectively; increased lead times, and supply shortages and supply changes; our expansion plans in the United States ("U.S."); our ability to compete in the fine jewelry retail industry; our ability to maintain and enhance our brand and to engage or expand our base of customers may be impaired and our business, financial condition, and results of operations may suffer; our ability to effectively develop and expand our sales and marketing capabilities and increase our customer base and achieve broader market acceptance of our e-commerce and omnichannel approach to shopping for fine jewelry; our profitability and cash flows may be negatively affected if we are not successful in managing our inventory balances and inventory shrinkage; a decline in sales of Design Your Own rings; our heavy reliance on our information technology systems, as well as those of our third-party vendors and service providers, for our business to effectively operate and to safeguard confidential information and risks related to any significant failure, inadequacy or interruption of these systems, security breaches or loss of data; the impact of environmental, social, and governance matters on our business and reputation; our ability to manage risks related to our e-commerce and omnichannel business; our ability to effectively anticipate and respond to changes in consumer preferences and shopping patterns, and introduce new products and programs that appeal to new or existing customers; our dependence on distributions from Brilliant Earth, LLC, our principal asset, to pay our taxes and expenses, including payments under the Tax Receivable Agreement (as defined herein) to Continuing Equity Owners (as defined herein) in respect to certain tax benefits; risks related to our obligations to make substantial cash payments under the Tax Receivable Agreement and risks related to our organizational structure; and the other risks, uncertainties and factors described in Part I, Item 1A, "Risk Factors" in our Annual Report on Form 10-K for the fiscal year ended December 31, 2023 (the "2023 Form 10-K") filed with the Securities and Exchange Commission (the "SEC") on March 28, 2024. Other sections of this Quarterly Report on Form 10-Q include additional factors that could adversely impact our business and financial performance.</w:t>
      </w:r>
    </w:p>
    <w:p>
      <w:pPr>
        <w:spacing w:after="0" w:line="22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Moreover, we operate in a very competitive and rapidly changing environment and new risks emerge from time to time.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This Quarterly Report on Form 10-Q and the documents that we have filed as exhibits should be read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undertake no obligation to update or revise any forward-looking statements contained in this Quarterly Report on Form 10-Q, whether as a result of any new information, future events or otherwise.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247"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7"/>
          <w:szCs w:val="17"/>
          <w:color w:val="auto"/>
        </w:rPr>
        <w:t>As used in this Quarterly Report on Form 10-Q, unless the context otherwise requires, references to:</w:t>
      </w:r>
    </w:p>
    <w:p>
      <w:pPr>
        <w:spacing w:after="0" w:line="200" w:lineRule="exact"/>
        <w:rPr>
          <w:sz w:val="20"/>
          <w:szCs w:val="20"/>
          <w:color w:val="auto"/>
        </w:rPr>
      </w:pPr>
    </w:p>
    <w:p>
      <w:pPr>
        <w:spacing w:after="0" w:line="288" w:lineRule="exact"/>
        <w:rPr>
          <w:sz w:val="20"/>
          <w:szCs w:val="20"/>
          <w:color w:val="auto"/>
        </w:rPr>
      </w:pPr>
    </w:p>
    <w:p>
      <w:pPr>
        <w:ind w:left="620" w:right="440" w:hanging="307"/>
        <w:spacing w:after="0" w:line="248" w:lineRule="auto"/>
        <w:tabs>
          <w:tab w:leader="none" w:pos="613" w:val="left"/>
        </w:tabs>
        <w:numPr>
          <w:ilvl w:val="0"/>
          <w:numId w:val="3"/>
        </w:numPr>
        <w:rPr>
          <w:rFonts w:ascii="Calibri" w:cs="Calibri" w:eastAsia="Calibri" w:hAnsi="Calibri"/>
          <w:sz w:val="19"/>
          <w:szCs w:val="19"/>
          <w:color w:val="auto"/>
        </w:rPr>
      </w:pPr>
      <w:r>
        <w:rPr>
          <w:rFonts w:ascii="Times New Roman" w:cs="Times New Roman" w:eastAsia="Times New Roman" w:hAnsi="Times New Roman"/>
          <w:sz w:val="17"/>
          <w:szCs w:val="17"/>
          <w:color w:val="auto"/>
        </w:rPr>
        <w:t>"we," "us," "our," the "Company," "Brilliant Earth," and similar references refer to Brilliant Earth Group, Inc., and, unless otherwise stated, all of its subsidiaries, including Brilliant Earth, LLC.</w:t>
      </w:r>
    </w:p>
    <w:p>
      <w:pPr>
        <w:jc w:val="both"/>
        <w:ind w:left="620" w:hanging="307"/>
        <w:spacing w:after="0" w:line="250" w:lineRule="auto"/>
        <w:tabs>
          <w:tab w:leader="none" w:pos="613" w:val="left"/>
        </w:tabs>
        <w:numPr>
          <w:ilvl w:val="0"/>
          <w:numId w:val="3"/>
        </w:numPr>
        <w:rPr>
          <w:rFonts w:ascii="Calibri" w:cs="Calibri" w:eastAsia="Calibri" w:hAnsi="Calibri"/>
          <w:sz w:val="19"/>
          <w:szCs w:val="19"/>
          <w:color w:val="auto"/>
        </w:rPr>
      </w:pPr>
      <w:r>
        <w:rPr>
          <w:rFonts w:ascii="Times New Roman" w:cs="Times New Roman" w:eastAsia="Times New Roman" w:hAnsi="Times New Roman"/>
          <w:sz w:val="17"/>
          <w:szCs w:val="17"/>
          <w:color w:val="auto"/>
        </w:rPr>
        <w:t>"Continuing Equity Owners" refers collectively to holders of LLC Interests (as defined below) and our Class B common stock and Class C common stock, including our Founders (as defined below) and Mainsail (as defined below), who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1" w:lineRule="exact"/>
        <w:rPr>
          <w:rFonts w:ascii="Calibri" w:cs="Calibri" w:eastAsia="Calibri" w:hAnsi="Calibri"/>
          <w:sz w:val="19"/>
          <w:szCs w:val="19"/>
          <w:color w:val="auto"/>
        </w:rPr>
      </w:pPr>
    </w:p>
    <w:p>
      <w:pPr>
        <w:ind w:left="620" w:hanging="307"/>
        <w:spacing w:after="0" w:line="238" w:lineRule="auto"/>
        <w:tabs>
          <w:tab w:leader="none" w:pos="613" w:val="left"/>
        </w:tabs>
        <w:numPr>
          <w:ilvl w:val="0"/>
          <w:numId w:val="3"/>
        </w:numPr>
        <w:rPr>
          <w:rFonts w:ascii="Calibri" w:cs="Calibri" w:eastAsia="Calibri" w:hAnsi="Calibri"/>
          <w:sz w:val="19"/>
          <w:szCs w:val="19"/>
          <w:color w:val="auto"/>
        </w:rPr>
      </w:pPr>
      <w:r>
        <w:rPr>
          <w:rFonts w:ascii="Times New Roman" w:cs="Times New Roman" w:eastAsia="Times New Roman" w:hAnsi="Times New Roman"/>
          <w:sz w:val="17"/>
          <w:szCs w:val="17"/>
          <w:color w:val="auto"/>
        </w:rPr>
        <w:t>"Founders" refers to Beth Gerstein, our Co-Founder and Chief Executive Officer, Eric Grossberg, our Co-Founder and Executive Chairman, and Just Rocks, Inc., a Delaware corporation, which is jointly owned and controlled by our Founders.</w:t>
      </w:r>
    </w:p>
    <w:p>
      <w:pPr>
        <w:spacing w:after="0" w:line="1" w:lineRule="exact"/>
        <w:rPr>
          <w:rFonts w:ascii="Calibri" w:cs="Calibri" w:eastAsia="Calibri" w:hAnsi="Calibri"/>
          <w:sz w:val="19"/>
          <w:szCs w:val="19"/>
          <w:color w:val="auto"/>
        </w:rPr>
      </w:pPr>
    </w:p>
    <w:p>
      <w:pPr>
        <w:ind w:left="620" w:hanging="307"/>
        <w:spacing w:after="0" w:line="246" w:lineRule="auto"/>
        <w:tabs>
          <w:tab w:leader="none" w:pos="613" w:val="left"/>
        </w:tabs>
        <w:numPr>
          <w:ilvl w:val="0"/>
          <w:numId w:val="3"/>
        </w:numPr>
        <w:rPr>
          <w:rFonts w:ascii="Calibri" w:cs="Calibri" w:eastAsia="Calibri" w:hAnsi="Calibri"/>
          <w:sz w:val="19"/>
          <w:szCs w:val="19"/>
          <w:color w:val="auto"/>
        </w:rPr>
      </w:pPr>
      <w:r>
        <w:rPr>
          <w:rFonts w:ascii="Times New Roman" w:cs="Times New Roman" w:eastAsia="Times New Roman" w:hAnsi="Times New Roman"/>
          <w:sz w:val="17"/>
          <w:szCs w:val="17"/>
          <w:color w:val="auto"/>
        </w:rPr>
        <w:t>"LLC Interests" or "LLC Units" refers to the common units of Brilliant Earth, LLC, including those that we purchased with the net proceeds from our initial public offering ("IPO"), which occurred on September 23, 2021.</w:t>
      </w:r>
    </w:p>
    <w:p>
      <w:pPr>
        <w:ind w:left="620" w:hanging="307"/>
        <w:spacing w:after="0" w:line="246" w:lineRule="auto"/>
        <w:tabs>
          <w:tab w:leader="none" w:pos="613" w:val="left"/>
        </w:tabs>
        <w:numPr>
          <w:ilvl w:val="0"/>
          <w:numId w:val="3"/>
        </w:numPr>
        <w:rPr>
          <w:rFonts w:ascii="Calibri" w:cs="Calibri" w:eastAsia="Calibri" w:hAnsi="Calibri"/>
          <w:sz w:val="19"/>
          <w:szCs w:val="19"/>
          <w:color w:val="auto"/>
        </w:rPr>
      </w:pPr>
      <w:r>
        <w:rPr>
          <w:rFonts w:ascii="Times New Roman" w:cs="Times New Roman" w:eastAsia="Times New Roman" w:hAnsi="Times New Roman"/>
          <w:sz w:val="17"/>
          <w:szCs w:val="17"/>
          <w:color w:val="auto"/>
        </w:rPr>
        <w:t>"LLC Agreement" refers to Brilliant Earth, LLC's amended and restated limited liability company agreement, which became effective prior to the consummation of the IPO.</w:t>
      </w:r>
    </w:p>
    <w:p>
      <w:pPr>
        <w:ind w:left="620" w:hanging="307"/>
        <w:spacing w:after="0" w:line="238" w:lineRule="auto"/>
        <w:tabs>
          <w:tab w:leader="none" w:pos="613" w:val="left"/>
        </w:tabs>
        <w:numPr>
          <w:ilvl w:val="0"/>
          <w:numId w:val="3"/>
        </w:numPr>
        <w:rPr>
          <w:rFonts w:ascii="Calibri" w:cs="Calibri" w:eastAsia="Calibri" w:hAnsi="Calibri"/>
          <w:sz w:val="19"/>
          <w:szCs w:val="19"/>
          <w:color w:val="auto"/>
        </w:rPr>
      </w:pPr>
      <w:r>
        <w:rPr>
          <w:rFonts w:ascii="Times New Roman" w:cs="Times New Roman" w:eastAsia="Times New Roman" w:hAnsi="Times New Roman"/>
          <w:sz w:val="17"/>
          <w:szCs w:val="17"/>
          <w:color w:val="auto"/>
        </w:rPr>
        <w:t>"Mainsail" refers to Mainsail Partners III, L.P., our sponsor and a Delaware limited partnership, and certain funds affiliated with Mainsail Partners III, L.P., including Mainsail Incentive Program, LLC, and Mainsail Co-Investors III, L.P.</w:t>
      </w:r>
    </w:p>
    <w:p>
      <w:pPr>
        <w:spacing w:after="0" w:line="1" w:lineRule="exact"/>
        <w:rPr>
          <w:rFonts w:ascii="Calibri" w:cs="Calibri" w:eastAsia="Calibri" w:hAnsi="Calibri"/>
          <w:sz w:val="19"/>
          <w:szCs w:val="19"/>
          <w:color w:val="auto"/>
        </w:rPr>
      </w:pPr>
    </w:p>
    <w:p>
      <w:pPr>
        <w:jc w:val="both"/>
        <w:ind w:left="620" w:hanging="307"/>
        <w:spacing w:after="0" w:line="252" w:lineRule="auto"/>
        <w:tabs>
          <w:tab w:leader="none" w:pos="613" w:val="left"/>
        </w:tabs>
        <w:numPr>
          <w:ilvl w:val="0"/>
          <w:numId w:val="3"/>
        </w:numPr>
        <w:rPr>
          <w:rFonts w:ascii="Calibri" w:cs="Calibri" w:eastAsia="Calibri" w:hAnsi="Calibri"/>
          <w:sz w:val="19"/>
          <w:szCs w:val="19"/>
          <w:color w:val="auto"/>
        </w:rPr>
      </w:pPr>
      <w:r>
        <w:rPr>
          <w:rFonts w:ascii="Times New Roman" w:cs="Times New Roman" w:eastAsia="Times New Roman" w:hAnsi="Times New Roman"/>
          <w:sz w:val="17"/>
          <w:szCs w:val="17"/>
          <w:color w:val="auto"/>
        </w:rPr>
        <w:t>"TRA" refers to the Tax Receivable Agreement with Brilliant Earth, LLC and the Continuing Equity Owners that provides for the payment by Brilliant Earth Group, Inc. to the Continuing Equity Owners of 85% of the amount of tax benefits, if any, that Brilliant Earth Group, Inc. actually realizes (or in some circumstances is deemed to realize) related to certain tax basis adjustments and payments made under the TRA.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Part I - Financial Information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UNAUDITED 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(in thousands except share and per share amounts)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9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7960" w:type="dxa"/>
            <w:vAlign w:val="bottom"/>
          </w:tcPr>
          <w:p>
            <w:pPr>
              <w:spacing w:after="0"/>
              <w:rPr>
                <w:sz w:val="16"/>
                <w:szCs w:val="16"/>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960" w:type="dxa"/>
            <w:vAlign w:val="bottom"/>
            <w:tcBorders>
              <w:bottom w:val="single" w:sz="8" w:color="CCEEFF"/>
            </w:tcBorders>
            <w:shd w:val="clear" w:color="auto" w:fill="CCEEFF"/>
          </w:tcPr>
          <w:p>
            <w:pPr>
              <w:ind w:left="38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60" w:type="dxa"/>
            <w:vAlign w:val="bottom"/>
            <w:tcBorders>
              <w:bottom w:val="single" w:sz="8" w:color="CCEEFF"/>
            </w:tcBorders>
            <w:shd w:val="clear" w:color="auto" w:fill="CCEEFF"/>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152,209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155,809</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Inventories, net</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38,285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37,788</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10,812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11,048</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10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201,520</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204,856</w:t>
            </w: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20,947</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22,047</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9,360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9,745</w:t>
            </w: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 of use assets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37,461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34,248</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3,215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2,687</w:t>
            </w:r>
          </w:p>
        </w:tc>
        <w:tc>
          <w:tcPr>
            <w:tcW w:w="0" w:type="dxa"/>
            <w:vAlign w:val="bottom"/>
          </w:tcPr>
          <w:p>
            <w:pPr>
              <w:spacing w:after="0"/>
              <w:rPr>
                <w:sz w:val="1"/>
                <w:szCs w:val="1"/>
                <w:color w:val="auto"/>
              </w:rPr>
            </w:pPr>
          </w:p>
        </w:tc>
      </w:tr>
      <w:tr>
        <w:trPr>
          <w:trHeight w:val="212"/>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272,503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273,583</w:t>
            </w:r>
          </w:p>
        </w:tc>
        <w:tc>
          <w:tcPr>
            <w:tcW w:w="0" w:type="dxa"/>
            <w:vAlign w:val="bottom"/>
          </w:tcPr>
          <w:p>
            <w:pPr>
              <w:spacing w:after="0"/>
              <w:rPr>
                <w:sz w:val="1"/>
                <w:szCs w:val="1"/>
                <w:color w:val="auto"/>
              </w:rPr>
            </w:pPr>
          </w:p>
        </w:tc>
      </w:tr>
      <w:tr>
        <w:trPr>
          <w:trHeight w:val="37"/>
        </w:trPr>
        <w:tc>
          <w:tcPr>
            <w:tcW w:w="796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7960" w:type="dxa"/>
            <w:vAlign w:val="bottom"/>
          </w:tcPr>
          <w:p>
            <w:pPr>
              <w:ind w:left="296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Accounts payable</w:t>
            </w:r>
          </w:p>
        </w:tc>
        <w:tc>
          <w:tcPr>
            <w:tcW w:w="1060" w:type="dxa"/>
            <w:vAlign w:val="bottom"/>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2,352</w:t>
            </w:r>
          </w:p>
        </w:tc>
        <w:tc>
          <w:tcPr>
            <w:tcW w:w="80" w:type="dxa"/>
            <w:vAlign w:val="bottom"/>
          </w:tcPr>
          <w:p>
            <w:pPr>
              <w:spacing w:after="0"/>
              <w:rPr>
                <w:sz w:val="17"/>
                <w:szCs w:val="17"/>
                <w:color w:val="auto"/>
              </w:rPr>
            </w:pPr>
          </w:p>
        </w:tc>
        <w:tc>
          <w:tcPr>
            <w:tcW w:w="2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4,511</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35,686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43,824</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revenue</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21,320</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19,556</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4,993</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4,875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4,063</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10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69,946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76,947</w:t>
            </w:r>
          </w:p>
        </w:tc>
        <w:tc>
          <w:tcPr>
            <w:tcW w:w="0" w:type="dxa"/>
            <w:vAlign w:val="bottom"/>
          </w:tcPr>
          <w:p>
            <w:pPr>
              <w:spacing w:after="0"/>
              <w:rPr>
                <w:sz w:val="1"/>
                <w:szCs w:val="1"/>
                <w:color w:val="auto"/>
              </w:rPr>
            </w:pPr>
          </w:p>
        </w:tc>
      </w:tr>
      <w:tr>
        <w:trPr>
          <w:trHeight w:val="52"/>
        </w:trPr>
        <w:tc>
          <w:tcPr>
            <w:tcW w:w="79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 net of debt issuance costs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53,165</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55,573</w:t>
            </w: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38,615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35,572</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Payable pursuant to the Tax Receivable Agreement</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7,828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8,035</w:t>
            </w:r>
          </w:p>
        </w:tc>
        <w:tc>
          <w:tcPr>
            <w:tcW w:w="0" w:type="dxa"/>
            <w:vAlign w:val="bottom"/>
          </w:tcPr>
          <w:p>
            <w:pPr>
              <w:spacing w:after="0"/>
              <w:rPr>
                <w:sz w:val="1"/>
                <w:szCs w:val="1"/>
                <w:color w:val="auto"/>
              </w:rPr>
            </w:pPr>
          </w:p>
        </w:tc>
      </w:tr>
      <w:tr>
        <w:trPr>
          <w:trHeight w:val="190"/>
        </w:trPr>
        <w:tc>
          <w:tcPr>
            <w:tcW w:w="79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169,554</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176,127</w:t>
            </w:r>
          </w:p>
        </w:tc>
        <w:tc>
          <w:tcPr>
            <w:tcW w:w="0" w:type="dxa"/>
            <w:vAlign w:val="bottom"/>
          </w:tcPr>
          <w:p>
            <w:pPr>
              <w:spacing w:after="0"/>
              <w:rPr>
                <w:sz w:val="1"/>
                <w:szCs w:val="1"/>
                <w:color w:val="auto"/>
              </w:rPr>
            </w:pPr>
          </w:p>
        </w:tc>
      </w:tr>
      <w:tr>
        <w:trPr>
          <w:trHeight w:val="59"/>
        </w:trPr>
        <w:tc>
          <w:tcPr>
            <w:tcW w:w="7960" w:type="dxa"/>
            <w:vAlign w:val="bottom"/>
            <w:tcBorders>
              <w:bottom w:val="single" w:sz="8" w:color="CCEEFF"/>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9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(Note 10)</w:t>
            </w:r>
          </w:p>
        </w:tc>
        <w:tc>
          <w:tcPr>
            <w:tcW w:w="1060" w:type="dxa"/>
            <w:vAlign w:val="bottom"/>
            <w:tcBorders>
              <w:top w:val="single" w:sz="8" w:color="CCEEFF"/>
            </w:tcBorders>
          </w:tcPr>
          <w:p>
            <w:pPr>
              <w:spacing w:after="0"/>
              <w:rPr>
                <w:sz w:val="17"/>
                <w:szCs w:val="17"/>
                <w:color w:val="auto"/>
              </w:rPr>
            </w:pPr>
          </w:p>
        </w:tc>
        <w:tc>
          <w:tcPr>
            <w:tcW w:w="5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6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Preferred stock, $0.0001 par value, 10,000,000 shares authorized, none issued and outstanding at June 30, 2024 and December 31, 2023,</w:t>
            </w:r>
          </w:p>
        </w:tc>
        <w:tc>
          <w:tcPr>
            <w:tcW w:w="10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10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9"/>
              </w:rPr>
              <w:t>Class A common stock, $0.0001 par value, 1,200,000,000 shares authorized; 13,529,218 shares issued and 13,435,153 shares outstanding at</w:t>
            </w:r>
          </w:p>
        </w:tc>
        <w:tc>
          <w:tcPr>
            <w:tcW w:w="10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180"/>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June 30, 2024 and 12,522,146 shares outstanding at December 31, 2023</w:t>
            </w:r>
          </w:p>
        </w:tc>
        <w:tc>
          <w:tcPr>
            <w:tcW w:w="10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Class B common stock, $0.0001 par value, 150,000,000 shares authorized; 35,778,614 and 35,688,349 shares outstanding at June 30, 2024</w:t>
            </w:r>
          </w:p>
        </w:tc>
        <w:tc>
          <w:tcPr>
            <w:tcW w:w="10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December 31, 2023, respectively</w:t>
            </w:r>
          </w:p>
        </w:tc>
        <w:tc>
          <w:tcPr>
            <w:tcW w:w="1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w w:val="98"/>
              </w:rPr>
              <w:t>Class C common stock, $0.0001 par value, 150,000,000 shares authorized; 49,119,976 shares outstanding at June 30, 2024 and December 31,</w:t>
            </w:r>
          </w:p>
        </w:tc>
        <w:tc>
          <w:tcPr>
            <w:tcW w:w="1060" w:type="dxa"/>
            <w:vAlign w:val="bottom"/>
          </w:tcPr>
          <w:p>
            <w:pPr>
              <w:spacing w:after="0"/>
              <w:rPr>
                <w:sz w:val="17"/>
                <w:szCs w:val="1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0" w:type="dxa"/>
            <w:vAlign w:val="bottom"/>
          </w:tcPr>
          <w:p>
            <w:pPr>
              <w:spacing w:after="0"/>
              <w:rPr>
                <w:sz w:val="1"/>
                <w:szCs w:val="1"/>
                <w:color w:val="auto"/>
              </w:rPr>
            </w:pPr>
          </w:p>
        </w:tc>
      </w:tr>
      <w:tr>
        <w:trPr>
          <w:trHeight w:val="180"/>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2023, respectively</w:t>
            </w:r>
          </w:p>
        </w:tc>
        <w:tc>
          <w:tcPr>
            <w:tcW w:w="106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w w:val="99"/>
              </w:rPr>
              <w:t>Class D common stock, $0.0001 par value, 150,000,000 shares authorized; none issued and outstanding at June 30, 2024 and December 31,</w:t>
            </w:r>
          </w:p>
        </w:tc>
        <w:tc>
          <w:tcPr>
            <w:tcW w:w="1060" w:type="dxa"/>
            <w:vAlign w:val="bottom"/>
            <w:shd w:val="clear" w:color="auto" w:fill="CCEEFF"/>
          </w:tcPr>
          <w:p>
            <w:pPr>
              <w:spacing w:after="0"/>
              <w:rPr>
                <w:sz w:val="17"/>
                <w:szCs w:val="17"/>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2023, respectively</w:t>
            </w:r>
          </w:p>
        </w:tc>
        <w:tc>
          <w:tcPr>
            <w:tcW w:w="10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vMerge w:val="continue"/>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9,744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8,275</w:t>
            </w:r>
          </w:p>
        </w:tc>
        <w:tc>
          <w:tcPr>
            <w:tcW w:w="0" w:type="dxa"/>
            <w:vAlign w:val="bottom"/>
          </w:tcPr>
          <w:p>
            <w:pPr>
              <w:spacing w:after="0"/>
              <w:rPr>
                <w:sz w:val="1"/>
                <w:szCs w:val="1"/>
                <w:color w:val="auto"/>
              </w:rPr>
            </w:pPr>
          </w:p>
        </w:tc>
      </w:tr>
      <w:tr>
        <w:trPr>
          <w:trHeight w:val="22"/>
        </w:trPr>
        <w:tc>
          <w:tcPr>
            <w:tcW w:w="79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Treasury stock, at cost; 94,065 shares and none at June 30, 2024 and December 31, 2023, respectively</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7"/>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Retained earnings</w:t>
            </w:r>
          </w:p>
        </w:tc>
        <w:tc>
          <w:tcPr>
            <w:tcW w:w="10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4,571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4,247</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Stockholders' equity attributable to Brilliant Earth Group, Inc.</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14,066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12,532</w:t>
            </w:r>
          </w:p>
        </w:tc>
        <w:tc>
          <w:tcPr>
            <w:tcW w:w="0" w:type="dxa"/>
            <w:vAlign w:val="bottom"/>
          </w:tcPr>
          <w:p>
            <w:pPr>
              <w:spacing w:after="0"/>
              <w:rPr>
                <w:sz w:val="1"/>
                <w:szCs w:val="1"/>
                <w:color w:val="auto"/>
              </w:rPr>
            </w:pPr>
          </w:p>
        </w:tc>
      </w:tr>
      <w:tr>
        <w:trPr>
          <w:trHeight w:val="190"/>
        </w:trPr>
        <w:tc>
          <w:tcPr>
            <w:tcW w:w="79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Non-controlling interests attributable to Brilliant Earth, LLC</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88,883</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84,924</w:t>
            </w:r>
          </w:p>
        </w:tc>
        <w:tc>
          <w:tcPr>
            <w:tcW w:w="0" w:type="dxa"/>
            <w:vAlign w:val="bottom"/>
          </w:tcPr>
          <w:p>
            <w:pPr>
              <w:spacing w:after="0"/>
              <w:rPr>
                <w:sz w:val="1"/>
                <w:szCs w:val="1"/>
                <w:color w:val="auto"/>
              </w:rPr>
            </w:pPr>
          </w:p>
        </w:tc>
      </w:tr>
      <w:tr>
        <w:trPr>
          <w:trHeight w:val="22"/>
        </w:trPr>
        <w:tc>
          <w:tcPr>
            <w:tcW w:w="79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2"/>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102,949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97,456</w:t>
            </w:r>
          </w:p>
        </w:tc>
        <w:tc>
          <w:tcPr>
            <w:tcW w:w="0" w:type="dxa"/>
            <w:vAlign w:val="bottom"/>
          </w:tcPr>
          <w:p>
            <w:pPr>
              <w:spacing w:after="0"/>
              <w:rPr>
                <w:sz w:val="1"/>
                <w:szCs w:val="1"/>
                <w:color w:val="auto"/>
              </w:rPr>
            </w:pPr>
          </w:p>
        </w:tc>
      </w:tr>
      <w:tr>
        <w:trPr>
          <w:trHeight w:val="212"/>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60" w:type="dxa"/>
            <w:vAlign w:val="bottom"/>
            <w:tcBorders>
              <w:top w:val="single" w:sz="8" w:color="auto"/>
              <w:bottom w:val="single" w:sz="8" w:color="auto"/>
            </w:tcBorders>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272,503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273,583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69215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OPERATIONS</w:t>
      </w:r>
    </w:p>
    <w:p>
      <w:pPr>
        <w:spacing w:after="0" w:line="2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5"/>
          <w:szCs w:val="15"/>
          <w:color w:val="auto"/>
        </w:rPr>
        <w:t>(in thousands except share and per share amounts)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5"/>
          </w:tcPr>
          <w:p>
            <w:pPr>
              <w:ind w:left="34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300" w:type="dxa"/>
            <w:vAlign w:val="bottom"/>
          </w:tcPr>
          <w:p>
            <w:pPr>
              <w:spacing w:after="0"/>
              <w:rPr>
                <w:sz w:val="16"/>
                <w:szCs w:val="16"/>
                <w:color w:val="auto"/>
              </w:rPr>
            </w:pPr>
          </w:p>
        </w:tc>
        <w:tc>
          <w:tcPr>
            <w:tcW w:w="2360" w:type="dxa"/>
            <w:vAlign w:val="bottom"/>
            <w:gridSpan w:val="4"/>
          </w:tcPr>
          <w:p>
            <w:pPr>
              <w:jc w:val="right"/>
              <w:ind w:right="643"/>
              <w:spacing w:after="0"/>
              <w:rPr>
                <w:sz w:val="20"/>
                <w:szCs w:val="20"/>
                <w:color w:val="auto"/>
              </w:rPr>
            </w:pPr>
            <w:r>
              <w:rPr>
                <w:rFonts w:ascii="Times New Roman" w:cs="Times New Roman" w:eastAsia="Times New Roman" w:hAnsi="Times New Roman"/>
                <w:sz w:val="15"/>
                <w:szCs w:val="15"/>
                <w:b w:val="1"/>
                <w:bCs w:val="1"/>
                <w:color w:val="auto"/>
              </w:rPr>
              <w:t>Six Months Ended</w:t>
            </w:r>
          </w:p>
        </w:tc>
      </w:tr>
      <w:tr>
        <w:trPr>
          <w:trHeight w:val="204"/>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920" w:type="dxa"/>
            <w:vAlign w:val="bottom"/>
          </w:tcPr>
          <w:p>
            <w:pPr>
              <w:spacing w:after="0"/>
              <w:rPr>
                <w:sz w:val="17"/>
                <w:szCs w:val="17"/>
                <w:color w:val="auto"/>
              </w:rPr>
            </w:pPr>
          </w:p>
        </w:tc>
      </w:tr>
      <w:tr>
        <w:trPr>
          <w:trHeight w:val="31"/>
        </w:trPr>
        <w:tc>
          <w:tcPr>
            <w:tcW w:w="53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6"/>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ind w:right="40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31"/>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sales</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105,426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110,184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202,763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207,882</w:t>
            </w:r>
          </w:p>
        </w:tc>
      </w:tr>
      <w:tr>
        <w:trPr>
          <w:trHeight w:val="214"/>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Cost of sales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41,349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46,695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80,380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90,717</w:t>
            </w:r>
          </w:p>
        </w:tc>
      </w:tr>
      <w:tr>
        <w:trPr>
          <w:trHeight w:val="31"/>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53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Gross profit</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64,077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63,489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122,383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117,165</w:t>
            </w:r>
          </w:p>
        </w:tc>
      </w:tr>
      <w:tr>
        <w:trPr>
          <w:trHeight w:val="214"/>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expenses: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1"/>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5"/>
        </w:trPr>
        <w:tc>
          <w:tcPr>
            <w:tcW w:w="5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62,129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120,374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115,895</w:t>
            </w:r>
          </w:p>
        </w:tc>
      </w:tr>
      <w:tr>
        <w:trPr>
          <w:trHeight w:val="206"/>
        </w:trPr>
        <w:tc>
          <w:tcPr>
            <w:tcW w:w="5380" w:type="dxa"/>
            <w:vAlign w:val="bottom"/>
          </w:tcPr>
          <w:p>
            <w:pPr>
              <w:ind w:left="640"/>
              <w:spacing w:after="0"/>
              <w:rPr>
                <w:sz w:val="20"/>
                <w:szCs w:val="20"/>
                <w:color w:val="auto"/>
              </w:rPr>
            </w:pPr>
            <w:r>
              <w:rPr>
                <w:rFonts w:ascii="Times New Roman" w:cs="Times New Roman" w:eastAsia="Times New Roman" w:hAnsi="Times New Roman"/>
                <w:sz w:val="15"/>
                <w:szCs w:val="15"/>
                <w:color w:val="auto"/>
              </w:rPr>
              <w:t>Income from operations</w:t>
            </w: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1,132</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1,360</w:t>
            </w: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2,009</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1,270</w:t>
            </w:r>
          </w:p>
        </w:tc>
      </w:tr>
      <w:tr>
        <w:trPr>
          <w:trHeight w:val="31"/>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Interest expense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(1,280)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(2,507)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(2,486)</w:t>
            </w:r>
          </w:p>
        </w:tc>
      </w:tr>
      <w:tr>
        <w:trPr>
          <w:trHeight w:val="214"/>
        </w:trPr>
        <w:tc>
          <w:tcPr>
            <w:tcW w:w="5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Other income, net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1,474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1,192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2,951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2,035</w:t>
            </w:r>
          </w:p>
        </w:tc>
      </w:tr>
      <w:tr>
        <w:trPr>
          <w:trHeight w:val="31"/>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53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Income before tax</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2,453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819</w:t>
            </w:r>
          </w:p>
        </w:tc>
      </w:tr>
      <w:tr>
        <w:trPr>
          <w:trHeight w:val="214"/>
        </w:trPr>
        <w:tc>
          <w:tcPr>
            <w:tcW w:w="5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Income tax benefit (expense)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(24)</w:t>
            </w:r>
          </w:p>
        </w:tc>
      </w:tr>
      <w:tr>
        <w:trPr>
          <w:trHeight w:val="31"/>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53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Net income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1,375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1,235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2,442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795</w:t>
            </w:r>
          </w:p>
        </w:tc>
      </w:tr>
      <w:tr>
        <w:trPr>
          <w:trHeight w:val="214"/>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allocable to non-controlling interest</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1,190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1,087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699</w:t>
            </w:r>
          </w:p>
        </w:tc>
      </w:tr>
      <w:tr>
        <w:trPr>
          <w:trHeight w:val="31"/>
        </w:trPr>
        <w:tc>
          <w:tcPr>
            <w:tcW w:w="5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0"/>
        </w:trPr>
        <w:tc>
          <w:tcPr>
            <w:tcW w:w="538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5"/>
                <w:szCs w:val="15"/>
                <w:color w:val="auto"/>
              </w:rPr>
              <w:t>Net income allocable to Brilliant Earth Group, Inc.</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6"/>
        </w:trPr>
        <w:tc>
          <w:tcPr>
            <w:tcW w:w="5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5"/>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Earnings per share:</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14"/>
        </w:trPr>
        <w:tc>
          <w:tcPr>
            <w:tcW w:w="5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10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100" w:type="dxa"/>
            <w:vAlign w:val="bottom"/>
          </w:tcPr>
          <w:p>
            <w:pPr>
              <w:spacing w:after="0"/>
              <w:rPr>
                <w:sz w:val="18"/>
                <w:szCs w:val="18"/>
                <w:color w:val="auto"/>
              </w:rPr>
            </w:pPr>
          </w:p>
        </w:tc>
        <w:tc>
          <w:tcPr>
            <w:tcW w:w="300" w:type="dxa"/>
            <w:vAlign w:val="bottom"/>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0.03</w:t>
            </w:r>
          </w:p>
        </w:tc>
        <w:tc>
          <w:tcPr>
            <w:tcW w:w="100" w:type="dxa"/>
            <w:vAlign w:val="bottom"/>
          </w:tcPr>
          <w:p>
            <w:pPr>
              <w:spacing w:after="0"/>
              <w:rPr>
                <w:sz w:val="18"/>
                <w:szCs w:val="18"/>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r>
      <w:tr>
        <w:trPr>
          <w:trHeight w:val="31"/>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0.01</w:t>
            </w:r>
          </w:p>
        </w:tc>
      </w:tr>
      <w:tr>
        <w:trPr>
          <w:trHeight w:val="214"/>
        </w:trPr>
        <w:tc>
          <w:tcPr>
            <w:tcW w:w="5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Weighted average shares of common stock outstanding:</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1"/>
        </w:trPr>
        <w:tc>
          <w:tcPr>
            <w:tcW w:w="5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5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Basic</w:t>
            </w: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13,182,880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11,796,639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12,959,447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11,593,416</w:t>
            </w:r>
          </w:p>
        </w:tc>
      </w:tr>
      <w:tr>
        <w:trPr>
          <w:trHeight w:val="214"/>
        </w:trPr>
        <w:tc>
          <w:tcPr>
            <w:tcW w:w="538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Diluted</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98,228,854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96,889,854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98,036,916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96,820,285</w:t>
            </w:r>
          </w:p>
        </w:tc>
      </w:tr>
    </w:tbl>
    <w:p>
      <w:pPr>
        <w:spacing w:after="0" w:line="200" w:lineRule="exact"/>
        <w:rPr>
          <w:sz w:val="20"/>
          <w:szCs w:val="20"/>
          <w:color w:val="auto"/>
        </w:rPr>
      </w:pPr>
    </w:p>
    <w:p>
      <w:pPr>
        <w:spacing w:after="0" w:line="37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00"/>
          </w:cols>
          <w:pgMar w:left="320" w:top="132" w:right="7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CHANGES IN STOCKHOLDERS' EQUITY</w:t>
      </w:r>
    </w:p>
    <w:p>
      <w:pPr>
        <w:spacing w:after="0" w:line="21" w:lineRule="exact"/>
        <w:rPr>
          <w:sz w:val="20"/>
          <w:szCs w:val="20"/>
          <w:color w:val="auto"/>
        </w:rPr>
      </w:pPr>
    </w:p>
    <w:p>
      <w:pPr>
        <w:jc w:val="center"/>
        <w:ind w:right="-979"/>
        <w:spacing w:after="0"/>
        <w:rPr>
          <w:sz w:val="20"/>
          <w:szCs w:val="20"/>
          <w:color w:val="auto"/>
        </w:rPr>
      </w:pPr>
      <w:r>
        <w:rPr>
          <w:rFonts w:ascii="Times New Roman" w:cs="Times New Roman" w:eastAsia="Times New Roman" w:hAnsi="Times New Roman"/>
          <w:sz w:val="15"/>
          <w:szCs w:val="15"/>
          <w:color w:val="auto"/>
        </w:rPr>
        <w:t>(in thousands except share amounts)</w:t>
      </w:r>
    </w:p>
    <w:p>
      <w:pPr>
        <w:spacing w:after="0" w:line="45"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60" w:type="dxa"/>
            <w:vAlign w:val="bottom"/>
            <w:gridSpan w:val="13"/>
          </w:tcPr>
          <w:p>
            <w:pPr>
              <w:ind w:left="60"/>
              <w:spacing w:after="0"/>
              <w:rPr>
                <w:sz w:val="20"/>
                <w:szCs w:val="20"/>
                <w:color w:val="auto"/>
              </w:rPr>
            </w:pPr>
            <w:r>
              <w:rPr>
                <w:rFonts w:ascii="Times New Roman" w:cs="Times New Roman" w:eastAsia="Times New Roman" w:hAnsi="Times New Roman"/>
                <w:sz w:val="12"/>
                <w:szCs w:val="12"/>
                <w:b w:val="1"/>
                <w:bCs w:val="1"/>
                <w:color w:val="auto"/>
              </w:rPr>
              <w:t>Brilliant Earth Group, Inc. Stockholders' Equity</w:t>
            </w: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1260" w:type="dxa"/>
            <w:vAlign w:val="bottom"/>
            <w:tcBorders>
              <w:bottom w:val="single" w:sz="8" w:color="auto"/>
            </w:tcBorders>
            <w:gridSpan w:val="5"/>
          </w:tcPr>
          <w:p>
            <w:pPr>
              <w:spacing w:after="0"/>
              <w:rPr>
                <w:sz w:val="3"/>
                <w:szCs w:val="3"/>
                <w:color w:val="auto"/>
              </w:rPr>
            </w:pPr>
          </w:p>
        </w:tc>
        <w:tc>
          <w:tcPr>
            <w:tcW w:w="1280" w:type="dxa"/>
            <w:vAlign w:val="bottom"/>
            <w:tcBorders>
              <w:bottom w:val="single" w:sz="8" w:color="auto"/>
            </w:tcBorders>
            <w:gridSpan w:val="5"/>
          </w:tcPr>
          <w:p>
            <w:pPr>
              <w:spacing w:after="0"/>
              <w:rPr>
                <w:sz w:val="3"/>
                <w:szCs w:val="3"/>
                <w:color w:val="auto"/>
              </w:rPr>
            </w:pPr>
          </w:p>
        </w:tc>
        <w:tc>
          <w:tcPr>
            <w:tcW w:w="1280" w:type="dxa"/>
            <w:vAlign w:val="bottom"/>
            <w:tcBorders>
              <w:bottom w:val="single" w:sz="8" w:color="auto"/>
            </w:tcBorders>
            <w:gridSpan w:val="5"/>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860" w:type="dxa"/>
            <w:vAlign w:val="bottom"/>
          </w:tcPr>
          <w:p>
            <w:pPr>
              <w:spacing w:after="0"/>
              <w:rPr>
                <w:sz w:val="13"/>
                <w:szCs w:val="13"/>
                <w:color w:val="auto"/>
              </w:rPr>
            </w:pPr>
          </w:p>
        </w:tc>
        <w:tc>
          <w:tcPr>
            <w:tcW w:w="126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Class A Common</w:t>
            </w:r>
          </w:p>
        </w:tc>
        <w:tc>
          <w:tcPr>
            <w:tcW w:w="128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Class B Common</w:t>
            </w:r>
          </w:p>
        </w:tc>
        <w:tc>
          <w:tcPr>
            <w:tcW w:w="128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Class C Common</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900" w:type="dxa"/>
            <w:vAlign w:val="bottom"/>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ind w:left="46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5"/>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8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restart"/>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40"/>
        </w:trPr>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80" w:type="dxa"/>
            <w:vAlign w:val="bottom"/>
          </w:tcPr>
          <w:p>
            <w:pPr>
              <w:spacing w:after="0"/>
              <w:rPr>
                <w:sz w:val="12"/>
                <w:szCs w:val="12"/>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0" w:type="dxa"/>
            <w:vAlign w:val="bottom"/>
          </w:tcPr>
          <w:p>
            <w:pPr>
              <w:spacing w:after="0"/>
              <w:rPr>
                <w:sz w:val="1"/>
                <w:szCs w:val="1"/>
                <w:color w:val="auto"/>
              </w:rPr>
            </w:pPr>
          </w:p>
        </w:tc>
      </w:tr>
      <w:tr>
        <w:trPr>
          <w:trHeight w:val="172"/>
        </w:trPr>
        <w:tc>
          <w:tcPr>
            <w:tcW w:w="8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80" w:type="dxa"/>
            <w:vAlign w:val="bottom"/>
          </w:tcPr>
          <w:p>
            <w:pPr>
              <w:spacing w:after="0"/>
              <w:rPr>
                <w:sz w:val="14"/>
                <w:szCs w:val="14"/>
                <w:color w:val="auto"/>
              </w:rPr>
            </w:pP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Amounts</w:t>
            </w:r>
          </w:p>
        </w:tc>
        <w:tc>
          <w:tcPr>
            <w:tcW w:w="140" w:type="dxa"/>
            <w:vAlign w:val="bottom"/>
          </w:tcPr>
          <w:p>
            <w:pPr>
              <w:spacing w:after="0"/>
              <w:rPr>
                <w:sz w:val="14"/>
                <w:szCs w:val="14"/>
                <w:color w:val="auto"/>
              </w:rPr>
            </w:pPr>
          </w:p>
        </w:tc>
        <w:tc>
          <w:tcPr>
            <w:tcW w:w="600" w:type="dxa"/>
            <w:vAlign w:val="bottom"/>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8"/>
        </w:trPr>
        <w:tc>
          <w:tcPr>
            <w:tcW w:w="8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January 1, 2024</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12,522,146</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35,688,349</w:t>
            </w: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8,275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4,247</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12,532</w:t>
            </w: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84,808,325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84,924</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97,456</w:t>
            </w:r>
          </w:p>
        </w:tc>
        <w:tc>
          <w:tcPr>
            <w:tcW w:w="0" w:type="dxa"/>
            <w:vAlign w:val="bottom"/>
          </w:tcPr>
          <w:p>
            <w:pPr>
              <w:spacing w:after="0"/>
              <w:rPr>
                <w:sz w:val="1"/>
                <w:szCs w:val="1"/>
                <w:color w:val="auto"/>
              </w:rPr>
            </w:pPr>
          </w:p>
        </w:tc>
      </w:tr>
      <w:tr>
        <w:trPr>
          <w:trHeight w:val="14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Tax distributions to</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(988)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(988)</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members</w:t>
            </w: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Conversion of</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Class B to Class A</w:t>
            </w:r>
          </w:p>
        </w:tc>
        <w:tc>
          <w:tcPr>
            <w:tcW w:w="6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16,260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(16,260)</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(16,260)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w:t>
            </w: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RSU vesting during</w:t>
            </w:r>
          </w:p>
        </w:tc>
        <w:tc>
          <w:tcPr>
            <w:tcW w:w="620" w:type="dxa"/>
            <w:vAlign w:val="bottom"/>
            <w:vMerge w:val="restart"/>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506,264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period</w:t>
            </w: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Repurchases of</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(32,371)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0"/>
                <w:szCs w:val="10"/>
                <w:b w:val="1"/>
                <w:bCs w:val="1"/>
                <w:color w:val="auto"/>
              </w:rPr>
              <w:t>(100)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(100)</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(100)</w:t>
            </w:r>
          </w:p>
        </w:tc>
        <w:tc>
          <w:tcPr>
            <w:tcW w:w="0" w:type="dxa"/>
            <w:vAlign w:val="bottom"/>
          </w:tcPr>
          <w:p>
            <w:pPr>
              <w:spacing w:after="0"/>
              <w:rPr>
                <w:sz w:val="1"/>
                <w:szCs w:val="1"/>
                <w:color w:val="auto"/>
              </w:rPr>
            </w:pPr>
          </w:p>
        </w:tc>
      </w:tr>
      <w:tr>
        <w:trPr>
          <w:trHeight w:val="146"/>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common stock</w:t>
            </w: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Class B 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issued upon vesting</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vMerge w:val="restart"/>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84,187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84,187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of LLC units</w:t>
            </w: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deferred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tax asset and TRA</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liability related to</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redemption of LLC</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(164)</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(164)</w:t>
            </w:r>
          </w:p>
        </w:tc>
        <w:tc>
          <w:tcPr>
            <w:tcW w:w="0" w:type="dxa"/>
            <w:vAlign w:val="bottom"/>
          </w:tcPr>
          <w:p>
            <w:pPr>
              <w:spacing w:after="0"/>
              <w:rPr>
                <w:sz w:val="1"/>
                <w:szCs w:val="1"/>
                <w:color w:val="auto"/>
              </w:rPr>
            </w:pPr>
          </w:p>
        </w:tc>
      </w:tr>
      <w:tr>
        <w:trPr>
          <w:trHeight w:val="146"/>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Units</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Equity-based</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2,541</w:t>
            </w: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2,587</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139</w:t>
            </w: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139</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928</w:t>
            </w: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1,067</w:t>
            </w:r>
          </w:p>
        </w:tc>
        <w:tc>
          <w:tcPr>
            <w:tcW w:w="0" w:type="dxa"/>
            <w:vAlign w:val="bottom"/>
          </w:tcPr>
          <w:p>
            <w:pPr>
              <w:spacing w:after="0"/>
              <w:rPr>
                <w:sz w:val="1"/>
                <w:szCs w:val="1"/>
                <w:color w:val="auto"/>
              </w:rPr>
            </w:pPr>
          </w:p>
        </w:tc>
      </w:tr>
      <w:tr>
        <w:trPr>
          <w:trHeight w:val="14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Rebalancing of</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controlling and</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non-controlling</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(1,674)</w:t>
            </w: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5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1,674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interest</w:t>
            </w: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1"/>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w:t>
            </w: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March 31, 2024</w:t>
            </w:r>
          </w:p>
        </w:tc>
        <w:tc>
          <w:tcPr>
            <w:tcW w:w="6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13,012,299</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35,756,276</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8,978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0"/>
                <w:szCs w:val="10"/>
                <w:b w:val="1"/>
                <w:bCs w:val="1"/>
                <w:color w:val="auto"/>
              </w:rPr>
              <w:t>(100)</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4,386</w:t>
            </w:r>
          </w:p>
        </w:tc>
        <w:tc>
          <w:tcPr>
            <w:tcW w:w="1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13,274</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84,876,252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86,584</w:t>
            </w: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99,858</w:t>
            </w:r>
          </w:p>
        </w:tc>
        <w:tc>
          <w:tcPr>
            <w:tcW w:w="0" w:type="dxa"/>
            <w:vAlign w:val="bottom"/>
          </w:tcPr>
          <w:p>
            <w:pPr>
              <w:spacing w:after="0"/>
              <w:rPr>
                <w:sz w:val="1"/>
                <w:szCs w:val="1"/>
                <w:color w:val="auto"/>
              </w:rPr>
            </w:pPr>
          </w:p>
        </w:tc>
      </w:tr>
      <w:tr>
        <w:trPr>
          <w:trHeight w:val="12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Tax distributions to</w:t>
            </w:r>
          </w:p>
        </w:tc>
        <w:tc>
          <w:tcPr>
            <w:tcW w:w="62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16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640" w:type="dxa"/>
            <w:vAlign w:val="bottom"/>
            <w:tcBorders>
              <w:top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vMerge w:val="restart"/>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(539)</w:t>
            </w: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(539)</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members</w:t>
            </w:r>
          </w:p>
        </w:tc>
        <w:tc>
          <w:tcPr>
            <w:tcW w:w="6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RSU vesting during</w:t>
            </w:r>
          </w:p>
        </w:tc>
        <w:tc>
          <w:tcPr>
            <w:tcW w:w="62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484,548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period</w:t>
            </w: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Repurchases of</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(61,694)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5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(159)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(159)</w:t>
            </w:r>
          </w:p>
        </w:tc>
        <w:tc>
          <w:tcPr>
            <w:tcW w:w="8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(159)</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common stock</w:t>
            </w: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Class B shares</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issued upon vesting</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22,338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 —</w:t>
            </w:r>
          </w:p>
        </w:tc>
        <w:tc>
          <w:tcPr>
            <w:tcW w:w="1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22,338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of LLC units</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Change in deferred</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tax asset and TRA</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liability related to</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redemption of LLC</w:t>
            </w: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4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w:t>
            </w:r>
          </w:p>
        </w:tc>
        <w:tc>
          <w:tcPr>
            <w:tcW w:w="8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w:t>
            </w:r>
          </w:p>
        </w:tc>
        <w:tc>
          <w:tcPr>
            <w:tcW w:w="0" w:type="dxa"/>
            <w:vAlign w:val="bottom"/>
          </w:tcPr>
          <w:p>
            <w:pPr>
              <w:spacing w:after="0"/>
              <w:rPr>
                <w:sz w:val="1"/>
                <w:szCs w:val="1"/>
                <w:color w:val="auto"/>
              </w:rPr>
            </w:pPr>
          </w:p>
        </w:tc>
      </w:tr>
      <w:tr>
        <w:trPr>
          <w:trHeight w:val="132"/>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Units</w:t>
            </w: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Equity-based</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2,398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2,398</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2,425</w:t>
            </w:r>
          </w:p>
        </w:tc>
        <w:tc>
          <w:tcPr>
            <w:tcW w:w="0" w:type="dxa"/>
            <w:vAlign w:val="bottom"/>
          </w:tcPr>
          <w:p>
            <w:pPr>
              <w:spacing w:after="0"/>
              <w:rPr>
                <w:sz w:val="1"/>
                <w:szCs w:val="1"/>
                <w:color w:val="auto"/>
              </w:rPr>
            </w:pPr>
          </w:p>
        </w:tc>
      </w:tr>
      <w:tr>
        <w:trPr>
          <w:trHeight w:val="146"/>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60" w:type="dxa"/>
            <w:vAlign w:val="bottom"/>
          </w:tcPr>
          <w:p>
            <w:pPr>
              <w:spacing w:after="0"/>
              <w:rPr>
                <w:sz w:val="20"/>
                <w:szCs w:val="20"/>
                <w:color w:val="auto"/>
              </w:rPr>
            </w:pPr>
            <w:r>
              <w:rPr>
                <w:rFonts w:ascii="Times New Roman" w:cs="Times New Roman" w:eastAsia="Times New Roman" w:hAnsi="Times New Roman"/>
                <w:sz w:val="10"/>
                <w:szCs w:val="10"/>
                <w:color w:val="auto"/>
              </w:rPr>
              <w:t>Net income</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620" w:type="dxa"/>
            <w:vAlign w:val="bottom"/>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185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185</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1,375</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Rebalancing of</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controlling and</w:t>
            </w: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non-controlling</w:t>
            </w: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(1,621)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w:t>
            </w:r>
          </w:p>
        </w:tc>
        <w:tc>
          <w:tcPr>
            <w:tcW w:w="14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(1,621)</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1,621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6"/>
        </w:trPr>
        <w:tc>
          <w:tcPr>
            <w:tcW w:w="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w:t>
            </w: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June 30,</w:t>
            </w: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8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2024</w:t>
            </w: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13,435,153</w:t>
            </w:r>
          </w:p>
        </w:tc>
        <w:tc>
          <w:tcPr>
            <w:tcW w:w="80" w:type="dxa"/>
            <w:vAlign w:val="bottom"/>
          </w:tcPr>
          <w:p>
            <w:pPr>
              <w:spacing w:after="0"/>
              <w:rPr>
                <w:sz w:val="11"/>
                <w:szCs w:val="1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1"/>
                <w:szCs w:val="11"/>
                <w:color w:val="auto"/>
              </w:rPr>
            </w:pPr>
          </w:p>
        </w:tc>
        <w:tc>
          <w:tcPr>
            <w:tcW w:w="640" w:type="dxa"/>
            <w:vAlign w:val="bottom"/>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35,778,614</w:t>
            </w:r>
          </w:p>
        </w:tc>
        <w:tc>
          <w:tcPr>
            <w:tcW w:w="6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9,744</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Pr>
          <w:p>
            <w:pPr>
              <w:ind w:left="300"/>
              <w:spacing w:after="0"/>
              <w:rPr>
                <w:sz w:val="20"/>
                <w:szCs w:val="20"/>
                <w:color w:val="auto"/>
              </w:rPr>
            </w:pPr>
            <w:r>
              <w:rPr>
                <w:rFonts w:ascii="Times New Roman" w:cs="Times New Roman" w:eastAsia="Times New Roman" w:hAnsi="Times New Roman"/>
                <w:sz w:val="10"/>
                <w:szCs w:val="10"/>
                <w:b w:val="1"/>
                <w:bCs w:val="1"/>
                <w:color w:val="auto"/>
              </w:rPr>
              <w:t>(259)</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4,571</w:t>
            </w:r>
          </w:p>
        </w:tc>
        <w:tc>
          <w:tcPr>
            <w:tcW w:w="16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14,066</w:t>
            </w:r>
          </w:p>
        </w:tc>
        <w:tc>
          <w:tcPr>
            <w:tcW w:w="80" w:type="dxa"/>
            <w:vAlign w:val="bottom"/>
          </w:tcPr>
          <w:p>
            <w:pPr>
              <w:spacing w:after="0"/>
              <w:rPr>
                <w:sz w:val="11"/>
                <w:szCs w:val="11"/>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84,898,590</w:t>
            </w:r>
          </w:p>
        </w:tc>
        <w:tc>
          <w:tcPr>
            <w:tcW w:w="8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56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88,883</w:t>
            </w:r>
          </w:p>
        </w:tc>
        <w:tc>
          <w:tcPr>
            <w:tcW w:w="80" w:type="dxa"/>
            <w:vAlign w:val="bottom"/>
          </w:tcPr>
          <w:p>
            <w:pPr>
              <w:spacing w:after="0"/>
              <w:rPr>
                <w:sz w:val="11"/>
                <w:szCs w:val="11"/>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102,949</w:t>
            </w:r>
          </w:p>
        </w:tc>
        <w:tc>
          <w:tcPr>
            <w:tcW w:w="0" w:type="dxa"/>
            <w:vAlign w:val="bottom"/>
          </w:tcPr>
          <w:p>
            <w:pPr>
              <w:spacing w:after="0"/>
              <w:rPr>
                <w:sz w:val="1"/>
                <w:szCs w:val="1"/>
                <w:color w:val="auto"/>
              </w:rPr>
            </w:pPr>
          </w:p>
        </w:tc>
      </w:tr>
      <w:tr>
        <w:trPr>
          <w:trHeight w:val="34"/>
        </w:trPr>
        <w:tc>
          <w:tcPr>
            <w:tcW w:w="8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ectPr>
          <w:pgSz w:w="11900" w:h="16838" w:orient="portrait"/>
          <w:cols w:equalWidth="0" w:num="1">
            <w:col w:w="10260"/>
          </w:cols>
          <w:pgMar w:left="320" w:top="132"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60"/>
          </w:cols>
          <w:pgMar w:left="320" w:top="132" w:right="131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CHANGES IN STOCKHOLDERS' EQUITY</w:t>
      </w:r>
    </w:p>
    <w:p>
      <w:pPr>
        <w:spacing w:after="0" w:line="21"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5"/>
          <w:szCs w:val="15"/>
          <w:color w:val="auto"/>
        </w:rPr>
        <w:t>(in thousands except share amounts)</w:t>
      </w:r>
    </w:p>
    <w:p>
      <w:pPr>
        <w:spacing w:after="0" w:line="290" w:lineRule="exact"/>
        <w:rPr>
          <w:sz w:val="20"/>
          <w:szCs w:val="20"/>
          <w:color w:val="auto"/>
        </w:rPr>
      </w:pPr>
    </w:p>
    <w:tbl>
      <w:tblPr>
        <w:tblLayout w:type="fixed"/>
        <w:tblInd w:w="320" w:type="dxa"/>
        <w:tblCellMar>
          <w:top w:w="0" w:type="dxa"/>
          <w:left w:w="0" w:type="dxa"/>
          <w:bottom w:w="0" w:type="dxa"/>
          <w:right w:w="0" w:type="dxa"/>
        </w:tblCellMar>
      </w:tblPr>
      <w:tr>
        <w:trPr>
          <w:trHeight w:val="159"/>
        </w:trPr>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3"/>
          </w:tcPr>
          <w:p>
            <w:pPr>
              <w:ind w:left="600"/>
              <w:spacing w:after="0"/>
              <w:rPr>
                <w:sz w:val="20"/>
                <w:szCs w:val="20"/>
                <w:color w:val="auto"/>
              </w:rPr>
            </w:pPr>
            <w:r>
              <w:rPr>
                <w:rFonts w:ascii="Times New Roman" w:cs="Times New Roman" w:eastAsia="Times New Roman" w:hAnsi="Times New Roman"/>
                <w:sz w:val="12"/>
                <w:szCs w:val="12"/>
                <w:b w:val="1"/>
                <w:bCs w:val="1"/>
                <w:color w:val="auto"/>
              </w:rPr>
              <w:t>Brilliant Earth Group, Inc. Stockholders' Equity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138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1360" w:type="dxa"/>
            <w:vAlign w:val="bottom"/>
            <w:tcBorders>
              <w:bottom w:val="single" w:sz="8" w:color="auto"/>
            </w:tcBorders>
            <w:gridSpan w:val="5"/>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80" w:type="dxa"/>
            <w:vAlign w:val="bottom"/>
            <w:gridSpan w:val="5"/>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040" w:type="dxa"/>
            <w:vAlign w:val="bottom"/>
          </w:tcPr>
          <w:p>
            <w:pPr>
              <w:spacing w:after="0"/>
              <w:rPr>
                <w:sz w:val="13"/>
                <w:szCs w:val="13"/>
                <w:color w:val="auto"/>
              </w:rPr>
            </w:pP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Class A Common Stock</w:t>
            </w: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Class B Common Stock</w:t>
            </w:r>
          </w:p>
        </w:tc>
        <w:tc>
          <w:tcPr>
            <w:tcW w:w="136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Class C Common Stock</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Non-Controlling Interest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104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Additional</w:t>
            </w: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restart"/>
          </w:tcPr>
          <w:p>
            <w:pPr>
              <w:jc w:val="right"/>
              <w:ind w:right="18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8"/>
        </w:trPr>
        <w:tc>
          <w:tcPr>
            <w:tcW w:w="10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8"/>
              </w:rPr>
              <w:t>Paid-In</w:t>
            </w:r>
          </w:p>
        </w:tc>
        <w:tc>
          <w:tcPr>
            <w:tcW w:w="10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w w:val="99"/>
              </w:rPr>
              <w:t>Stockholders'</w:t>
            </w: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Pr>
          <w:p>
            <w:pPr>
              <w:spacing w:after="0"/>
              <w:rPr>
                <w:sz w:val="13"/>
                <w:szCs w:val="13"/>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100" w:type="dxa"/>
            <w:vAlign w:val="bottom"/>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Amounts</w:t>
            </w:r>
          </w:p>
        </w:tc>
        <w:tc>
          <w:tcPr>
            <w:tcW w:w="120" w:type="dxa"/>
            <w:vAlign w:val="bottom"/>
          </w:tcPr>
          <w:p>
            <w:pPr>
              <w:spacing w:after="0"/>
              <w:rPr>
                <w:sz w:val="13"/>
                <w:szCs w:val="13"/>
                <w:color w:val="auto"/>
              </w:rPr>
            </w:pPr>
          </w:p>
        </w:tc>
        <w:tc>
          <w:tcPr>
            <w:tcW w:w="620" w:type="dxa"/>
            <w:vAlign w:val="bottom"/>
          </w:tcPr>
          <w:p>
            <w:pPr>
              <w:jc w:val="right"/>
              <w:ind w:right="14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41"/>
        </w:trPr>
        <w:tc>
          <w:tcPr>
            <w:tcW w:w="10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1"/>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January 1,</w:t>
            </w: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2023</w:t>
            </w: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11,246,694</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35,482,534</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7,256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3,663</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10,929</w:t>
            </w:r>
          </w:p>
        </w:tc>
        <w:tc>
          <w:tcPr>
            <w:tcW w:w="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84,602,510</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82,212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93,141</w:t>
            </w:r>
          </w:p>
        </w:tc>
        <w:tc>
          <w:tcPr>
            <w:tcW w:w="0" w:type="dxa"/>
            <w:vAlign w:val="bottom"/>
          </w:tcPr>
          <w:p>
            <w:pPr>
              <w:spacing w:after="0"/>
              <w:rPr>
                <w:sz w:val="1"/>
                <w:szCs w:val="1"/>
                <w:color w:val="auto"/>
              </w:rPr>
            </w:pPr>
          </w:p>
        </w:tc>
      </w:tr>
      <w:tr>
        <w:trPr>
          <w:trHeight w:val="143"/>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Tax distributions to</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(1,468)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(1,468)</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members</w:t>
            </w: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Conversion of Class B</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to Class A common</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71,886</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(71,886)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(71,886)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w:t>
            </w: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RSU vesting during</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252,941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period</w:t>
            </w: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Class B shares issued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upon vesting of LLC</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115,437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115,437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units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Change in deferred tax</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asset and TRA liability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related to redemption of</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(65)</w:t>
            </w:r>
          </w:p>
        </w:tc>
        <w:tc>
          <w:tcPr>
            <w:tcW w:w="8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(65)</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LLC Units</w:t>
            </w: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Equity-based</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2,204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2,204</w:t>
            </w:r>
          </w:p>
        </w:tc>
        <w:tc>
          <w:tcPr>
            <w:tcW w:w="8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2,258</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Net loss</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(52)</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(388)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(440)</w:t>
            </w: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Rebalancing of</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controlling and non-</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(1,780)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(1,780)</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1,780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66"/>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controlling interest</w:t>
            </w: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Balance, March 31,</w:t>
            </w:r>
          </w:p>
        </w:tc>
        <w:tc>
          <w:tcPr>
            <w:tcW w:w="7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2023</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11,571,521</w:t>
            </w:r>
          </w:p>
        </w:tc>
        <w:tc>
          <w:tcPr>
            <w:tcW w:w="8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35,526,085</w:t>
            </w:r>
          </w:p>
        </w:tc>
        <w:tc>
          <w:tcPr>
            <w:tcW w:w="8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Pr>
          <w:p>
            <w:pPr>
              <w:spacing w:after="0"/>
              <w:rPr>
                <w:sz w:val="11"/>
                <w:szCs w:val="11"/>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60" w:type="dxa"/>
            <w:vAlign w:val="bottom"/>
          </w:tcPr>
          <w:p>
            <w:pPr>
              <w:spacing w:after="0"/>
              <w:rPr>
                <w:sz w:val="11"/>
                <w:szCs w:val="1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7,615</w:t>
            </w:r>
          </w:p>
        </w:tc>
        <w:tc>
          <w:tcPr>
            <w:tcW w:w="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3,611</w:t>
            </w:r>
          </w:p>
        </w:tc>
        <w:tc>
          <w:tcPr>
            <w:tcW w:w="8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11,236</w:t>
            </w:r>
          </w:p>
        </w:tc>
        <w:tc>
          <w:tcPr>
            <w:tcW w:w="8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84,646,061</w:t>
            </w: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82,190</w:t>
            </w:r>
          </w:p>
        </w:tc>
        <w:tc>
          <w:tcPr>
            <w:tcW w:w="8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93,426</w:t>
            </w:r>
          </w:p>
        </w:tc>
        <w:tc>
          <w:tcPr>
            <w:tcW w:w="0" w:type="dxa"/>
            <w:vAlign w:val="bottom"/>
          </w:tcPr>
          <w:p>
            <w:pPr>
              <w:spacing w:after="0"/>
              <w:rPr>
                <w:sz w:val="1"/>
                <w:szCs w:val="1"/>
                <w:color w:val="auto"/>
              </w:rPr>
            </w:pPr>
          </w:p>
        </w:tc>
      </w:tr>
      <w:tr>
        <w:trPr>
          <w:trHeight w:val="34"/>
        </w:trPr>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Tax distributions to</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(3,660)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(3,660)</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members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Conversion of Class B</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to Class A common</w:t>
            </w:r>
          </w:p>
        </w:tc>
        <w:tc>
          <w:tcPr>
            <w:tcW w:w="7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54,600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(54,600)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(54,600)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stock</w:t>
            </w: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RSU vesting during</w:t>
            </w:r>
          </w:p>
        </w:tc>
        <w:tc>
          <w:tcPr>
            <w:tcW w:w="7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411,444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period</w:t>
            </w:r>
          </w:p>
        </w:tc>
        <w:tc>
          <w:tcPr>
            <w:tcW w:w="7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Class B shares issued</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upon vesting of LLC</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112,115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112,115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units</w:t>
            </w: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Change in deferred tax</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asset and TRA liability</w:t>
            </w: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related to redemption of</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shd w:val="clear" w:color="auto" w:fill="CCEEFF"/>
          </w:tcPr>
          <w:p>
            <w:pPr>
              <w:spacing w:after="0"/>
              <w:rPr>
                <w:sz w:val="11"/>
                <w:szCs w:val="11"/>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shd w:val="clear" w:color="auto" w:fill="CCEEFF"/>
          </w:tcPr>
          <w:p>
            <w:pPr>
              <w:spacing w:after="0"/>
              <w:rPr>
                <w:sz w:val="11"/>
                <w:szCs w:val="11"/>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6</w:t>
            </w:r>
          </w:p>
        </w:tc>
        <w:tc>
          <w:tcPr>
            <w:tcW w:w="8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6</w:t>
            </w:r>
          </w:p>
        </w:tc>
        <w:tc>
          <w:tcPr>
            <w:tcW w:w="0" w:type="dxa"/>
            <w:vAlign w:val="bottom"/>
          </w:tcPr>
          <w:p>
            <w:pPr>
              <w:spacing w:after="0"/>
              <w:rPr>
                <w:sz w:val="1"/>
                <w:szCs w:val="1"/>
                <w:color w:val="auto"/>
              </w:rPr>
            </w:pPr>
          </w:p>
        </w:tc>
      </w:tr>
      <w:tr>
        <w:trPr>
          <w:trHeight w:val="146"/>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LLC Units</w:t>
            </w:r>
          </w:p>
        </w:tc>
        <w:tc>
          <w:tcPr>
            <w:tcW w:w="800" w:type="dxa"/>
            <w:vAlign w:val="bottom"/>
            <w:tcBorders>
              <w:bottom w:val="single" w:sz="8" w:color="CCEEFF"/>
            </w:tcBorders>
            <w:gridSpan w:val="2"/>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gridSpan w:val="2"/>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gridSpan w:val="2"/>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Equity-based</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2"/>
                <w:szCs w:val="12"/>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2"/>
                <w:szCs w:val="12"/>
                <w:color w:val="auto"/>
              </w:rPr>
            </w:pPr>
          </w:p>
        </w:tc>
        <w:tc>
          <w:tcPr>
            <w:tcW w:w="660" w:type="dxa"/>
            <w:vAlign w:val="bottom"/>
            <w:vMerge w:val="restart"/>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2,574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2,574</w:t>
            </w:r>
          </w:p>
        </w:tc>
        <w:tc>
          <w:tcPr>
            <w:tcW w:w="80" w:type="dxa"/>
            <w:vAlign w:val="bottom"/>
          </w:tcPr>
          <w:p>
            <w:pPr>
              <w:spacing w:after="0"/>
              <w:rPr>
                <w:sz w:val="12"/>
                <w:szCs w:val="12"/>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2,627</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compensation</w:t>
            </w: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148</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148</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1,087</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1,235</w:t>
            </w:r>
          </w:p>
        </w:tc>
        <w:tc>
          <w:tcPr>
            <w:tcW w:w="0" w:type="dxa"/>
            <w:vAlign w:val="bottom"/>
          </w:tcPr>
          <w:p>
            <w:pPr>
              <w:spacing w:after="0"/>
              <w:rPr>
                <w:sz w:val="1"/>
                <w:szCs w:val="1"/>
                <w:color w:val="auto"/>
              </w:rPr>
            </w:pPr>
          </w:p>
        </w:tc>
      </w:tr>
      <w:tr>
        <w:trPr>
          <w:trHeight w:val="143"/>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Rebalancing of</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controlling and non-</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1"/>
                <w:szCs w:val="11"/>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Pr>
          <w:p>
            <w:pPr>
              <w:spacing w:after="0"/>
              <w:rPr>
                <w:sz w:val="11"/>
                <w:szCs w:val="11"/>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(2,313)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(2,313)</w:t>
            </w:r>
          </w:p>
        </w:tc>
        <w:tc>
          <w:tcPr>
            <w:tcW w:w="80" w:type="dxa"/>
            <w:vAlign w:val="bottom"/>
          </w:tcPr>
          <w:p>
            <w:pPr>
              <w:spacing w:after="0"/>
              <w:rPr>
                <w:sz w:val="11"/>
                <w:szCs w:val="11"/>
                <w:color w:val="auto"/>
              </w:rPr>
            </w:pP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w:t>
            </w:r>
          </w:p>
        </w:tc>
        <w:tc>
          <w:tcPr>
            <w:tcW w:w="10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2,313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2"/>
        </w:trPr>
        <w:tc>
          <w:tcPr>
            <w:tcW w:w="1040" w:type="dxa"/>
            <w:vAlign w:val="bottom"/>
          </w:tcPr>
          <w:p>
            <w:pPr>
              <w:spacing w:after="0"/>
              <w:rPr>
                <w:sz w:val="20"/>
                <w:szCs w:val="20"/>
                <w:color w:val="auto"/>
              </w:rPr>
            </w:pPr>
            <w:r>
              <w:rPr>
                <w:rFonts w:ascii="Times New Roman" w:cs="Times New Roman" w:eastAsia="Times New Roman" w:hAnsi="Times New Roman"/>
                <w:sz w:val="10"/>
                <w:szCs w:val="10"/>
                <w:color w:val="auto"/>
              </w:rPr>
              <w:t>controlling interest</w:t>
            </w:r>
          </w:p>
        </w:tc>
        <w:tc>
          <w:tcPr>
            <w:tcW w:w="8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10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1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June 30, 2023</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12,037,565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35,583,600</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4</w:t>
            </w: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49,119,976</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5</w:t>
            </w: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0"/>
                <w:szCs w:val="10"/>
                <w:b w:val="1"/>
                <w:bCs w:val="1"/>
                <w:color w:val="auto"/>
              </w:rPr>
              <w:t>7,882</w:t>
            </w: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3,759</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11,651</w:t>
            </w:r>
          </w:p>
        </w:tc>
        <w:tc>
          <w:tcPr>
            <w:tcW w:w="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84,703,576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81,983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93,634</w:t>
            </w:r>
          </w:p>
        </w:tc>
        <w:tc>
          <w:tcPr>
            <w:tcW w:w="0" w:type="dxa"/>
            <w:vAlign w:val="bottom"/>
          </w:tcPr>
          <w:p>
            <w:pPr>
              <w:spacing w:after="0"/>
              <w:rPr>
                <w:sz w:val="1"/>
                <w:szCs w:val="1"/>
                <w:color w:val="auto"/>
              </w:rPr>
            </w:pPr>
          </w:p>
        </w:tc>
      </w:tr>
      <w:tr>
        <w:trPr>
          <w:trHeight w:val="20"/>
        </w:trPr>
        <w:tc>
          <w:tcPr>
            <w:tcW w:w="10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5"/>
          <w:szCs w:val="15"/>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200"/>
          </w:cols>
          <w:pgMar w:left="320" w:top="132" w:right="1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Brilliant Earth Group,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b w:val="1"/>
          <w:bCs w:val="1"/>
          <w:color w:val="auto"/>
        </w:rPr>
        <w:t>UNAUDITED CONDENSED CONSOLIDATED STATEMENTS OF CASH FLOWS</w:t>
      </w:r>
    </w:p>
    <w:p>
      <w:pPr>
        <w:spacing w:after="0" w:line="2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5"/>
          <w:szCs w:val="15"/>
          <w:color w:val="auto"/>
        </w:rPr>
        <w:t>(in thousands)</w:t>
      </w:r>
    </w:p>
    <w:p>
      <w:pPr>
        <w:spacing w:after="0" w:line="62"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Six Months Ended</w:t>
      </w:r>
    </w:p>
    <w:p>
      <w:pPr>
        <w:spacing w:after="0" w:line="31"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5"/>
          <w:szCs w:val="15"/>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33020</wp:posOffset>
            </wp:positionV>
            <wp:extent cx="2169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916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Pr>
          <w:p>
            <w:pPr>
              <w:spacing w:after="0"/>
              <w:rPr>
                <w:sz w:val="17"/>
                <w:szCs w:val="17"/>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11"/>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31"/>
        </w:trPr>
        <w:tc>
          <w:tcPr>
            <w:tcW w:w="7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2,442</w:t>
            </w:r>
          </w:p>
        </w:tc>
        <w:tc>
          <w:tcPr>
            <w:tcW w:w="100" w:type="dxa"/>
            <w:vAlign w:val="bottom"/>
          </w:tcPr>
          <w:p>
            <w:pPr>
              <w:spacing w:after="0"/>
              <w:rPr>
                <w:sz w:val="17"/>
                <w:szCs w:val="17"/>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Equity-based compensation</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operating lease cost</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2,368</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 expense</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w:t>
            </w:r>
          </w:p>
        </w:tc>
      </w:tr>
      <w:tr>
        <w:trPr>
          <w:trHeight w:val="197"/>
        </w:trPr>
        <w:tc>
          <w:tcPr>
            <w:tcW w:w="7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2,141</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97"/>
        </w:trPr>
        <w:tc>
          <w:tcPr>
            <w:tcW w:w="7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revenue</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3,717</w:t>
            </w:r>
          </w:p>
        </w:tc>
      </w:tr>
      <w:tr>
        <w:trPr>
          <w:trHeight w:val="197"/>
        </w:trPr>
        <w:tc>
          <w:tcPr>
            <w:tcW w:w="73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2"/>
        </w:trPr>
        <w:tc>
          <w:tcPr>
            <w:tcW w:w="7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10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10,870</w:t>
            </w:r>
          </w:p>
        </w:tc>
      </w:tr>
      <w:tr>
        <w:trPr>
          <w:trHeight w:val="17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(9,159)</w:t>
            </w:r>
          </w:p>
        </w:tc>
      </w:tr>
      <w:tr>
        <w:trPr>
          <w:trHeight w:val="190"/>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0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(1,419)</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(9,159)</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on SVB term loan</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Tax distributions and TRA payments to members</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(5,128)</w:t>
            </w:r>
          </w:p>
        </w:tc>
      </w:tr>
      <w:tr>
        <w:trPr>
          <w:trHeight w:val="190"/>
        </w:trPr>
        <w:tc>
          <w:tcPr>
            <w:tcW w:w="7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Net cash used in financing activities</w:t>
            </w:r>
          </w:p>
        </w:tc>
        <w:tc>
          <w:tcPr>
            <w:tcW w:w="10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(3,697)</w:t>
            </w: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(6,753)</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2"/>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decrease in cash, cash equivalents and restricted cash</w:t>
            </w:r>
          </w:p>
        </w:tc>
        <w:tc>
          <w:tcPr>
            <w:tcW w:w="108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(3,597)</w:t>
            </w:r>
          </w:p>
        </w:tc>
        <w:tc>
          <w:tcPr>
            <w:tcW w:w="1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(5,042)</w:t>
            </w: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154,854</w:t>
            </w:r>
          </w:p>
        </w:tc>
      </w:tr>
      <w:tr>
        <w:trPr>
          <w:trHeight w:val="22"/>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1"/>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108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152,423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149,812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7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99"/>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cash, cash equivalents and restricted cash</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80" w:type="dxa"/>
            <w:vAlign w:val="bottom"/>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152,209</w:t>
            </w:r>
          </w:p>
        </w:tc>
        <w:tc>
          <w:tcPr>
            <w:tcW w:w="100" w:type="dxa"/>
            <w:vAlign w:val="bottom"/>
          </w:tcPr>
          <w:p>
            <w:pPr>
              <w:spacing w:after="0"/>
              <w:rPr>
                <w:sz w:val="17"/>
                <w:szCs w:val="17"/>
                <w:color w:val="auto"/>
              </w:rPr>
            </w:pPr>
          </w:p>
        </w:tc>
        <w:tc>
          <w:tcPr>
            <w:tcW w:w="380" w:type="dxa"/>
            <w:vAlign w:val="bottom"/>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149,605</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1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Restricted cash</w:t>
            </w:r>
          </w:p>
        </w:tc>
        <w:tc>
          <w:tcPr>
            <w:tcW w:w="10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190"/>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080" w:type="dxa"/>
            <w:vAlign w:val="bottom"/>
            <w:tcBorders>
              <w:top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152,423</w:t>
            </w:r>
          </w:p>
        </w:tc>
        <w:tc>
          <w:tcPr>
            <w:tcW w:w="100" w:type="dxa"/>
            <w:vAlign w:val="bottom"/>
          </w:tcPr>
          <w:p>
            <w:pPr>
              <w:spacing w:after="0"/>
              <w:rPr>
                <w:sz w:val="16"/>
                <w:szCs w:val="16"/>
                <w:color w:val="auto"/>
              </w:rPr>
            </w:pPr>
          </w:p>
        </w:tc>
        <w:tc>
          <w:tcPr>
            <w:tcW w:w="380" w:type="dxa"/>
            <w:vAlign w:val="bottom"/>
            <w:tcBorders>
              <w:top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149,812</w:t>
            </w:r>
          </w:p>
        </w:tc>
      </w:tr>
      <w:tr>
        <w:trPr>
          <w:trHeight w:val="22"/>
        </w:trPr>
        <w:tc>
          <w:tcPr>
            <w:tcW w:w="7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2"/>
        </w:trPr>
        <w:tc>
          <w:tcPr>
            <w:tcW w:w="7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7"/>
        </w:trPr>
        <w:tc>
          <w:tcPr>
            <w:tcW w:w="73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1080" w:type="dxa"/>
            <w:vAlign w:val="bottom"/>
            <w:tcBorders>
              <w:bottom w:val="single" w:sz="8" w:color="CCEEFF"/>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14,204</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deferred tax assets associated with redemption of LLC Units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9"/>
        </w:trPr>
        <w:tc>
          <w:tcPr>
            <w:tcW w:w="7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 Obligation associated with redemption of LLC Units</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97"/>
        </w:trPr>
        <w:tc>
          <w:tcPr>
            <w:tcW w:w="73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liabilities</w:t>
            </w:r>
          </w:p>
        </w:tc>
        <w:tc>
          <w:tcPr>
            <w:tcW w:w="10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1,612</w:t>
            </w:r>
          </w:p>
        </w:tc>
      </w:tr>
      <w:tr>
        <w:trPr>
          <w:trHeight w:val="22"/>
        </w:trPr>
        <w:tc>
          <w:tcPr>
            <w:tcW w:w="7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 in APIC related to redemption of LLC Units</w:t>
            </w:r>
          </w:p>
        </w:tc>
        <w:tc>
          <w:tcPr>
            <w:tcW w:w="10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2"/>
        </w:trPr>
        <w:tc>
          <w:tcPr>
            <w:tcW w:w="73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r>
    </w:tbl>
    <w:p>
      <w:pPr>
        <w:spacing w:after="0" w:line="293"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4"/>
          <w:szCs w:val="14"/>
          <w:i w:val="1"/>
          <w:iCs w:val="1"/>
          <w:color w:val="auto"/>
        </w:rPr>
        <w:t xml:space="preserve">The accompanying notes are an integral part of these unaudited </w:t>
      </w:r>
      <w:r>
        <w:rPr>
          <w:rFonts w:ascii="Times New Roman" w:cs="Times New Roman" w:eastAsia="Times New Roman" w:hAnsi="Times New Roman"/>
          <w:sz w:val="15"/>
          <w:szCs w:val="15"/>
          <w:i w:val="1"/>
          <w:iCs w:val="1"/>
          <w:color w:val="auto"/>
        </w:rPr>
        <w:t>condensed consolidated financial statements</w:t>
      </w:r>
    </w:p>
    <w:p>
      <w:pPr>
        <w:spacing w:after="0" w:line="2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320" w:top="132" w:right="8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Brilliant Earth Group,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UNAUDITED CONDENSED CONSOLIDATED FINANCIAL STATEMENTS</w:t>
      </w:r>
    </w:p>
    <w:p>
      <w:pPr>
        <w:spacing w:after="0" w:line="242" w:lineRule="exact"/>
        <w:rPr>
          <w:sz w:val="20"/>
          <w:szCs w:val="20"/>
          <w:color w:val="auto"/>
        </w:rPr>
      </w:pPr>
    </w:p>
    <w:p>
      <w:pPr>
        <w:ind w:left="200" w:hanging="197"/>
        <w:spacing w:after="0"/>
        <w:tabs>
          <w:tab w:leader="none" w:pos="20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color w:val="auto"/>
        </w:rPr>
        <w:t>DESCRIPTION OF BUSINESS AND SUMMARY OF SIGNIFICANT ACCOUNTING POLICIES</w:t>
      </w:r>
    </w:p>
    <w:p>
      <w:pPr>
        <w:spacing w:after="0" w:line="162"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Brilliant Earth Group, Inc. was formed as a Delaware corporation on June 2, 2021 for the purpose of facilitating an initial public offering ("IPO") and executing other related organizational transactions to acquire and carry on the business of Brilliant Earth, LLC. Brilliant Earth, LLC was originally incorporated in Delaware on August 25, 2005, and subsequently converted to a limited liability company on November 29, 2012. Brilliant Earth Group, Inc., the sole managing member of Brilliant Earth, LLC, consolidates Brilliant Earth, LLC and both are collectively referred to herein as the "Company".</w:t>
      </w:r>
    </w:p>
    <w:p>
      <w:pPr>
        <w:spacing w:after="0" w:line="14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Company designs, procures and sells ethically sourced diamonds, gemstones and jewelry online and through showrooms operating within the United States ("U.S."). Co-headquarters are located in San Francisco, California and Denver, Colorado.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Basis of Presentation</w:t>
      </w:r>
    </w:p>
    <w:p>
      <w:pPr>
        <w:spacing w:after="0" w:line="18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unaudited condensed consolidated financial statements have been prepared in accordance with U.S. generally accepted accounting principles ("U.S. GAAP" or "GAAP") and the requirements of the Securities and Exchange Commission (the "SEC") for interim reporting. As permitted under those rules, certain footnotes or other financial information that are normally required by U.S. GAAP can be condensed or omitted. These interim results are not necessarily indicative of the results to be expected for the fiscal year ending December 31, 2024, or for any other interim period or for any other future year.</w:t>
      </w:r>
    </w:p>
    <w:p>
      <w:pPr>
        <w:spacing w:after="0" w:line="146"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has been derived from the audited consolidated financial statements of the Company, which are included in the Company's Annual Report on Form 10-K for the year ended December 31, 2023 (the "2023 Form 10-K"). In the opinion of management, the unaudited condensed consolidated financial statements reflect all adjustments consisting only of normal recurring adjustments necessary to state fairly the financial position, results of operations and cash flows for the periods presented in conformity with U.S. GAAP applicable to interim periods. These unaudited condensed consolidated financial statements should be read in conjunction with the audited consolidated financial statements and the related notes thereto as of and for the year ended December 31, 2023, as disclosed in the 2023 Form 10-K.</w:t>
      </w:r>
    </w:p>
    <w:p>
      <w:pPr>
        <w:spacing w:after="0" w:line="19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There have been no material changes or updates to the Company's significant accounting policies from those described in the audited consolidated financial statements included in the 2023 Form 10-K except for the updates noted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Principles of Consolidation and Non-Controlling Interest</w:t>
      </w:r>
    </w:p>
    <w:p>
      <w:pPr>
        <w:spacing w:after="0" w:line="18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The unaudited condensed consolidated financial statements include the accounts of the Company and its controlled subsidiary, Brilliant Earth, LLC. All intercompany balances and transactions have been eliminated in consolidation.</w:t>
      </w:r>
    </w:p>
    <w:p>
      <w:pPr>
        <w:spacing w:after="0" w:line="10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non-controlling interest on the unaudited condensed consolidated statements of operations represents the portion of earnings or loss attributable to the economic interest in Brilliant Earth, LLC held by the Continuing Equity Owners. The non-controlling interest on the unaudited condensed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balance sheets represents the portion of net assets of the Company attributable to the Continuing Equity Owners, based on the portion of the LLC Interests owned by such unit holders. As of June 30, 2024, the non-controlling interest was 86.3%. At the end of each reporting period, equity related to Brilliant Earth, LLC that is attributable to Brilliant Earth Group, Inc. and the Continuing Equity Owners is rebalanced to reflect Brilliant Earth Group, Inc.'s and the Continuing Equity Owners' ownership in Brilliant Earth, LLC.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Use of Estimates</w:t>
      </w:r>
    </w:p>
    <w:p>
      <w:pPr>
        <w:spacing w:after="0" w:line="18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Estimates are based on historical experience and on various other assumptions that are believed to be reasonable under the circumstances. Some of the more significant estimates include inventory valuation, allowance for sales returns, estimates of current and deferred income taxes payable pursuant to the TRA, useful lives and depreciation of long-lived assets. Actual results could differ materially from those estimates. On an ongoing basis, the Company reviews its estimates to ensure that they appropriately reflect changes in its business or new information available.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Fair Value Measurements</w:t>
      </w:r>
    </w:p>
    <w:p>
      <w:pPr>
        <w:spacing w:after="0" w:line="18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Fair value is the price that would be received to sell an asset or paid to transfer a liability in an orderly transaction between market participants at the measurement date. U.S. GAAP establishes a fair value hierarchy which requires an entity to maximize the use of observable inputs and minimize the use of unobservable inputs when measuring fair value. U.S. GAAP prescribes three levels of inputs that may be used to measure fair value:</w:t>
      </w:r>
    </w:p>
    <w:p>
      <w:pPr>
        <w:spacing w:after="0" w:line="191" w:lineRule="exact"/>
        <w:rPr>
          <w:sz w:val="20"/>
          <w:szCs w:val="20"/>
          <w:color w:val="auto"/>
        </w:rPr>
      </w:pPr>
    </w:p>
    <w:p>
      <w:pPr>
        <w:ind w:left="1560" w:right="3840" w:hanging="1237"/>
        <w:spacing w:after="0" w:line="297" w:lineRule="auto"/>
        <w:tabs>
          <w:tab w:leader="none" w:pos="1540" w:val="left"/>
        </w:tabs>
        <w:rPr>
          <w:sz w:val="20"/>
          <w:szCs w:val="20"/>
          <w:color w:val="auto"/>
        </w:rPr>
      </w:pPr>
      <w:r>
        <w:rPr>
          <w:rFonts w:ascii="Times New Roman" w:cs="Times New Roman" w:eastAsia="Times New Roman" w:hAnsi="Times New Roman"/>
          <w:sz w:val="19"/>
          <w:szCs w:val="19"/>
          <w:color w:val="auto"/>
        </w:rPr>
        <w:t>Level 1</w:t>
      </w:r>
      <w:r>
        <w:rPr>
          <w:sz w:val="20"/>
          <w:szCs w:val="20"/>
          <w:color w:val="auto"/>
        </w:rPr>
        <w:tab/>
      </w:r>
      <w:r>
        <w:rPr>
          <w:rFonts w:ascii="Times New Roman" w:cs="Times New Roman" w:eastAsia="Times New Roman" w:hAnsi="Times New Roman"/>
          <w:sz w:val="19"/>
          <w:szCs w:val="19"/>
          <w:color w:val="auto"/>
        </w:rPr>
        <w:t>Valuation based on quoted prices (unadjusted) observed in active markets for identical assets or liabilities.</w:t>
      </w:r>
    </w:p>
    <w:p>
      <w:pPr>
        <w:spacing w:after="0" w:line="168" w:lineRule="exact"/>
        <w:rPr>
          <w:sz w:val="20"/>
          <w:szCs w:val="20"/>
          <w:color w:val="auto"/>
        </w:rPr>
      </w:pPr>
    </w:p>
    <w:p>
      <w:pPr>
        <w:ind w:left="620"/>
        <w:spacing w:after="0"/>
        <w:tabs>
          <w:tab w:leader="none" w:pos="1540" w:val="left"/>
        </w:tabs>
        <w:rPr>
          <w:sz w:val="20"/>
          <w:szCs w:val="20"/>
          <w:color w:val="auto"/>
        </w:rPr>
      </w:pPr>
      <w:r>
        <w:rPr>
          <w:rFonts w:ascii="Times New Roman" w:cs="Times New Roman" w:eastAsia="Times New Roman" w:hAnsi="Times New Roman"/>
          <w:sz w:val="19"/>
          <w:szCs w:val="19"/>
          <w:color w:val="auto"/>
        </w:rPr>
        <w:t>Level 2</w:t>
      </w:r>
      <w:r>
        <w:rPr>
          <w:sz w:val="20"/>
          <w:szCs w:val="20"/>
          <w:color w:val="auto"/>
        </w:rPr>
        <w:tab/>
      </w:r>
      <w:r>
        <w:rPr>
          <w:rFonts w:ascii="Times New Roman" w:cs="Times New Roman" w:eastAsia="Times New Roman" w:hAnsi="Times New Roman"/>
          <w:sz w:val="18"/>
          <w:szCs w:val="18"/>
          <w:color w:val="auto"/>
        </w:rPr>
        <w:t>Valuation techniques based on inputs that are quoted prices of similar</w:t>
      </w:r>
    </w:p>
    <w:p>
      <w:pPr>
        <w:spacing w:after="0" w:line="26"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9"/>
          <w:szCs w:val="19"/>
          <w:color w:val="auto"/>
        </w:rPr>
        <w:t>instruments in active markets; quoted prices for identical or similar instruments</w:t>
      </w:r>
    </w:p>
    <w:p>
      <w:pPr>
        <w:spacing w:after="0" w:line="14" w:lineRule="exact"/>
        <w:rPr>
          <w:sz w:val="20"/>
          <w:szCs w:val="20"/>
          <w:color w:val="auto"/>
        </w:rPr>
      </w:pPr>
    </w:p>
    <w:p>
      <w:pPr>
        <w:ind w:left="1860" w:right="3200"/>
        <w:spacing w:after="0" w:line="269" w:lineRule="auto"/>
        <w:rPr>
          <w:sz w:val="20"/>
          <w:szCs w:val="20"/>
          <w:color w:val="auto"/>
        </w:rPr>
      </w:pPr>
      <w:r>
        <w:rPr>
          <w:rFonts w:ascii="Times New Roman" w:cs="Times New Roman" w:eastAsia="Times New Roman" w:hAnsi="Times New Roman"/>
          <w:sz w:val="19"/>
          <w:szCs w:val="19"/>
          <w:color w:val="auto"/>
        </w:rPr>
        <w:t>in markets that are not in active markets; inputs other than quoted prices used in a valuation model that are observable for that instrument; and inputs that are derived from, or corroborated by, observable market data by correlation or other means.</w:t>
      </w:r>
    </w:p>
    <w:p>
      <w:pPr>
        <w:spacing w:after="0" w:line="194" w:lineRule="exact"/>
        <w:rPr>
          <w:sz w:val="20"/>
          <w:szCs w:val="20"/>
          <w:color w:val="auto"/>
        </w:rPr>
      </w:pPr>
    </w:p>
    <w:p>
      <w:pPr>
        <w:ind w:left="620"/>
        <w:spacing w:after="0"/>
        <w:tabs>
          <w:tab w:leader="none" w:pos="1540" w:val="left"/>
        </w:tabs>
        <w:rPr>
          <w:sz w:val="20"/>
          <w:szCs w:val="20"/>
          <w:color w:val="auto"/>
        </w:rPr>
      </w:pPr>
      <w:r>
        <w:rPr>
          <w:rFonts w:ascii="Times New Roman" w:cs="Times New Roman" w:eastAsia="Times New Roman" w:hAnsi="Times New Roman"/>
          <w:sz w:val="19"/>
          <w:szCs w:val="19"/>
          <w:color w:val="auto"/>
        </w:rPr>
        <w:t>Level 3</w:t>
      </w:r>
      <w:r>
        <w:rPr>
          <w:sz w:val="20"/>
          <w:szCs w:val="20"/>
          <w:color w:val="auto"/>
        </w:rPr>
        <w:tab/>
      </w:r>
      <w:r>
        <w:rPr>
          <w:rFonts w:ascii="Times New Roman" w:cs="Times New Roman" w:eastAsia="Times New Roman" w:hAnsi="Times New Roman"/>
          <w:sz w:val="18"/>
          <w:szCs w:val="18"/>
          <w:color w:val="auto"/>
        </w:rPr>
        <w:t>Valuation techniques with significant unobservable market inputs.</w:t>
      </w:r>
    </w:p>
    <w:p>
      <w:pPr>
        <w:spacing w:after="0" w:line="246"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The Company is required to disclose its estimate of the fair value of material financial instruments, including those recorded as assets or liabilities in its financial statements, in accordance with U.S. GAAP.</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At June 30, 2024 and December 31, 2023, there were no financial instruments (assets or liabilities) measured at fair value on a recurring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carrying amounts of cash and cash equivalents, restricted cash, accounts payable and accrued expenses and other current liabilities approximate fair value due to their short-term maturities and were classified as Level 1. The carrying value of long-term debt, net of debt issuance costs, also approximates its fair value, which has been estimated by management based on the consideration of applicable interest rates (including certain instruments at variable or floating rates) for similar types of borrowing arrangements and were classified as Level 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Marketing Expenses</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Marketing and advertising costs are generally expensed as incurred, except for certain production costs that are expensed the first time the advertising takes place. The Company recorded marketing, advertising and promotional costs of $27.6 million and $50.8 million, for the three and six months ended June 30, 2024, respectively, and $29.0 million and $51.8 million for the three and six months ended June 30, 2023, respectively, and is included in selling, general and administrative expenses in the unaudited condensed consolidated statements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Accounting Pronouncements Issued but Not Yet Adopted</w:t>
      </w:r>
    </w:p>
    <w:p>
      <w:pPr>
        <w:spacing w:after="0" w:line="250"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In November 2023, the Financial Accounting Standards Board ("FASB") issued Accounting Standard Update ("ASU") 2023-07, Segment Reporting (Topic 280): Improvements to Reportable Segment Disclosures. The new standard requires enhanced disclosures about significant segment expenses and other segment items and requires companies to provide all annual disclosures about segments in interim periods. All disclosure requirements are also required for public entities with a single reportable segment. The ASU is effective for the Company’s Annual Report on Form 10-K for the fiscal year ending December 31, 2024, and subsequent interim periods, with early adoption permitted. The Company is currently evaluating the impact of adopting this ASU on the Company's consolidated financial statements and related disclosures.</w:t>
      </w:r>
    </w:p>
    <w:p>
      <w:pPr>
        <w:spacing w:after="0" w:line="19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In December 2023, the FASB issued ASU 2023-09, Income Taxes (Topic 740): Improvements to Income Tax Disclosures. The amendments in this update are intended to enhance the transparency and decision usefulness of income tax disclosures primarily through changes to the rate reconciliation and income taxes paid information. This update is effective for annual periods beginning after December 15, 2024, with early adoption permitted. The Company is currently evaluating the ASU to determine its impact on the Company's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2. EARNINGS PER SHARE</w:t>
      </w:r>
    </w:p>
    <w:p>
      <w:pPr>
        <w:spacing w:after="0" w:line="16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Basic earnings per share is computed by dividing net income applicable to Brilliant Earth Group, Inc. by the weighted average shares of Class A common stock outstanding (and Class D common stock, if outstanding) during the period. Diluted earnings per share is computed by adjusting the net income available to Brilliant Earth Group, Inc. and the weighted average shares outstanding to give effect to potentially dilutive securities. Shares of Class B and Class C common stock are not entitled to receive any distributions or dividends and are therefore excluded from this presentation since they are not participating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Basic and diluted earnings per share of Class A common stock for the three and six months ended June 30, 2024 and 2023 have been computed as follows (in thousands, except share and per share amounts):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5"/>
            <w:vMerge w:val="restart"/>
          </w:tcPr>
          <w:p>
            <w:pPr>
              <w:ind w:left="20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360" w:type="dxa"/>
            <w:vAlign w:val="bottom"/>
          </w:tcPr>
          <w:p>
            <w:pPr>
              <w:spacing w:after="0"/>
              <w:rPr>
                <w:sz w:val="19"/>
                <w:szCs w:val="19"/>
                <w:color w:val="auto"/>
              </w:rPr>
            </w:pPr>
          </w:p>
        </w:tc>
        <w:tc>
          <w:tcPr>
            <w:tcW w:w="288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0" w:type="dxa"/>
            <w:vAlign w:val="bottom"/>
          </w:tcPr>
          <w:p>
            <w:pPr>
              <w:spacing w:after="0"/>
              <w:rPr>
                <w:sz w:val="1"/>
                <w:szCs w:val="1"/>
                <w:color w:val="auto"/>
              </w:rPr>
            </w:pPr>
          </w:p>
        </w:tc>
      </w:tr>
      <w:tr>
        <w:trPr>
          <w:trHeight w:val="227"/>
        </w:trPr>
        <w:tc>
          <w:tcPr>
            <w:tcW w:w="4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5"/>
            <w:vMerge w:val="continue"/>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7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38"/>
        </w:trPr>
        <w:tc>
          <w:tcPr>
            <w:tcW w:w="4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income attributable to Brilliant Earth Group, Inc., BASIC</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Add: Net income impact from assumed redemption of all LLC</w:t>
            </w:r>
          </w:p>
        </w:tc>
        <w:tc>
          <w:tcPr>
            <w:tcW w:w="30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Units to common stock</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Less: Income tax expense on net income attributable to NCI</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209"/>
        </w:trPr>
        <w:tc>
          <w:tcPr>
            <w:tcW w:w="47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Net income attributable to Brilliant Earth Group, Inc., after</w:t>
            </w:r>
          </w:p>
        </w:tc>
        <w:tc>
          <w:tcPr>
            <w:tcW w:w="300" w:type="dxa"/>
            <w:vAlign w:val="bottom"/>
            <w:tcBorders>
              <w:top w:val="single" w:sz="8" w:color="auto"/>
            </w:tcBorders>
            <w:vMerge w:val="restart"/>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8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tcPr>
          <w:p>
            <w:pPr>
              <w:spacing w:after="0"/>
              <w:rPr>
                <w:sz w:val="18"/>
                <w:szCs w:val="18"/>
                <w:color w:val="auto"/>
              </w:rPr>
            </w:pPr>
          </w:p>
        </w:tc>
        <w:tc>
          <w:tcPr>
            <w:tcW w:w="360" w:type="dxa"/>
            <w:vAlign w:val="bottom"/>
            <w:tcBorders>
              <w:top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1,901</w:t>
            </w:r>
          </w:p>
        </w:tc>
        <w:tc>
          <w:tcPr>
            <w:tcW w:w="100" w:type="dxa"/>
            <w:vAlign w:val="bottom"/>
          </w:tcPr>
          <w:p>
            <w:pPr>
              <w:spacing w:after="0"/>
              <w:rPr>
                <w:sz w:val="18"/>
                <w:szCs w:val="18"/>
                <w:color w:val="auto"/>
              </w:rPr>
            </w:pPr>
          </w:p>
        </w:tc>
        <w:tc>
          <w:tcPr>
            <w:tcW w:w="440" w:type="dxa"/>
            <w:vAlign w:val="bottom"/>
            <w:tcBorders>
              <w:top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614</w:t>
            </w:r>
          </w:p>
        </w:tc>
        <w:tc>
          <w:tcPr>
            <w:tcW w:w="0" w:type="dxa"/>
            <w:vAlign w:val="bottom"/>
          </w:tcPr>
          <w:p>
            <w:pPr>
              <w:spacing w:after="0"/>
              <w:rPr>
                <w:sz w:val="1"/>
                <w:szCs w:val="1"/>
                <w:color w:val="auto"/>
              </w:rPr>
            </w:pPr>
          </w:p>
        </w:tc>
      </w:tr>
      <w:tr>
        <w:trPr>
          <w:trHeight w:val="228"/>
        </w:trPr>
        <w:tc>
          <w:tcPr>
            <w:tcW w:w="470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adjustment for assumed conversion, DILUTED</w:t>
            </w:r>
          </w:p>
        </w:tc>
        <w:tc>
          <w:tcPr>
            <w:tcW w:w="30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30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13,182,880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11,796,639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12,959,447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11,593,416</w:t>
            </w: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BASIC</w:t>
            </w:r>
          </w:p>
        </w:tc>
        <w:tc>
          <w:tcPr>
            <w:tcW w:w="3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Dilutive effects of:</w:t>
            </w: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Vested LLC Units that are exchangeable for common</w:t>
            </w:r>
          </w:p>
        </w:tc>
        <w:tc>
          <w:tcPr>
            <w:tcW w:w="300" w:type="dxa"/>
            <w:vAlign w:val="bottom"/>
            <w:shd w:val="clear" w:color="auto" w:fill="CCEEFF"/>
          </w:tcPr>
          <w:p>
            <w:pPr>
              <w:spacing w:after="0"/>
              <w:rPr>
                <w:sz w:val="19"/>
                <w:szCs w:val="19"/>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84,883,812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84,638,225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84,852,406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84,628,063</w:t>
            </w:r>
          </w:p>
        </w:tc>
        <w:tc>
          <w:tcPr>
            <w:tcW w:w="0" w:type="dxa"/>
            <w:vAlign w:val="bottom"/>
          </w:tcPr>
          <w:p>
            <w:pPr>
              <w:spacing w:after="0"/>
              <w:rPr>
                <w:sz w:val="1"/>
                <w:szCs w:val="1"/>
                <w:color w:val="auto"/>
              </w:rPr>
            </w:pPr>
          </w:p>
        </w:tc>
      </w:tr>
      <w:tr>
        <w:trPr>
          <w:trHeight w:val="228"/>
        </w:trPr>
        <w:tc>
          <w:tcPr>
            <w:tcW w:w="470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stock</w:t>
            </w:r>
          </w:p>
        </w:tc>
        <w:tc>
          <w:tcPr>
            <w:tcW w:w="3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Unvested LLC Units that are exchangeable for common</w:t>
            </w:r>
          </w:p>
        </w:tc>
        <w:tc>
          <w:tcPr>
            <w:tcW w:w="300" w:type="dxa"/>
            <w:vAlign w:val="bottom"/>
          </w:tcPr>
          <w:p>
            <w:pPr>
              <w:spacing w:after="0"/>
              <w:rPr>
                <w:sz w:val="19"/>
                <w:szCs w:val="19"/>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45,760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378,310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72,072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439,436</w:t>
            </w:r>
          </w:p>
        </w:tc>
        <w:tc>
          <w:tcPr>
            <w:tcW w:w="0" w:type="dxa"/>
            <w:vAlign w:val="bottom"/>
          </w:tcPr>
          <w:p>
            <w:pPr>
              <w:spacing w:after="0"/>
              <w:rPr>
                <w:sz w:val="1"/>
                <w:szCs w:val="1"/>
                <w:color w:val="auto"/>
              </w:rPr>
            </w:pPr>
          </w:p>
        </w:tc>
      </w:tr>
      <w:tr>
        <w:trPr>
          <w:trHeight w:val="223"/>
        </w:trPr>
        <w:tc>
          <w:tcPr>
            <w:tcW w:w="4700" w:type="dxa"/>
            <w:vAlign w:val="bottom"/>
          </w:tcPr>
          <w:p>
            <w:pPr>
              <w:ind w:left="800"/>
              <w:spacing w:after="0"/>
              <w:rPr>
                <w:sz w:val="20"/>
                <w:szCs w:val="20"/>
                <w:color w:val="auto"/>
              </w:rPr>
            </w:pPr>
            <w:r>
              <w:rPr>
                <w:rFonts w:ascii="Times New Roman" w:cs="Times New Roman" w:eastAsia="Times New Roman" w:hAnsi="Times New Roman"/>
                <w:sz w:val="17"/>
                <w:szCs w:val="17"/>
                <w:color w:val="auto"/>
              </w:rPr>
              <w:t>stock</w:t>
            </w:r>
          </w:p>
        </w:tc>
        <w:tc>
          <w:tcPr>
            <w:tcW w:w="3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1"/>
        </w:trPr>
        <w:tc>
          <w:tcPr>
            <w:tcW w:w="47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RSUs</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116,402</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76,680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152,991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159,370</w:t>
            </w:r>
          </w:p>
        </w:tc>
        <w:tc>
          <w:tcPr>
            <w:tcW w:w="0" w:type="dxa"/>
            <w:vAlign w:val="bottom"/>
          </w:tcPr>
          <w:p>
            <w:pPr>
              <w:spacing w:after="0"/>
              <w:rPr>
                <w:sz w:val="1"/>
                <w:szCs w:val="1"/>
                <w:color w:val="auto"/>
              </w:rPr>
            </w:pPr>
          </w:p>
        </w:tc>
      </w:tr>
      <w:tr>
        <w:trPr>
          <w:trHeight w:val="209"/>
        </w:trPr>
        <w:tc>
          <w:tcPr>
            <w:tcW w:w="4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Weighted average shares of common stock outstanding,</w:t>
            </w:r>
          </w:p>
        </w:tc>
        <w:tc>
          <w:tcPr>
            <w:tcW w:w="3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98,228,854</w:t>
            </w: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96,889,854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98,036,916</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96,820,285</w:t>
            </w:r>
          </w:p>
        </w:tc>
        <w:tc>
          <w:tcPr>
            <w:tcW w:w="0" w:type="dxa"/>
            <w:vAlign w:val="bottom"/>
          </w:tcPr>
          <w:p>
            <w:pPr>
              <w:spacing w:after="0"/>
              <w:rPr>
                <w:sz w:val="1"/>
                <w:szCs w:val="1"/>
                <w:color w:val="auto"/>
              </w:rPr>
            </w:pPr>
          </w:p>
        </w:tc>
      </w:tr>
      <w:tr>
        <w:trPr>
          <w:trHeight w:val="223"/>
        </w:trPr>
        <w:tc>
          <w:tcPr>
            <w:tcW w:w="4700" w:type="dxa"/>
            <w:vAlign w:val="bottom"/>
          </w:tcPr>
          <w:p>
            <w:pPr>
              <w:ind w:left="480"/>
              <w:spacing w:after="0"/>
              <w:rPr>
                <w:sz w:val="20"/>
                <w:szCs w:val="20"/>
                <w:color w:val="auto"/>
              </w:rPr>
            </w:pPr>
            <w:r>
              <w:rPr>
                <w:rFonts w:ascii="Times New Roman" w:cs="Times New Roman" w:eastAsia="Times New Roman" w:hAnsi="Times New Roman"/>
                <w:sz w:val="17"/>
                <w:szCs w:val="17"/>
                <w:color w:val="auto"/>
              </w:rPr>
              <w:t>DILUTED</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BASIC earnings per share</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tcPr>
          <w:p>
            <w:pPr>
              <w:spacing w:after="0"/>
              <w:rPr>
                <w:sz w:val="20"/>
                <w:szCs w:val="20"/>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10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38"/>
        </w:trPr>
        <w:tc>
          <w:tcPr>
            <w:tcW w:w="4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2"/>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DILUTED earnings per share</w:t>
            </w: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38"/>
        </w:trPr>
        <w:tc>
          <w:tcPr>
            <w:tcW w:w="47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Net income attributable to the non-controlling interest is added back to net income in the fully dilutive computation and has been adjusted for income taxes which would have been expensed had the income been recognized by Brilliant Earth Group, Inc., a taxable entity. The weighted average common shares outstanding in the diluted computation per share assumes all outstanding LLC Units are converted and the Company will elect to issue shares of common stock upon redemption rather than cash-settle.</w:t>
      </w:r>
    </w:p>
    <w:p>
      <w:pPr>
        <w:spacing w:after="0" w:line="12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For the three and six months ended June 30, 2024 and 2023, the dilutive impact of LLC Units convertible into common stock were included in the computation of diluted earnings per share under the if-converted method; the dilutive impact of unvested LLC Units and RSUs were included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presents the securities for the three and six months ended June 30, 2024 and 2023, that have been excluded from the computations of earnings per share because such impact would have been anti-dilutive: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500" w:type="dxa"/>
            <w:vAlign w:val="bottom"/>
          </w:tcPr>
          <w:p>
            <w:pPr>
              <w:spacing w:after="0"/>
              <w:rPr>
                <w:sz w:val="19"/>
                <w:szCs w:val="19"/>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520" w:type="dxa"/>
            <w:vAlign w:val="bottom"/>
            <w:gridSpan w:val="3"/>
          </w:tcPr>
          <w:p>
            <w:pPr>
              <w:jc w:val="center"/>
              <w:ind w:left="994"/>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80" w:type="dxa"/>
            <w:vAlign w:val="bottom"/>
          </w:tcPr>
          <w:p>
            <w:pPr>
              <w:spacing w:after="0"/>
              <w:rPr>
                <w:sz w:val="19"/>
                <w:szCs w:val="19"/>
                <w:color w:val="auto"/>
              </w:rPr>
            </w:pPr>
          </w:p>
        </w:tc>
      </w:tr>
      <w:tr>
        <w:trPr>
          <w:trHeight w:val="227"/>
        </w:trPr>
        <w:tc>
          <w:tcPr>
            <w:tcW w:w="4500" w:type="dxa"/>
            <w:vAlign w:val="bottom"/>
          </w:tcPr>
          <w:p>
            <w:pPr>
              <w:spacing w:after="0"/>
              <w:rPr>
                <w:sz w:val="19"/>
                <w:szCs w:val="19"/>
                <w:color w:val="auto"/>
              </w:rPr>
            </w:pPr>
          </w:p>
        </w:tc>
        <w:tc>
          <w:tcPr>
            <w:tcW w:w="2000" w:type="dxa"/>
            <w:vAlign w:val="bottom"/>
            <w:gridSpan w:val="3"/>
          </w:tcPr>
          <w:p>
            <w:pPr>
              <w:jc w:val="center"/>
              <w:ind w:left="97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3"/>
          </w:tcPr>
          <w:p>
            <w:pPr>
              <w:jc w:val="center"/>
              <w:ind w:left="10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80" w:type="dxa"/>
            <w:vAlign w:val="bottom"/>
          </w:tcPr>
          <w:p>
            <w:pPr>
              <w:spacing w:after="0"/>
              <w:rPr>
                <w:sz w:val="19"/>
                <w:szCs w:val="19"/>
                <w:color w:val="auto"/>
              </w:rPr>
            </w:pPr>
          </w:p>
        </w:tc>
      </w:tr>
      <w:tr>
        <w:trPr>
          <w:trHeight w:val="25"/>
        </w:trPr>
        <w:tc>
          <w:tcPr>
            <w:tcW w:w="45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5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5"/>
        </w:trPr>
        <w:tc>
          <w:tcPr>
            <w:tcW w:w="4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RSUs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3,835,655</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3,524,279</w:t>
            </w:r>
          </w:p>
        </w:tc>
        <w:tc>
          <w:tcPr>
            <w:tcW w:w="80" w:type="dxa"/>
            <w:vAlign w:val="bottom"/>
          </w:tcPr>
          <w:p>
            <w:pPr>
              <w:spacing w:after="0"/>
              <w:rPr>
                <w:sz w:val="19"/>
                <w:szCs w:val="19"/>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2,894,685</w:t>
            </w: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2,896,832</w:t>
            </w:r>
          </w:p>
        </w:tc>
      </w:tr>
      <w:tr>
        <w:trPr>
          <w:trHeight w:val="38"/>
        </w:trPr>
        <w:tc>
          <w:tcPr>
            <w:tcW w:w="45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1"/>
        </w:trPr>
        <w:tc>
          <w:tcPr>
            <w:tcW w:w="4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options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739,450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799,329</w:t>
            </w:r>
          </w:p>
        </w:tc>
        <w:tc>
          <w:tcPr>
            <w:tcW w:w="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744,935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815,650</w:t>
            </w:r>
          </w:p>
        </w:tc>
      </w:tr>
      <w:tr>
        <w:trPr>
          <w:trHeight w:val="232"/>
        </w:trPr>
        <w:tc>
          <w:tcPr>
            <w:tcW w:w="4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Unvested LLC Units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16,583</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3. REVENUE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Disaggregation of Revenue</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discloses total net sales by geography for the three and six months ended June 30, 2024 and 2023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5"/>
          </w:tcPr>
          <w:p>
            <w:pPr>
              <w:ind w:left="4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060" w:type="dxa"/>
            <w:vAlign w:val="bottom"/>
          </w:tcPr>
          <w:p>
            <w:pPr>
              <w:spacing w:after="0"/>
              <w:rPr>
                <w:sz w:val="17"/>
                <w:szCs w:val="17"/>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060" w:type="dxa"/>
            <w:vAlign w:val="bottom"/>
          </w:tcPr>
          <w:p>
            <w:pPr>
              <w:spacing w:after="0"/>
              <w:rPr>
                <w:sz w:val="17"/>
                <w:szCs w:val="17"/>
                <w:color w:val="auto"/>
              </w:rPr>
            </w:pPr>
          </w:p>
        </w:tc>
      </w:tr>
      <w:tr>
        <w:trPr>
          <w:trHeight w:val="227"/>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20" w:type="dxa"/>
            <w:vAlign w:val="bottom"/>
            <w:gridSpan w:val="3"/>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060" w:type="dxa"/>
            <w:vAlign w:val="bottom"/>
          </w:tcPr>
          <w:p>
            <w:pPr>
              <w:spacing w:after="0"/>
              <w:rPr>
                <w:sz w:val="19"/>
                <w:szCs w:val="19"/>
                <w:color w:val="auto"/>
              </w:rPr>
            </w:pPr>
          </w:p>
        </w:tc>
      </w:tr>
      <w:tr>
        <w:trPr>
          <w:trHeight w:val="38"/>
        </w:trPr>
        <w:tc>
          <w:tcPr>
            <w:tcW w:w="44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25"/>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8"/>
        </w:trPr>
        <w:tc>
          <w:tcPr>
            <w:tcW w:w="44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44"/>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101,621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104,854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195,274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197,469</w:t>
            </w:r>
          </w:p>
        </w:tc>
      </w:tr>
      <w:tr>
        <w:trPr>
          <w:trHeight w:val="232"/>
        </w:trPr>
        <w:tc>
          <w:tcPr>
            <w:tcW w:w="4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3,805</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5,330</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10,413</w:t>
            </w:r>
          </w:p>
        </w:tc>
      </w:tr>
      <w:tr>
        <w:trPr>
          <w:trHeight w:val="38"/>
        </w:trPr>
        <w:tc>
          <w:tcPr>
            <w:tcW w:w="44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82"/>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sales</w:t>
            </w: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105,426</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110,184</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202,763</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207,882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Contract Balances</w:t>
      </w:r>
    </w:p>
    <w:p>
      <w:pPr>
        <w:spacing w:after="0" w:line="25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Transactions where payment has been received from customers, but control has not transferred, are recorded as customer deposits in deferred revenue and revenue recognition is deferred until delivery has occurred.</w:t>
      </w:r>
    </w:p>
    <w:p>
      <w:pPr>
        <w:spacing w:after="0" w:line="10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June 30, 2024, December 31, 2023, and December 31, 2022, total deferred revenue that includes our contract balances was $21.3 million, $19.6 million, and $18.6 million, respectively.</w:t>
      </w:r>
    </w:p>
    <w:p>
      <w:pPr>
        <w:spacing w:after="0" w:line="19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During the three months ended June 30, 2024 and 2023, the Company recognized $21.6 million and $18.0 million, respectively, of revenue that was deferred as of March 31, 2024 and March 31, 2023, respectively.</w:t>
      </w:r>
    </w:p>
    <w:p>
      <w:pPr>
        <w:spacing w:after="0" w:line="19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During the six months ended June 30, 2024 and 2023, the Company recognized $18.7 million and $17.8 million, respectively, of revenue that was deferred as of December 31, 2023 and December 31,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Sales Returns and Allowances</w:t>
      </w:r>
    </w:p>
    <w:p>
      <w:pPr>
        <w:spacing w:after="0" w:line="25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 returns asset account and a refund liabilities account are maintained to record the effects of estimated product returns and sales returns allowance. Returns asset and refund liabilities are updated at the end of each financial reporting period and the effect of such changes are accounted for in the period in which such changes occur.</w:t>
      </w:r>
    </w:p>
    <w:p>
      <w:pPr>
        <w:spacing w:after="0" w:line="187"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 Company estimates anticipated product returns in the form of a refund liability based on historical return percentages and current period sales levels and accrues a related returns asset for goods expected to be returned in salable condition less any expected costs to recover such goods, including return shipping costs that the Company may incur.</w:t>
      </w:r>
    </w:p>
    <w:p>
      <w:pPr>
        <w:spacing w:after="0" w:line="181"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As of June 30, 2024 and December 31, 2023, refund liabilities balances were $1.4 million and $2.4 million, respectively, and are included as a provision for sales returns and allowances within accrued expenses and other current liabilities in the unaudited condensed consolidated balance sheets.</w:t>
      </w:r>
    </w:p>
    <w:p>
      <w:pPr>
        <w:spacing w:after="0" w:line="213"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June 30, 2024 and December 31, 2023, returns asset balances were $0.5 million and $1.0 million, respectively, and are included within prepaid expenses and other current assets in the unaudited condensed consolidated balance sheets.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4. INVENTORIES, NET</w:t>
      </w:r>
    </w:p>
    <w:p>
      <w:pPr>
        <w:spacing w:after="0" w:line="2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Inventories, net consist of the following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6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38"/>
        </w:trPr>
        <w:tc>
          <w:tcPr>
            <w:tcW w:w="636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5"/>
        </w:trPr>
        <w:tc>
          <w:tcPr>
            <w:tcW w:w="6360" w:type="dxa"/>
            <w:vAlign w:val="bottom"/>
          </w:tcPr>
          <w:p>
            <w:pPr>
              <w:spacing w:after="0"/>
              <w:rPr>
                <w:sz w:val="19"/>
                <w:szCs w:val="19"/>
                <w:color w:val="auto"/>
              </w:rPr>
            </w:pPr>
          </w:p>
        </w:tc>
        <w:tc>
          <w:tcPr>
            <w:tcW w:w="16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Loose diamonds</w:t>
            </w:r>
          </w:p>
        </w:tc>
        <w:tc>
          <w:tcPr>
            <w:tcW w:w="168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8,168</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Fine jewelry and other</w:t>
            </w:r>
          </w:p>
        </w:tc>
        <w:tc>
          <w:tcPr>
            <w:tcW w:w="1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30,965</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29,975</w:t>
            </w:r>
          </w:p>
        </w:tc>
      </w:tr>
      <w:tr>
        <w:trPr>
          <w:trHeight w:val="38"/>
        </w:trPr>
        <w:tc>
          <w:tcPr>
            <w:tcW w:w="6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inventory obsolescence</w:t>
            </w:r>
          </w:p>
        </w:tc>
        <w:tc>
          <w:tcPr>
            <w:tcW w:w="16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w:t>
            </w: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Total inventories, net</w:t>
            </w:r>
          </w:p>
        </w:tc>
        <w:tc>
          <w:tcPr>
            <w:tcW w:w="1680" w:type="dxa"/>
            <w:vAlign w:val="bottom"/>
            <w:tcBorders>
              <w:top w:val="single" w:sz="8" w:color="auto"/>
              <w:bottom w:val="single" w:sz="8" w:color="auto"/>
            </w:tcBorders>
          </w:tcPr>
          <w:p>
            <w:pPr>
              <w:jc w:val="right"/>
              <w:ind w:right="14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38,285</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37,788</w:t>
            </w:r>
          </w:p>
        </w:tc>
      </w:tr>
      <w:tr>
        <w:trPr>
          <w:trHeight w:val="25"/>
        </w:trPr>
        <w:tc>
          <w:tcPr>
            <w:tcW w:w="63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allowance for inventory obsolescence consists of the following (in thousands):</w:t>
      </w:r>
    </w:p>
    <w:p>
      <w:pPr>
        <w:spacing w:after="0" w:line="285"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31115</wp:posOffset>
            </wp:positionV>
            <wp:extent cx="3102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6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68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center"/>
              <w:ind w:left="214"/>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 in allowance for inventory obsolescence</w:t>
            </w:r>
          </w:p>
        </w:tc>
        <w:tc>
          <w:tcPr>
            <w:tcW w:w="1680" w:type="dxa"/>
            <w:vAlign w:val="bottom"/>
          </w:tcPr>
          <w:p>
            <w:pPr>
              <w:spacing w:after="0"/>
              <w:rPr>
                <w:sz w:val="20"/>
                <w:szCs w:val="20"/>
                <w:color w:val="auto"/>
              </w:rPr>
            </w:pPr>
          </w:p>
        </w:tc>
        <w:tc>
          <w:tcPr>
            <w:tcW w:w="720" w:type="dxa"/>
            <w:vAlign w:val="bottom"/>
          </w:tcPr>
          <w:p>
            <w:pPr>
              <w:jc w:val="center"/>
              <w:ind w:left="234"/>
              <w:spacing w:after="0"/>
              <w:rPr>
                <w:sz w:val="20"/>
                <w:szCs w:val="20"/>
                <w:color w:val="auto"/>
              </w:rPr>
            </w:pPr>
            <w:r>
              <w:rPr>
                <w:rFonts w:ascii="Times New Roman" w:cs="Times New Roman" w:eastAsia="Times New Roman" w:hAnsi="Times New Roman"/>
                <w:sz w:val="17"/>
                <w:szCs w:val="17"/>
                <w:color w:val="auto"/>
                <w:w w:val="93"/>
              </w:rPr>
              <w:t>226</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82"/>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Balance at end of period</w:t>
            </w:r>
          </w:p>
        </w:tc>
        <w:tc>
          <w:tcPr>
            <w:tcW w:w="1680" w:type="dxa"/>
            <w:vAlign w:val="bottom"/>
            <w:tcBorders>
              <w:bottom w:val="single" w:sz="8" w:color="auto"/>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bottom w:val="single" w:sz="8" w:color="auto"/>
            </w:tcBorders>
            <w:shd w:val="clear" w:color="auto" w:fill="CCEEFF"/>
          </w:tcPr>
          <w:p>
            <w:pPr>
              <w:jc w:val="center"/>
              <w:ind w:left="214"/>
              <w:spacing w:after="0"/>
              <w:rPr>
                <w:sz w:val="20"/>
                <w:szCs w:val="20"/>
                <w:color w:val="auto"/>
              </w:rPr>
            </w:pPr>
            <w:r>
              <w:rPr>
                <w:rFonts w:ascii="Times New Roman" w:cs="Times New Roman" w:eastAsia="Times New Roman" w:hAnsi="Times New Roman"/>
                <w:sz w:val="17"/>
                <w:szCs w:val="17"/>
                <w:b w:val="1"/>
                <w:bCs w:val="1"/>
                <w:color w:val="auto"/>
              </w:rPr>
              <w:t>(129)</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(363)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As of June 30, 2024 and December 31, 2023, the Company had $16.5 million and $24.8 million, respectively, in consigned inventory held on behalf of suppliers which is not recorded in the 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5. ACCRUED EXPENSES AND OTHER CURRENT LIABILITIES</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Accrued expenses and other current liabilities consist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6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38"/>
        </w:trPr>
        <w:tc>
          <w:tcPr>
            <w:tcW w:w="6360" w:type="dxa"/>
            <w:vAlign w:val="bottom"/>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25"/>
        </w:trPr>
        <w:tc>
          <w:tcPr>
            <w:tcW w:w="6360" w:type="dxa"/>
            <w:vAlign w:val="bottom"/>
          </w:tcPr>
          <w:p>
            <w:pPr>
              <w:spacing w:after="0"/>
              <w:rPr>
                <w:sz w:val="19"/>
                <w:szCs w:val="19"/>
                <w:color w:val="auto"/>
              </w:rPr>
            </w:pPr>
          </w:p>
        </w:tc>
        <w:tc>
          <w:tcPr>
            <w:tcW w:w="16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8"/>
        </w:trPr>
        <w:tc>
          <w:tcPr>
            <w:tcW w:w="636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Vendor expenses</w:t>
            </w:r>
          </w:p>
        </w:tc>
        <w:tc>
          <w:tcPr>
            <w:tcW w:w="1680" w:type="dxa"/>
            <w:vAlign w:val="bottom"/>
            <w:tcBorders>
              <w:bottom w:val="single" w:sz="8" w:color="CCEEFF"/>
            </w:tcBorders>
            <w:shd w:val="clear" w:color="auto" w:fill="CCEEFF"/>
          </w:tcPr>
          <w:p>
            <w:pPr>
              <w:jc w:val="right"/>
              <w:ind w:right="149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12,400</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 received not billed</w:t>
            </w:r>
          </w:p>
        </w:tc>
        <w:tc>
          <w:tcPr>
            <w:tcW w:w="1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10,119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12,686</w:t>
            </w:r>
          </w:p>
        </w:tc>
      </w:tr>
      <w:tr>
        <w:trPr>
          <w:trHeight w:val="38"/>
        </w:trPr>
        <w:tc>
          <w:tcPr>
            <w:tcW w:w="6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payroll expenses</w:t>
            </w:r>
          </w:p>
        </w:tc>
        <w:tc>
          <w:tcPr>
            <w:tcW w:w="1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6,027</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other tax payable accrual</w:t>
            </w:r>
          </w:p>
        </w:tc>
        <w:tc>
          <w:tcPr>
            <w:tcW w:w="16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4,040</w:t>
            </w:r>
          </w:p>
        </w:tc>
      </w:tr>
      <w:tr>
        <w:trPr>
          <w:trHeight w:val="38"/>
        </w:trPr>
        <w:tc>
          <w:tcPr>
            <w:tcW w:w="6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5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sales returns and allowances</w:t>
            </w:r>
          </w:p>
        </w:tc>
        <w:tc>
          <w:tcPr>
            <w:tcW w:w="16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portion of TRA</w:t>
            </w:r>
          </w:p>
        </w:tc>
        <w:tc>
          <w:tcPr>
            <w:tcW w:w="168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r>
      <w:tr>
        <w:trPr>
          <w:trHeight w:val="38"/>
        </w:trPr>
        <w:tc>
          <w:tcPr>
            <w:tcW w:w="63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6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6,036</w:t>
            </w:r>
          </w:p>
        </w:tc>
      </w:tr>
      <w:tr>
        <w:trPr>
          <w:trHeight w:val="257"/>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accrued expenses and other current liabilities</w:t>
            </w:r>
          </w:p>
        </w:tc>
        <w:tc>
          <w:tcPr>
            <w:tcW w:w="1680" w:type="dxa"/>
            <w:vAlign w:val="bottom"/>
            <w:tcBorders>
              <w:top w:val="single" w:sz="8" w:color="auto"/>
              <w:bottom w:val="single" w:sz="8" w:color="auto"/>
            </w:tcBorders>
          </w:tcPr>
          <w:p>
            <w:pPr>
              <w:jc w:val="right"/>
              <w:ind w:right="14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35,686</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43,824</w:t>
            </w:r>
          </w:p>
        </w:tc>
      </w:tr>
      <w:tr>
        <w:trPr>
          <w:trHeight w:val="25"/>
        </w:trPr>
        <w:tc>
          <w:tcPr>
            <w:tcW w:w="63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bl>
    <w:p>
      <w:pPr>
        <w:spacing w:after="0" w:line="314" w:lineRule="exact"/>
        <w:rPr>
          <w:sz w:val="20"/>
          <w:szCs w:val="20"/>
          <w:color w:val="auto"/>
        </w:rPr>
      </w:pPr>
    </w:p>
    <w:p>
      <w:pPr>
        <w:jc w:val="both"/>
        <w:ind w:firstLine="619"/>
        <w:spacing w:after="0" w:line="276" w:lineRule="auto"/>
        <w:rPr>
          <w:sz w:val="20"/>
          <w:szCs w:val="20"/>
          <w:color w:val="auto"/>
        </w:rPr>
      </w:pPr>
      <w:r>
        <w:rPr>
          <w:rFonts w:ascii="Times New Roman" w:cs="Times New Roman" w:eastAsia="Times New Roman" w:hAnsi="Times New Roman"/>
          <w:sz w:val="19"/>
          <w:szCs w:val="19"/>
          <w:color w:val="auto"/>
        </w:rPr>
        <w:t>Included in accrued expenses and other current liabilities is a provision for sales returns and allowances. Returns are estimated based on past experience and current expectations and are recorded as an adjustment to revenue. Activity for the six months ended June 30, 2024 and 2023, was as follows (in thousands):</w:t>
      </w:r>
    </w:p>
    <w:p>
      <w:pPr>
        <w:spacing w:after="0" w:line="226"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2"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4037965</wp:posOffset>
            </wp:positionH>
            <wp:positionV relativeFrom="paragraph">
              <wp:posOffset>31115</wp:posOffset>
            </wp:positionV>
            <wp:extent cx="3102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60" w:type="dxa"/>
            <w:vAlign w:val="bottom"/>
          </w:tcPr>
          <w:p>
            <w:pPr>
              <w:spacing w:after="0"/>
              <w:rPr>
                <w:sz w:val="19"/>
                <w:szCs w:val="19"/>
                <w:color w:val="auto"/>
              </w:rPr>
            </w:pP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20" w:type="dxa"/>
            <w:vAlign w:val="bottom"/>
          </w:tcPr>
          <w:p>
            <w:pPr>
              <w:jc w:val="right"/>
              <w:ind w:right="93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8"/>
        </w:trPr>
        <w:tc>
          <w:tcPr>
            <w:tcW w:w="636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r>
      <w:tr>
        <w:trPr>
          <w:trHeight w:val="244"/>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1580" w:type="dxa"/>
            <w:vAlign w:val="bottom"/>
            <w:tcBorders>
              <w:bottom w:val="single" w:sz="8" w:color="CCEEFF"/>
            </w:tcBorders>
            <w:shd w:val="clear" w:color="auto" w:fill="CCEEFF"/>
          </w:tcPr>
          <w:p>
            <w:pPr>
              <w:jc w:val="right"/>
              <w:ind w:right="139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2,332</w:t>
            </w:r>
          </w:p>
        </w:tc>
      </w:tr>
      <w:tr>
        <w:trPr>
          <w:trHeight w:val="232"/>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w:t>
            </w:r>
          </w:p>
        </w:tc>
        <w:tc>
          <w:tcPr>
            <w:tcW w:w="15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12,247</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10,133</w:t>
            </w:r>
          </w:p>
        </w:tc>
      </w:tr>
      <w:tr>
        <w:trPr>
          <w:trHeight w:val="38"/>
        </w:trPr>
        <w:tc>
          <w:tcPr>
            <w:tcW w:w="63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20" w:type="dxa"/>
            <w:vAlign w:val="bottom"/>
          </w:tcPr>
          <w:p>
            <w:pPr>
              <w:spacing w:after="0"/>
              <w:rPr>
                <w:sz w:val="3"/>
                <w:szCs w:val="3"/>
                <w:color w:val="auto"/>
              </w:rPr>
            </w:pPr>
          </w:p>
        </w:tc>
      </w:tr>
      <w:tr>
        <w:trPr>
          <w:trHeight w:val="271"/>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Returns and allowances</w:t>
            </w:r>
          </w:p>
        </w:tc>
        <w:tc>
          <w:tcPr>
            <w:tcW w:w="15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(13,249)</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(10,866)</w:t>
            </w:r>
          </w:p>
        </w:tc>
      </w:tr>
      <w:tr>
        <w:trPr>
          <w:trHeight w:val="257"/>
        </w:trPr>
        <w:tc>
          <w:tcPr>
            <w:tcW w:w="636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Balance at end of period</w:t>
            </w:r>
          </w:p>
        </w:tc>
        <w:tc>
          <w:tcPr>
            <w:tcW w:w="1580" w:type="dxa"/>
            <w:vAlign w:val="bottom"/>
            <w:tcBorders>
              <w:top w:val="single" w:sz="8" w:color="auto"/>
              <w:bottom w:val="single" w:sz="8" w:color="auto"/>
            </w:tcBorders>
          </w:tcPr>
          <w:p>
            <w:pPr>
              <w:jc w:val="right"/>
              <w:ind w:right="13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1,447</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1,599</w:t>
            </w:r>
          </w:p>
        </w:tc>
      </w:tr>
      <w:tr>
        <w:trPr>
          <w:trHeight w:val="25"/>
        </w:trPr>
        <w:tc>
          <w:tcPr>
            <w:tcW w:w="63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 LEASES</w:t>
      </w:r>
    </w:p>
    <w:p>
      <w:pPr>
        <w:spacing w:after="0" w:line="25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Company leases its executive offices, retail showrooms, office and operational locations under operating leases. The fixed, non-cancelable terms of our real estate leases are generally 5-10 years. Certain lease agreements include options to renew or terminate the lease, which are not reasonably certain to be exercised and therefore are not factored into the determination of lease payments. Most of the real estate leases require payment of real estate taxes, insurance and certain common area maintenance costs in addition to future minimum lease payments.</w:t>
      </w:r>
    </w:p>
    <w:p>
      <w:pPr>
        <w:spacing w:after="0" w:line="204" w:lineRule="exact"/>
        <w:rPr>
          <w:sz w:val="20"/>
          <w:szCs w:val="20"/>
          <w:color w:val="auto"/>
        </w:rPr>
      </w:pPr>
    </w:p>
    <w:p>
      <w:pPr>
        <w:jc w:val="both"/>
        <w:ind w:firstLine="619"/>
        <w:spacing w:after="0" w:line="297" w:lineRule="auto"/>
        <w:rPr>
          <w:sz w:val="20"/>
          <w:szCs w:val="20"/>
          <w:color w:val="auto"/>
        </w:rPr>
      </w:pPr>
      <w:r>
        <w:rPr>
          <w:rFonts w:ascii="Times New Roman" w:cs="Times New Roman" w:eastAsia="Times New Roman" w:hAnsi="Times New Roman"/>
          <w:sz w:val="19"/>
          <w:szCs w:val="19"/>
          <w:color w:val="auto"/>
        </w:rPr>
        <w:t>In May 2024, the Company entered into a sublet of a portion of leased office space to a third party for the remaining lease term. Sublease income is recognized on a straight-line basis over the sublease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Total operating lease costs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40" w:type="dxa"/>
            <w:vAlign w:val="bottom"/>
          </w:tcPr>
          <w:p>
            <w:pPr>
              <w:spacing w:after="0"/>
              <w:rPr>
                <w:sz w:val="17"/>
                <w:szCs w:val="17"/>
                <w:color w:val="auto"/>
              </w:rPr>
            </w:pPr>
          </w:p>
        </w:tc>
        <w:tc>
          <w:tcPr>
            <w:tcW w:w="2140" w:type="dxa"/>
            <w:vAlign w:val="bottom"/>
            <w:gridSpan w:val="4"/>
          </w:tcPr>
          <w:p>
            <w:pPr>
              <w:jc w:val="right"/>
              <w:ind w:right="441"/>
              <w:spacing w:after="0"/>
              <w:rPr>
                <w:sz w:val="20"/>
                <w:szCs w:val="20"/>
                <w:color w:val="auto"/>
              </w:rPr>
            </w:pPr>
            <w:r>
              <w:rPr>
                <w:rFonts w:ascii="Times New Roman" w:cs="Times New Roman" w:eastAsia="Times New Roman" w:hAnsi="Times New Roman"/>
                <w:sz w:val="17"/>
                <w:szCs w:val="17"/>
                <w:b w:val="1"/>
                <w:bCs w:val="1"/>
                <w:color w:val="auto"/>
              </w:rPr>
              <w:t>Six Months Ended</w:t>
            </w:r>
          </w:p>
        </w:tc>
      </w:tr>
      <w:tr>
        <w:trPr>
          <w:trHeight w:val="227"/>
        </w:trPr>
        <w:tc>
          <w:tcPr>
            <w:tcW w:w="19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820" w:type="dxa"/>
            <w:vAlign w:val="bottom"/>
          </w:tcPr>
          <w:p>
            <w:pPr>
              <w:spacing w:after="0"/>
              <w:rPr>
                <w:sz w:val="19"/>
                <w:szCs w:val="19"/>
                <w:color w:val="auto"/>
              </w:rPr>
            </w:pPr>
          </w:p>
        </w:tc>
      </w:tr>
      <w:tr>
        <w:trPr>
          <w:trHeight w:val="38"/>
        </w:trPr>
        <w:tc>
          <w:tcPr>
            <w:tcW w:w="1920" w:type="dxa"/>
            <w:vAlign w:val="bottom"/>
          </w:tcPr>
          <w:p>
            <w:pPr>
              <w:spacing w:after="0"/>
              <w:rPr>
                <w:sz w:val="3"/>
                <w:szCs w:val="3"/>
                <w:color w:val="auto"/>
              </w:rPr>
            </w:pPr>
          </w:p>
        </w:tc>
        <w:tc>
          <w:tcPr>
            <w:tcW w:w="3140" w:type="dxa"/>
            <w:vAlign w:val="bottom"/>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2"/>
        </w:trPr>
        <w:tc>
          <w:tcPr>
            <w:tcW w:w="1920" w:type="dxa"/>
            <w:vAlign w:val="bottom"/>
          </w:tcPr>
          <w:p>
            <w:pPr>
              <w:spacing w:after="0"/>
              <w:rPr>
                <w:sz w:val="20"/>
                <w:szCs w:val="20"/>
                <w:color w:val="auto"/>
              </w:rPr>
            </w:pPr>
          </w:p>
        </w:tc>
        <w:tc>
          <w:tcPr>
            <w:tcW w:w="3140" w:type="dxa"/>
            <w:vAlign w:val="bottom"/>
            <w:gridSpan w:val="2"/>
          </w:tcPr>
          <w:p>
            <w:pPr>
              <w:ind w:left="1060"/>
              <w:spacing w:after="0"/>
              <w:rPr>
                <w:sz w:val="20"/>
                <w:szCs w:val="20"/>
                <w:color w:val="auto"/>
              </w:rPr>
            </w:pPr>
            <w:r>
              <w:rPr>
                <w:rFonts w:ascii="Times New Roman" w:cs="Times New Roman" w:eastAsia="Times New Roman" w:hAnsi="Times New Roman"/>
                <w:sz w:val="15"/>
                <w:szCs w:val="15"/>
                <w:b w:val="1"/>
                <w:bCs w:val="1"/>
                <w:color w:val="auto"/>
              </w:rPr>
              <w:t>Classification</w:t>
            </w:r>
          </w:p>
        </w:tc>
        <w:tc>
          <w:tcPr>
            <w:tcW w:w="240" w:type="dxa"/>
            <w:vAlign w:val="bottom"/>
          </w:tcPr>
          <w:p>
            <w:pPr>
              <w:spacing w:after="0"/>
              <w:rPr>
                <w:sz w:val="20"/>
                <w:szCs w:val="20"/>
                <w:color w:val="auto"/>
              </w:rPr>
            </w:pPr>
          </w:p>
        </w:tc>
        <w:tc>
          <w:tcPr>
            <w:tcW w:w="880" w:type="dxa"/>
            <w:vAlign w:val="bottom"/>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21"/>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1"/>
        </w:trPr>
        <w:tc>
          <w:tcPr>
            <w:tcW w:w="1920" w:type="dxa"/>
            <w:vAlign w:val="bottom"/>
            <w:tcBorders>
              <w:bottom w:val="single" w:sz="8" w:color="CCEEFF"/>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8"/>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Operating lease costs</w:t>
            </w: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3,783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3,352</w:t>
            </w:r>
          </w:p>
        </w:tc>
      </w:tr>
      <w:tr>
        <w:trPr>
          <w:trHeight w:val="214"/>
        </w:trPr>
        <w:tc>
          <w:tcPr>
            <w:tcW w:w="1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lease costs</w:t>
            </w:r>
          </w:p>
        </w:tc>
        <w:tc>
          <w:tcPr>
            <w:tcW w:w="3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1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5"/>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Variable lease costs</w:t>
            </w: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592</w:t>
            </w:r>
          </w:p>
        </w:tc>
      </w:tr>
      <w:tr>
        <w:trPr>
          <w:trHeight w:val="214"/>
        </w:trPr>
        <w:tc>
          <w:tcPr>
            <w:tcW w:w="19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Variable lease costs</w:t>
            </w:r>
          </w:p>
        </w:tc>
        <w:tc>
          <w:tcPr>
            <w:tcW w:w="31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Cost of sales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r>
      <w:tr>
        <w:trPr>
          <w:trHeight w:val="31"/>
        </w:trPr>
        <w:tc>
          <w:tcPr>
            <w:tcW w:w="19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5"/>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Sublease income</w:t>
            </w:r>
          </w:p>
        </w:tc>
        <w:tc>
          <w:tcPr>
            <w:tcW w:w="3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 expense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color w:val="auto"/>
              </w:rPr>
              <w:t>—</w:t>
            </w:r>
          </w:p>
        </w:tc>
      </w:tr>
      <w:tr>
        <w:trPr>
          <w:trHeight w:val="235"/>
        </w:trPr>
        <w:tc>
          <w:tcPr>
            <w:tcW w:w="19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lease costs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2,483</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2,126</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4,769</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5"/>
                <w:szCs w:val="15"/>
                <w:b w:val="1"/>
                <w:bCs w:val="1"/>
                <w:color w:val="auto"/>
              </w:rPr>
              <w:t>$</w:t>
            </w:r>
          </w:p>
        </w:tc>
        <w:tc>
          <w:tcPr>
            <w:tcW w:w="8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3,944</w:t>
            </w:r>
          </w:p>
        </w:tc>
      </w:tr>
      <w:tr>
        <w:trPr>
          <w:trHeight w:val="21"/>
        </w:trPr>
        <w:tc>
          <w:tcPr>
            <w:tcW w:w="19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maturity analysis of the operating lease liabilities as of June 30, 2024 was as follows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jc w:val="right"/>
              <w:ind w:right="843"/>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18"/>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 the remainder of the year ending December 31, 2024</w:t>
            </w:r>
          </w:p>
        </w:tc>
        <w:tc>
          <w:tcPr>
            <w:tcW w:w="520" w:type="dxa"/>
            <w:vAlign w:val="bottom"/>
            <w:tcBorders>
              <w:bottom w:val="single" w:sz="8" w:color="CCEEFF"/>
            </w:tcBorders>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3,529</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5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2025</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9,043</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2026</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8,842</w:t>
            </w: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2027</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7,509</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2028</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6,530</w:t>
            </w:r>
          </w:p>
        </w:tc>
      </w:tr>
      <w:tr>
        <w:trPr>
          <w:trHeight w:val="31"/>
        </w:trPr>
        <w:tc>
          <w:tcPr>
            <w:tcW w:w="8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25"/>
        </w:trPr>
        <w:tc>
          <w:tcPr>
            <w:tcW w:w="88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2029</w:t>
            </w:r>
          </w:p>
        </w:tc>
        <w:tc>
          <w:tcPr>
            <w:tcW w:w="52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5,708</w:t>
            </w:r>
          </w:p>
        </w:tc>
      </w:tr>
      <w:tr>
        <w:trPr>
          <w:trHeight w:val="214"/>
        </w:trPr>
        <w:tc>
          <w:tcPr>
            <w:tcW w:w="88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Thereafter</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13,202</w:t>
            </w:r>
          </w:p>
        </w:tc>
      </w:tr>
      <w:tr>
        <w:trPr>
          <w:trHeight w:val="31"/>
        </w:trPr>
        <w:tc>
          <w:tcPr>
            <w:tcW w:w="88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8"/>
        </w:trPr>
        <w:tc>
          <w:tcPr>
            <w:tcW w:w="8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Total minimum lease payments</w:t>
            </w:r>
            <w:r>
              <w:rPr>
                <w:rFonts w:ascii="Times New Roman" w:cs="Times New Roman" w:eastAsia="Times New Roman" w:hAnsi="Times New Roman"/>
                <w:sz w:val="20"/>
                <w:szCs w:val="20"/>
                <w:b w:val="1"/>
                <w:bCs w:val="1"/>
                <w:color w:val="auto"/>
                <w:vertAlign w:val="superscript"/>
              </w:rPr>
              <w:t>(1)</w:t>
            </w:r>
          </w:p>
        </w:tc>
        <w:tc>
          <w:tcPr>
            <w:tcW w:w="52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54,363</w:t>
            </w:r>
          </w:p>
        </w:tc>
      </w:tr>
      <w:tr>
        <w:trPr>
          <w:trHeight w:val="214"/>
        </w:trPr>
        <w:tc>
          <w:tcPr>
            <w:tcW w:w="8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imputed interest</w:t>
            </w:r>
          </w:p>
        </w:tc>
        <w:tc>
          <w:tcPr>
            <w:tcW w:w="5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(10,035)</w:t>
            </w: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Net present value of operating lease liabilities</w:t>
            </w: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ind w:left="920"/>
              <w:spacing w:after="0"/>
              <w:rPr>
                <w:sz w:val="20"/>
                <w:szCs w:val="20"/>
                <w:color w:val="auto"/>
              </w:rPr>
            </w:pPr>
            <w:r>
              <w:rPr>
                <w:rFonts w:ascii="Times New Roman" w:cs="Times New Roman" w:eastAsia="Times New Roman" w:hAnsi="Times New Roman"/>
                <w:sz w:val="15"/>
                <w:szCs w:val="15"/>
                <w:b w:val="1"/>
                <w:bCs w:val="1"/>
                <w:color w:val="auto"/>
              </w:rPr>
              <w:t>44,328</w:t>
            </w:r>
          </w:p>
        </w:tc>
      </w:tr>
      <w:tr>
        <w:trPr>
          <w:trHeight w:val="214"/>
        </w:trPr>
        <w:tc>
          <w:tcPr>
            <w:tcW w:w="884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Less: current portion</w:t>
            </w:r>
          </w:p>
        </w:tc>
        <w:tc>
          <w:tcPr>
            <w:tcW w:w="1000" w:type="dxa"/>
            <w:vAlign w:val="bottom"/>
          </w:tcPr>
          <w:p>
            <w:pPr>
              <w:spacing w:after="0"/>
              <w:rPr>
                <w:sz w:val="18"/>
                <w:szCs w:val="18"/>
                <w:color w:val="auto"/>
              </w:rPr>
            </w:pPr>
          </w:p>
        </w:tc>
        <w:tc>
          <w:tcPr>
            <w:tcW w:w="1400" w:type="dxa"/>
            <w:vAlign w:val="bottom"/>
          </w:tcPr>
          <w:p>
            <w:pPr>
              <w:ind w:left="920"/>
              <w:spacing w:after="0"/>
              <w:rPr>
                <w:sz w:val="20"/>
                <w:szCs w:val="20"/>
                <w:color w:val="auto"/>
              </w:rPr>
            </w:pPr>
            <w:r>
              <w:rPr>
                <w:rFonts w:ascii="Times New Roman" w:cs="Times New Roman" w:eastAsia="Times New Roman" w:hAnsi="Times New Roman"/>
                <w:sz w:val="15"/>
                <w:szCs w:val="15"/>
                <w:color w:val="auto"/>
              </w:rPr>
              <w:t>(5,713)</w:t>
            </w:r>
          </w:p>
        </w:tc>
      </w:tr>
      <w:tr>
        <w:trPr>
          <w:trHeight w:val="31"/>
        </w:trPr>
        <w:tc>
          <w:tcPr>
            <w:tcW w:w="8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0"/>
        </w:trPr>
        <w:tc>
          <w:tcPr>
            <w:tcW w:w="8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5"/>
                <w:szCs w:val="15"/>
                <w:b w:val="1"/>
                <w:bCs w:val="1"/>
                <w:color w:val="auto"/>
              </w:rPr>
              <w:t>Long-term portion</w:t>
            </w: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5"/>
                <w:szCs w:val="15"/>
                <w:b w:val="1"/>
                <w:bCs w:val="1"/>
                <w:color w:val="auto"/>
              </w:rPr>
              <w:t>38,615</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right="220" w:firstLine="622"/>
        <w:spacing w:after="0" w:line="255" w:lineRule="auto"/>
        <w:tabs>
          <w:tab w:leader="none" w:pos="84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Future minimum lease payments exclude $1.6 million of future payments required under a signed lease agreement that has not yet commenced. The operating lease will commence after June 30, 2024 with a lease term of five years.</w:t>
      </w:r>
    </w:p>
    <w:p>
      <w:pPr>
        <w:spacing w:after="0" w:line="173"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As of June 30, 2024, future minimum tenant operating receipts remaining under the third party sublease were $0.6 million with a remaining sublease term of 2.4 years.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weighted-average remaining lease term and weighted-average discount rate on long-term leases was as follows:</w:t>
      </w:r>
    </w:p>
    <w:p>
      <w:pPr>
        <w:spacing w:after="0" w:line="298"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7"/>
          <w:szCs w:val="17"/>
          <w:b w:val="1"/>
          <w:bCs w:val="1"/>
          <w:color w:val="auto"/>
        </w:rPr>
        <w:t>Six Months Ended</w:t>
      </w:r>
    </w:p>
    <w:p>
      <w:pPr>
        <w:spacing w:after="0" w:line="32"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7"/>
          <w:szCs w:val="17"/>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31115</wp:posOffset>
            </wp:positionV>
            <wp:extent cx="28816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760" w:type="dxa"/>
            <w:vAlign w:val="bottom"/>
          </w:tcPr>
          <w:p>
            <w:pPr>
              <w:spacing w:after="0"/>
              <w:rPr>
                <w:sz w:val="19"/>
                <w:szCs w:val="19"/>
                <w:color w:val="auto"/>
              </w:rPr>
            </w:pPr>
          </w:p>
        </w:tc>
        <w:tc>
          <w:tcPr>
            <w:tcW w:w="2320" w:type="dxa"/>
            <w:vAlign w:val="bottom"/>
            <w:gridSpan w:val="2"/>
          </w:tcPr>
          <w:p>
            <w:pPr>
              <w:jc w:val="right"/>
              <w:ind w:right="86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8"/>
        </w:trPr>
        <w:tc>
          <w:tcPr>
            <w:tcW w:w="6700" w:type="dxa"/>
            <w:vAlign w:val="bottom"/>
            <w:gridSpan w:val="2"/>
          </w:tcPr>
          <w:p>
            <w:pPr>
              <w:spacing w:after="0"/>
              <w:rPr>
                <w:sz w:val="3"/>
                <w:szCs w:val="3"/>
                <w:color w:val="auto"/>
              </w:rPr>
            </w:pPr>
          </w:p>
        </w:tc>
        <w:tc>
          <w:tcPr>
            <w:tcW w:w="1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20" w:type="dxa"/>
            <w:vAlign w:val="bottom"/>
          </w:tcPr>
          <w:p>
            <w:pPr>
              <w:spacing w:after="0"/>
              <w:rPr>
                <w:sz w:val="3"/>
                <w:szCs w:val="3"/>
                <w:color w:val="auto"/>
              </w:rPr>
            </w:pPr>
          </w:p>
        </w:tc>
      </w:tr>
      <w:tr>
        <w:trPr>
          <w:trHeight w:val="21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Weighted-average remaining lease term - operating leases</w:t>
            </w:r>
          </w:p>
        </w:tc>
        <w:tc>
          <w:tcPr>
            <w:tcW w:w="80" w:type="dxa"/>
            <w:vAlign w:val="bottom"/>
            <w:tcBorders>
              <w:top w:val="single" w:sz="8" w:color="BFE4FF"/>
              <w:bottom w:val="single" w:sz="8" w:color="BFE4FF"/>
            </w:tcBorders>
            <w:shd w:val="clear" w:color="auto" w:fill="BFE4FF"/>
          </w:tcPr>
          <w:p>
            <w:pPr>
              <w:spacing w:after="0"/>
              <w:rPr>
                <w:sz w:val="18"/>
                <w:szCs w:val="18"/>
                <w:color w:val="auto"/>
              </w:rPr>
            </w:pPr>
          </w:p>
        </w:tc>
        <w:tc>
          <w:tcPr>
            <w:tcW w:w="146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 years</w:t>
            </w:r>
          </w:p>
        </w:tc>
        <w:tc>
          <w:tcPr>
            <w:tcW w:w="100" w:type="dxa"/>
            <w:vAlign w:val="bottom"/>
            <w:tcBorders>
              <w:top w:val="single" w:sz="8" w:color="BFE4FF"/>
              <w:bottom w:val="single" w:sz="8" w:color="BFE4FF"/>
            </w:tcBorders>
            <w:shd w:val="clear" w:color="auto" w:fill="BFE4FF"/>
          </w:tcPr>
          <w:p>
            <w:pPr>
              <w:spacing w:after="0"/>
              <w:rPr>
                <w:sz w:val="18"/>
                <w:szCs w:val="18"/>
                <w:color w:val="auto"/>
              </w:rPr>
            </w:pPr>
          </w:p>
        </w:tc>
        <w:tc>
          <w:tcPr>
            <w:tcW w:w="2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 years</w:t>
            </w:r>
          </w:p>
        </w:tc>
      </w:tr>
      <w:tr>
        <w:trPr>
          <w:trHeight w:val="214"/>
        </w:trPr>
        <w:tc>
          <w:tcPr>
            <w:tcW w:w="816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Weighted-average discount rate - operating leases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firstLine="619"/>
        <w:spacing w:after="0" w:line="283" w:lineRule="auto"/>
        <w:rPr>
          <w:sz w:val="20"/>
          <w:szCs w:val="20"/>
          <w:color w:val="auto"/>
        </w:rPr>
      </w:pPr>
      <w:r>
        <w:rPr>
          <w:rFonts w:ascii="Times New Roman" w:cs="Times New Roman" w:eastAsia="Times New Roman" w:hAnsi="Times New Roman"/>
          <w:sz w:val="19"/>
          <w:szCs w:val="19"/>
          <w:color w:val="auto"/>
        </w:rPr>
        <w:t>Cash paid for amounts included in the measurement of lease liabilities was $4.0 million and $2.9 million for the six months ended June 30, 2024 and 2023,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7. DEBT</w:t>
      </w:r>
    </w:p>
    <w:p>
      <w:pPr>
        <w:spacing w:after="0" w:line="250" w:lineRule="exact"/>
        <w:rPr>
          <w:sz w:val="20"/>
          <w:szCs w:val="20"/>
          <w:color w:val="auto"/>
        </w:rPr>
      </w:pPr>
    </w:p>
    <w:p>
      <w:pPr>
        <w:ind w:right="240" w:firstLine="619"/>
        <w:spacing w:after="0" w:line="255" w:lineRule="auto"/>
        <w:rPr>
          <w:sz w:val="20"/>
          <w:szCs w:val="20"/>
          <w:color w:val="auto"/>
        </w:rPr>
      </w:pPr>
      <w:r>
        <w:rPr>
          <w:rFonts w:ascii="Times New Roman" w:cs="Times New Roman" w:eastAsia="Times New Roman" w:hAnsi="Times New Roman"/>
          <w:sz w:val="19"/>
          <w:szCs w:val="19"/>
          <w:color w:val="auto"/>
        </w:rPr>
        <w:t>The following table summarizes the net carrying amount of the Company's outstanding debt as of June 30, 2024 and December 31, 2023, net of debt issuance costs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8"/>
        </w:trPr>
        <w:tc>
          <w:tcPr>
            <w:tcW w:w="21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17"/>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Debt issuance</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Net carrying</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Debt issuance</w:t>
            </w:r>
          </w:p>
        </w:tc>
        <w:tc>
          <w:tcPr>
            <w:tcW w:w="180" w:type="dxa"/>
            <w:vAlign w:val="bottom"/>
          </w:tcPr>
          <w:p>
            <w:pPr>
              <w:spacing w:after="0"/>
              <w:rPr>
                <w:sz w:val="18"/>
                <w:szCs w:val="18"/>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Net carrying</w:t>
            </w:r>
          </w:p>
        </w:tc>
      </w:tr>
      <w:tr>
        <w:trPr>
          <w:trHeight w:val="227"/>
        </w:trPr>
        <w:tc>
          <w:tcPr>
            <w:tcW w:w="2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costs</w:t>
            </w:r>
          </w:p>
        </w:tc>
        <w:tc>
          <w:tcPr>
            <w:tcW w:w="18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7"/>
              </w:rPr>
              <w:t>costs</w:t>
            </w:r>
          </w:p>
        </w:tc>
        <w:tc>
          <w:tcPr>
            <w:tcW w:w="180" w:type="dxa"/>
            <w:vAlign w:val="bottom"/>
          </w:tcPr>
          <w:p>
            <w:pPr>
              <w:spacing w:after="0"/>
              <w:rPr>
                <w:sz w:val="19"/>
                <w:szCs w:val="19"/>
                <w:color w:val="auto"/>
              </w:rPr>
            </w:pPr>
          </w:p>
        </w:tc>
        <w:tc>
          <w:tcPr>
            <w:tcW w:w="124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5"/>
        </w:trPr>
        <w:tc>
          <w:tcPr>
            <w:tcW w:w="2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2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w:t>
            </w:r>
          </w:p>
        </w:tc>
      </w:tr>
      <w:tr>
        <w:trPr>
          <w:trHeight w:val="232"/>
        </w:trPr>
        <w:tc>
          <w:tcPr>
            <w:tcW w:w="2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 term</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55,573</w:t>
            </w:r>
          </w:p>
        </w:tc>
      </w:tr>
      <w:tr>
        <w:trPr>
          <w:trHeight w:val="38"/>
        </w:trPr>
        <w:tc>
          <w:tcPr>
            <w:tcW w:w="21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82"/>
        </w:trPr>
        <w:tc>
          <w:tcPr>
            <w:tcW w:w="2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Total debt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58,500</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58,040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60,126</w:t>
            </w:r>
          </w:p>
        </w:tc>
        <w:tc>
          <w:tcPr>
            <w:tcW w:w="10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59,636</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Credit Agreement - Silicon Valley Bank</w:t>
      </w:r>
    </w:p>
    <w:p>
      <w:pPr>
        <w:spacing w:after="0" w:line="18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On May 24, 2022, Brilliant Earth, LLC, as borrower, and Silicon Valley Bank ("SVB"), as administrative agent and collateral agent for the lenders, entered into a credit agreement (the "SVB Credit Agreement") which provides for a secured term loan credit facility of $65.0 million (the "SVB Term Loan") and a secured revolving credit facility in an amount of up to $40.0 million (the "SVB Revolving Facility," and together with the SVB Term Loan, the "SVB Credit Facilities").</w:t>
      </w:r>
    </w:p>
    <w:p>
      <w:pPr>
        <w:spacing w:after="0" w:line="12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SVB Credit Facilities are subject to customary affirmative covenants and negative covenants as well as financial maintenance covenants. The financial covenants are tested at the end of each fiscal quarter, and require that (a) the Company and its subsidiaries not have a Consolidated Fixed Charge Coverage Ratio (defined as the ratio of (i) Consolidated EBITDA, less cash taxes (including tax distributions), less certain capital expenditures, less cash dividends and other cash restricted payments, to (ii) the sum of cash interest expense and scheduled principal payments on outstanding debt (in each case, as further defined in the SVB Credit Agreement)) of less than 1.25 to 1.00, (b) the Company and its subsidiaries not have a Consolidated Total Leverage Ratio of more than 4.00 to 1.00, and (c) Brilliant Earth, LLC and its subsidiaries not have a Consolidated Borrower Leverage Ratio (defined substantially similar as Consolidated Total Leverage Ratio, but limited to Brilliant Earth, LLC and its subsidiaries) in excess of 3.00 to 1.00 (which level is subject to temporary increases to 4.00 to 1.00 in connection with certain acquisitions).</w:t>
      </w:r>
    </w:p>
    <w:p>
      <w:pPr>
        <w:spacing w:after="0" w:line="148"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On February 21, 2024, we entered into the First Amendment to the SVB Credit Agreement (the "First Amendment"), pursuant to which the lenders agreed to suspend the requirement to comply with the Consolidated Fixed Charge Coverage Ratio covenant on the last day of the fiscal quarters ending December 31, 2023, March 31, 2024, and June 30, 2024. The First Amendment also requires us to maintain Balance Sheet Cash (defined as unrestricted cash and cash equivalents held in accounts with the lenders and their affiliates) in an amount greater than the sum of the aggregate principal amount outstanding under the SVB Revolving Facility (including issued letters of credit) and the aggregate principal amount of the SVB Term Loan outstanding at such time, which requirement applies at all times commencing on February 21, 2024 until the last day of the fiscal quarter ending June 30, 2024. After such time, the minimum Balance Sheet Cash covenant no longer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As of June 30, 2024, the Company was in compliance with all applicable covenants under the SVB Credit Agreement.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The Company's debt effective interest rate was 8.74% and 8.21% for the three months ended June 30, 2024 and 2023, respectively.</w:t>
      </w:r>
    </w:p>
    <w:p>
      <w:pPr>
        <w:spacing w:after="0" w:line="2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Company's debt effective interest rate was 8.42% and 7.96% for the six months ended June 30, 2024 and 2023, respectively.</w:t>
      </w:r>
    </w:p>
    <w:p>
      <w:pPr>
        <w:spacing w:after="0" w:line="2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As of June 30, 2024, there were no amounts outstanding under the SVB Revolving Facility.</w:t>
      </w:r>
    </w:p>
    <w:p>
      <w:pPr>
        <w:spacing w:after="0" w:line="1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As of June 30, 2024, the aggregate future principal payments under the SVB Term Loan were as follows (in thousands):</w:t>
      </w:r>
    </w:p>
    <w:p>
      <w:pPr>
        <w:spacing w:after="0" w:line="66" w:lineRule="exact"/>
        <w:rPr>
          <w:sz w:val="20"/>
          <w:szCs w:val="20"/>
          <w:color w:val="auto"/>
        </w:rPr>
      </w:pPr>
    </w:p>
    <w:tbl>
      <w:tblPr>
        <w:tblLayout w:type="fixed"/>
        <w:tblInd w:w="1580" w:type="dxa"/>
        <w:tblCellMar>
          <w:top w:w="0" w:type="dxa"/>
          <w:left w:w="0" w:type="dxa"/>
          <w:bottom w:w="0" w:type="dxa"/>
          <w:right w:w="0" w:type="dxa"/>
        </w:tblCellMar>
      </w:tblPr>
      <w:tr>
        <w:trPr>
          <w:trHeight w:val="227"/>
        </w:trPr>
        <w:tc>
          <w:tcPr>
            <w:tcW w:w="6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Principal</w:t>
            </w:r>
          </w:p>
        </w:tc>
      </w:tr>
      <w:tr>
        <w:trPr>
          <w:trHeight w:val="38"/>
        </w:trPr>
        <w:tc>
          <w:tcPr>
            <w:tcW w:w="60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44"/>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 the remainder of the year ending December 31, 2024</w:t>
            </w:r>
          </w:p>
        </w:tc>
        <w:tc>
          <w:tcPr>
            <w:tcW w:w="380" w:type="dxa"/>
            <w:vAlign w:val="bottom"/>
            <w:tcBorders>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2,437</w:t>
            </w:r>
          </w:p>
        </w:tc>
      </w:tr>
      <w:tr>
        <w:trPr>
          <w:trHeight w:val="232"/>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Years ending December 31,</w:t>
            </w:r>
          </w:p>
        </w:tc>
        <w:tc>
          <w:tcPr>
            <w:tcW w:w="3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8"/>
        </w:trPr>
        <w:tc>
          <w:tcPr>
            <w:tcW w:w="6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51"/>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5,688</w:t>
            </w:r>
          </w:p>
        </w:tc>
      </w:tr>
      <w:tr>
        <w:trPr>
          <w:trHeight w:val="232"/>
        </w:trPr>
        <w:tc>
          <w:tcPr>
            <w:tcW w:w="6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r>
      <w:tr>
        <w:trPr>
          <w:trHeight w:val="38"/>
        </w:trPr>
        <w:tc>
          <w:tcPr>
            <w:tcW w:w="6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71"/>
        </w:trPr>
        <w:tc>
          <w:tcPr>
            <w:tcW w:w="6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43,875</w:t>
            </w:r>
          </w:p>
        </w:tc>
      </w:tr>
      <w:tr>
        <w:trPr>
          <w:trHeight w:val="257"/>
        </w:trPr>
        <w:tc>
          <w:tcPr>
            <w:tcW w:w="6080" w:type="dxa"/>
            <w:vAlign w:val="bottom"/>
          </w:tcPr>
          <w:p>
            <w:pPr>
              <w:ind w:left="220"/>
              <w:spacing w:after="0"/>
              <w:rPr>
                <w:sz w:val="20"/>
                <w:szCs w:val="20"/>
                <w:color w:val="auto"/>
              </w:rPr>
            </w:pPr>
            <w:r>
              <w:rPr>
                <w:rFonts w:ascii="Times New Roman" w:cs="Times New Roman" w:eastAsia="Times New Roman" w:hAnsi="Times New Roman"/>
                <w:sz w:val="17"/>
                <w:szCs w:val="17"/>
                <w:b w:val="1"/>
                <w:bCs w:val="1"/>
                <w:color w:val="auto"/>
              </w:rPr>
              <w:t>Total aggregate future principal payments</w:t>
            </w: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58,500</w:t>
            </w:r>
          </w:p>
        </w:tc>
      </w:tr>
      <w:tr>
        <w:trPr>
          <w:trHeight w:val="25"/>
        </w:trPr>
        <w:tc>
          <w:tcPr>
            <w:tcW w:w="60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500"/>
          </w:cols>
          <w:pgMar w:left="320" w:top="132" w:right="10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8. EQUITY-BASED COMPENSATION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Grants of Restricted Stock Units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the activity related to the Company's restricted stock units ("RSUs") for the six months ended June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580" w:type="dxa"/>
            <w:vAlign w:val="bottom"/>
          </w:tcPr>
          <w:p>
            <w:pPr>
              <w:spacing w:after="0"/>
              <w:rPr>
                <w:sz w:val="19"/>
                <w:szCs w:val="19"/>
                <w:color w:val="auto"/>
              </w:rPr>
            </w:pPr>
          </w:p>
        </w:tc>
        <w:tc>
          <w:tcPr>
            <w:tcW w:w="2020" w:type="dxa"/>
            <w:vAlign w:val="bottom"/>
            <w:vMerge w:val="restart"/>
          </w:tcPr>
          <w:p>
            <w:pPr>
              <w:ind w:left="760"/>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Weighted average grant date fair</w:t>
            </w:r>
          </w:p>
        </w:tc>
        <w:tc>
          <w:tcPr>
            <w:tcW w:w="0" w:type="dxa"/>
            <w:vAlign w:val="bottom"/>
          </w:tcPr>
          <w:p>
            <w:pPr>
              <w:spacing w:after="0"/>
              <w:rPr>
                <w:sz w:val="1"/>
                <w:szCs w:val="1"/>
                <w:color w:val="auto"/>
              </w:rPr>
            </w:pPr>
          </w:p>
        </w:tc>
      </w:tr>
      <w:tr>
        <w:trPr>
          <w:trHeight w:val="227"/>
        </w:trPr>
        <w:tc>
          <w:tcPr>
            <w:tcW w:w="5580" w:type="dxa"/>
            <w:vAlign w:val="bottom"/>
          </w:tcPr>
          <w:p>
            <w:pPr>
              <w:spacing w:after="0"/>
              <w:rPr>
                <w:sz w:val="19"/>
                <w:szCs w:val="19"/>
                <w:color w:val="auto"/>
              </w:rPr>
            </w:pPr>
          </w:p>
        </w:tc>
        <w:tc>
          <w:tcPr>
            <w:tcW w:w="202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40" w:type="dxa"/>
            <w:vAlign w:val="bottom"/>
          </w:tcPr>
          <w:p>
            <w:pPr>
              <w:jc w:val="right"/>
              <w:ind w:right="1114"/>
              <w:spacing w:after="0"/>
              <w:rPr>
                <w:sz w:val="20"/>
                <w:szCs w:val="20"/>
                <w:color w:val="auto"/>
              </w:rPr>
            </w:pPr>
            <w:r>
              <w:rPr>
                <w:rFonts w:ascii="Times New Roman" w:cs="Times New Roman" w:eastAsia="Times New Roman" w:hAnsi="Times New Roman"/>
                <w:sz w:val="17"/>
                <w:szCs w:val="17"/>
                <w:b w:val="1"/>
                <w:bCs w:val="1"/>
                <w:color w:val="auto"/>
              </w:rPr>
              <w:t>value</w:t>
            </w:r>
          </w:p>
        </w:tc>
        <w:tc>
          <w:tcPr>
            <w:tcW w:w="0" w:type="dxa"/>
            <w:vAlign w:val="bottom"/>
          </w:tcPr>
          <w:p>
            <w:pPr>
              <w:spacing w:after="0"/>
              <w:rPr>
                <w:sz w:val="1"/>
                <w:szCs w:val="1"/>
                <w:color w:val="auto"/>
              </w:rPr>
            </w:pPr>
          </w:p>
        </w:tc>
      </w:tr>
      <w:tr>
        <w:trPr>
          <w:trHeight w:val="25"/>
        </w:trPr>
        <w:tc>
          <w:tcPr>
            <w:tcW w:w="558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 unvested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3,942,052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0" w:type="dxa"/>
            <w:vAlign w:val="bottom"/>
          </w:tcPr>
          <w:p>
            <w:pPr>
              <w:spacing w:after="0"/>
              <w:rPr>
                <w:sz w:val="1"/>
                <w:szCs w:val="1"/>
                <w:color w:val="auto"/>
              </w:rPr>
            </w:pPr>
          </w:p>
        </w:tc>
      </w:tr>
      <w:tr>
        <w:trPr>
          <w:trHeight w:val="23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2,017,751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0" w:type="dxa"/>
            <w:vAlign w:val="bottom"/>
          </w:tcPr>
          <w:p>
            <w:pPr>
              <w:spacing w:after="0"/>
              <w:rPr>
                <w:sz w:val="1"/>
                <w:szCs w:val="1"/>
                <w:color w:val="auto"/>
              </w:rPr>
            </w:pPr>
          </w:p>
        </w:tc>
      </w:tr>
      <w:tr>
        <w:trPr>
          <w:trHeight w:val="38"/>
        </w:trPr>
        <w:tc>
          <w:tcPr>
            <w:tcW w:w="5580" w:type="dxa"/>
            <w:vAlign w:val="bottom"/>
          </w:tcPr>
          <w:p>
            <w:pPr>
              <w:spacing w:after="0"/>
              <w:rPr>
                <w:sz w:val="3"/>
                <w:szCs w:val="3"/>
                <w:color w:val="auto"/>
              </w:rPr>
            </w:pPr>
          </w:p>
        </w:tc>
        <w:tc>
          <w:tcPr>
            <w:tcW w:w="20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7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(990,812)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0" w:type="dxa"/>
            <w:vAlign w:val="bottom"/>
          </w:tcPr>
          <w:p>
            <w:pPr>
              <w:spacing w:after="0"/>
              <w:rPr>
                <w:sz w:val="1"/>
                <w:szCs w:val="1"/>
                <w:color w:val="auto"/>
              </w:rPr>
            </w:pPr>
          </w:p>
        </w:tc>
      </w:tr>
      <w:tr>
        <w:trPr>
          <w:trHeight w:val="232"/>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(417,168)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w:t>
            </w:r>
          </w:p>
        </w:tc>
        <w:tc>
          <w:tcPr>
            <w:tcW w:w="0" w:type="dxa"/>
            <w:vAlign w:val="bottom"/>
          </w:tcPr>
          <w:p>
            <w:pPr>
              <w:spacing w:after="0"/>
              <w:rPr>
                <w:sz w:val="1"/>
                <w:szCs w:val="1"/>
                <w:color w:val="auto"/>
              </w:rPr>
            </w:pPr>
          </w:p>
        </w:tc>
      </w:tr>
      <w:tr>
        <w:trPr>
          <w:trHeight w:val="38"/>
        </w:trPr>
        <w:tc>
          <w:tcPr>
            <w:tcW w:w="5580" w:type="dxa"/>
            <w:vAlign w:val="bottom"/>
            <w:tcBorders>
              <w:bottom w:val="single" w:sz="8" w:color="CCEEFF"/>
            </w:tcBorders>
          </w:tcPr>
          <w:p>
            <w:pPr>
              <w:spacing w:after="0"/>
              <w:rPr>
                <w:sz w:val="3"/>
                <w:szCs w:val="3"/>
                <w:color w:val="auto"/>
              </w:rPr>
            </w:pPr>
          </w:p>
        </w:tc>
        <w:tc>
          <w:tcPr>
            <w:tcW w:w="20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64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June 30, 2024, unvested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4,551,823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firstLine="619"/>
        <w:spacing w:after="0" w:line="276" w:lineRule="auto"/>
        <w:rPr>
          <w:sz w:val="20"/>
          <w:szCs w:val="20"/>
          <w:color w:val="auto"/>
        </w:rPr>
      </w:pPr>
      <w:r>
        <w:rPr>
          <w:rFonts w:ascii="Times New Roman" w:cs="Times New Roman" w:eastAsia="Times New Roman" w:hAnsi="Times New Roman"/>
          <w:sz w:val="19"/>
          <w:szCs w:val="19"/>
          <w:color w:val="auto"/>
        </w:rPr>
        <w:t>Total compensation expense for RSUs was $2.2 million and $4.6 million for the three and six months ended June 30, 2024, respectively, and $2.4 million and $4.4 million for the three and six months ended June 30, 2023, respectively, and is included in selling, general and administrative expenses in the unaudited condensed consolidated statements of operations.</w:t>
      </w:r>
    </w:p>
    <w:p>
      <w:pPr>
        <w:spacing w:after="0" w:line="174"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As of June 30, 2024, total compensation cost related to unvested RSUs not yet recognized is $19.5 million and is expected to be recognized over a weighted-average period of approximately 2.4 years.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Grants of Stock Options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the activity related to the outstanding and exercisable stock options for the six months ended June 30,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2024:</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2160" w:type="dxa"/>
            <w:vAlign w:val="bottom"/>
          </w:tcPr>
          <w:p>
            <w:pPr>
              <w:spacing w:after="0"/>
              <w:rPr>
                <w:sz w:val="19"/>
                <w:szCs w:val="19"/>
                <w:color w:val="auto"/>
              </w:rPr>
            </w:pPr>
          </w:p>
        </w:tc>
      </w:tr>
      <w:tr>
        <w:trPr>
          <w:trHeight w:val="206"/>
        </w:trPr>
        <w:tc>
          <w:tcPr>
            <w:tcW w:w="4700" w:type="dxa"/>
            <w:vAlign w:val="bottom"/>
          </w:tcPr>
          <w:p>
            <w:pPr>
              <w:spacing w:after="0"/>
              <w:rPr>
                <w:sz w:val="17"/>
                <w:szCs w:val="17"/>
                <w:color w:val="auto"/>
              </w:rPr>
            </w:pP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80" w:type="dxa"/>
            <w:vAlign w:val="bottom"/>
          </w:tcPr>
          <w:p>
            <w:pPr>
              <w:spacing w:after="0"/>
              <w:rPr>
                <w:sz w:val="17"/>
                <w:szCs w:val="17"/>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Weighted average</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grant date fair</w:t>
            </w:r>
          </w:p>
        </w:tc>
        <w:tc>
          <w:tcPr>
            <w:tcW w:w="2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remaining</w:t>
            </w:r>
          </w:p>
        </w:tc>
      </w:tr>
      <w:tr>
        <w:trPr>
          <w:trHeight w:val="240"/>
        </w:trPr>
        <w:tc>
          <w:tcPr>
            <w:tcW w:w="4700" w:type="dxa"/>
            <w:vAlign w:val="bottom"/>
          </w:tcPr>
          <w:p>
            <w:pPr>
              <w:spacing w:after="0"/>
              <w:rPr>
                <w:sz w:val="20"/>
                <w:szCs w:val="20"/>
                <w:color w:val="auto"/>
              </w:rPr>
            </w:pPr>
          </w:p>
        </w:tc>
        <w:tc>
          <w:tcPr>
            <w:tcW w:w="120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40" w:type="dxa"/>
            <w:vAlign w:val="bottom"/>
          </w:tcPr>
          <w:p>
            <w:pPr>
              <w:spacing w:after="0"/>
              <w:rPr>
                <w:sz w:val="20"/>
                <w:szCs w:val="20"/>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16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contractual term (years)</w:t>
            </w:r>
          </w:p>
        </w:tc>
      </w:tr>
      <w:tr>
        <w:trPr>
          <w:trHeight w:val="25"/>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December 31, 2023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758,458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7.7</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Pr>
          <w:p>
            <w:pPr>
              <w:spacing w:after="0"/>
              <w:rPr>
                <w:sz w:val="20"/>
                <w:szCs w:val="20"/>
                <w:color w:val="auto"/>
              </w:rPr>
            </w:pPr>
          </w:p>
        </w:tc>
        <w:tc>
          <w:tcPr>
            <w:tcW w:w="216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w:t>
            </w:r>
          </w:p>
        </w:tc>
      </w:tr>
      <w:tr>
        <w:trPr>
          <w:trHeight w:val="38"/>
        </w:trPr>
        <w:tc>
          <w:tcPr>
            <w:tcW w:w="47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r>
      <w:tr>
        <w:trPr>
          <w:trHeight w:val="28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as of June 30,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689,183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51"/>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as of June 30, 2024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588,734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7.2</w:t>
            </w:r>
          </w:p>
        </w:tc>
      </w:tr>
      <w:tr>
        <w:trPr>
          <w:trHeight w:val="232"/>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as of June 30, 2024</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100,449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tcPr>
          <w:p>
            <w:pPr>
              <w:spacing w:after="0"/>
              <w:rPr>
                <w:sz w:val="20"/>
                <w:szCs w:val="20"/>
                <w:color w:val="auto"/>
              </w:rPr>
            </w:pPr>
          </w:p>
        </w:tc>
        <w:tc>
          <w:tcPr>
            <w:tcW w:w="2160" w:type="dxa"/>
            <w:vAlign w:val="bottom"/>
          </w:tcPr>
          <w:p>
            <w:pPr>
              <w:ind w:left="1920"/>
              <w:spacing w:after="0"/>
              <w:rPr>
                <w:sz w:val="20"/>
                <w:szCs w:val="20"/>
                <w:color w:val="auto"/>
              </w:rPr>
            </w:pPr>
            <w:r>
              <w:rPr>
                <w:rFonts w:ascii="Times New Roman" w:cs="Times New Roman" w:eastAsia="Times New Roman" w:hAnsi="Times New Roman"/>
                <w:sz w:val="17"/>
                <w:szCs w:val="17"/>
                <w:color w:val="auto"/>
              </w:rPr>
              <w:t>7.2</w:t>
            </w:r>
          </w:p>
        </w:tc>
      </w:tr>
      <w:tr>
        <w:trPr>
          <w:trHeight w:val="38"/>
        </w:trPr>
        <w:tc>
          <w:tcPr>
            <w:tcW w:w="4700" w:type="dxa"/>
            <w:vAlign w:val="bottom"/>
            <w:tcBorders>
              <w:bottom w:val="single" w:sz="8" w:color="CCEEFF"/>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160" w:type="dxa"/>
            <w:vAlign w:val="bottom"/>
            <w:tcBorders>
              <w:bottom w:val="single" w:sz="8" w:color="CCEEFF"/>
            </w:tcBorders>
          </w:tcPr>
          <w:p>
            <w:pPr>
              <w:spacing w:after="0"/>
              <w:rPr>
                <w:sz w:val="3"/>
                <w:szCs w:val="3"/>
                <w:color w:val="auto"/>
              </w:rPr>
            </w:pPr>
          </w:p>
        </w:tc>
      </w:tr>
      <w:tr>
        <w:trPr>
          <w:trHeight w:val="282"/>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as of June 30, 2024</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689,183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ind w:left="1920"/>
              <w:spacing w:after="0"/>
              <w:rPr>
                <w:sz w:val="20"/>
                <w:szCs w:val="20"/>
                <w:color w:val="auto"/>
              </w:rPr>
            </w:pPr>
            <w:r>
              <w:rPr>
                <w:rFonts w:ascii="Times New Roman" w:cs="Times New Roman" w:eastAsia="Times New Roman" w:hAnsi="Times New Roman"/>
                <w:sz w:val="17"/>
                <w:szCs w:val="17"/>
                <w:color w:val="auto"/>
              </w:rPr>
              <w:t>7.2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301"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As of June 30, 2024, the vested stock options did not have an aggregated intrinsic value as the exercise price exceeded the estimated fair market value of the stock options.</w:t>
      </w:r>
    </w:p>
    <w:p>
      <w:pPr>
        <w:spacing w:after="0" w:line="19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Total compensation expense for stock options was approximately $0.1 million and $0.3 million, for the three and six months ended June 30, 2024, respectively, and $0.2 million and $0.4 million for the</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three and six months ended June 30, 2023, respectively, and is included in selling, general and administrative expenses in the unaudited condensed consolidated statements of operations.</w:t>
      </w:r>
    </w:p>
    <w:p>
      <w:pPr>
        <w:spacing w:after="0" w:line="16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June 30, 2024, total compensation cost related to unvested options not yet recognized is $0.4 million and is expected to be recognized over a weighted-average period of approximately 1.0 year.</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 INCOME TAXES AND TAX RECEIVABLE AGREEMENT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 of Income Taxes</w:t>
      </w:r>
    </w:p>
    <w:p>
      <w:pPr>
        <w:spacing w:after="0" w:line="23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Brilliant Earth Group, Inc. is taxed as a subchapter C corporation and is subject to federal and state income taxes. Brilliant Earth Group, Inc.'s sole material asset is its ownership interest in Brilliant Earth, LLC, which is a limited liability company that is taxed as a partnership for U.S. federal and certain state and local income tax purposes. Brilliant Earth, LLC's net taxable income or loss and related tax credits, if any, are passed through to its members on a pro-rata basis and included in the member's tax returns. The income tax burden on the earnings taxed to the non-controlling interest holders is not reported by the Company in its unaudited condensed consolidated financial statements under U.S. GAAP.</w:t>
      </w:r>
    </w:p>
    <w:p>
      <w:pPr>
        <w:spacing w:after="0" w:line="19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The Company files U.S. federal and certain state income tax returns. The income tax returns of the Company are subject to examination by U.S. federal and state taxing authorities for various time periods, depending on those jurisdictions' rules, generally after the income tax returns are filed.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Provision and Deferred Tax Asset</w:t>
      </w:r>
    </w:p>
    <w:p>
      <w:pPr>
        <w:spacing w:after="0" w:line="18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At the end of each interim period, Brilliant Earth Group, Inc. estimates the effective tax rate expected to be applicable for the full fiscal year. This differs from the method utilized at the end of an annual period. The Company's effective tax rate of 0.45% for the six months ended June 30, 2024, differs from the U.S. federal statutory tax rate of 21% primarily due to income associated with the non-controlling interest, state tax expense and other permanent items.</w:t>
      </w:r>
    </w:p>
    <w:p>
      <w:pPr>
        <w:spacing w:after="0" w:line="191"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Company recorded net decreases in deferred tax assets of $0.4 million during the six months ended June 30, 2024, with a corresponding decrease primarily to additional paid in capital, resulting from changes in the outside basis difference on Brilliant Earth Group Inc.'s investment in Brilliant Earth, LLC. The Company has determined it is more-likely-than-not that it will be able to realize this deferred tax asset in the future.</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Tax Receivable Agreement</w:t>
      </w:r>
    </w:p>
    <w:p>
      <w:pPr>
        <w:spacing w:after="0" w:line="239"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As each of the Continuing Equity Owners elect to convert their LLC Interests into Class A common stock or Class D common stock, as applicable, Brilliant Earth Group, Inc. will succeed to their aggregate historical tax basis which will create a net tax benefit to the Company. These tax benefits are expected to be amortized over 15 years pursuant to Sections 743(b) and 197 of the Code. The Company will only recognize a deferred tax asset for financial reporting purposes when it is "more-likely-than-not" that the tax benefit will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In addition, as part of the IPO, the Company entered into a the TRA with the Continuing Equity Owners to pay 85% of the tax savings from the tax basis adjustment to them as such savings are realized. Amounts payable under the TRA are contingent upon, among other things, generation of sufficient future taxable income during the term of the TRA. The amounts to be recorded for both the deferred tax assets and the liability for our obligations under the TRA will be estimated at the time of any purchase or redemption as a reduction to shareholders' equity, and the effects of changes in any of our estimates after this date will be included in net income. Similarly, the effect of subsequent changes in the enacted tax rates will be included in net income.</w:t>
      </w:r>
    </w:p>
    <w:p>
      <w:pPr>
        <w:spacing w:after="0" w:line="18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As of June 30, 2024, related to the TRA, the Company has recorded (i) a deferred tax asset in the amount of $8.5 million, (ii) a corresponding estimated liability with a balance of $7.8 million representing 85% of the projected tax benefits to the Continuing Equity Owners; and (iii) $0.7 million of additional paid-in capital.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COMMITMENTS AND CONTINGENCIES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Legal Proceedings</w:t>
      </w:r>
    </w:p>
    <w:p>
      <w:pPr>
        <w:spacing w:after="0" w:line="23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In the ordinary course of business, the Company may be subject from time to time to various proceedings, lawsuits, disputes or claims. In addition, the Company is regularly audited by various tax authorities. Although the Company cannot predict with assurance the outcome of any litigation or audit, it does not believe there are currently any such actions that, if resolved unfavorably, would have a material impact on the Company's financial condition, results of operations or cash flows. The Company accrues for loss contingencies when losses become probable and are reasonably estimable. If the reasonable estimate of the loss is a range and no amount within the range is a better estimate, the minimum amount of the range is recorded as a liability. The Company does not accrue for contingent losses that, in its judgment, are considered to be reasonably possible, but not probable; however, to the extent possible, the Company discloses the range of such reasonably possible losses.</w:t>
      </w:r>
    </w:p>
    <w:p>
      <w:pPr>
        <w:spacing w:after="0" w:line="212"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remains pending as of the date of this Quarterly Report on Form 10-Q. At this time, any liability related to the alleged claims is not currently probable or reasonably estimable.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387" w:lineRule="exact"/>
        <w:rPr>
          <w:sz w:val="20"/>
          <w:szCs w:val="20"/>
          <w:color w:val="auto"/>
        </w:rPr>
      </w:pPr>
    </w:p>
    <w:p>
      <w:pPr>
        <w:jc w:val="both"/>
        <w:ind w:firstLine="619"/>
        <w:spacing w:after="0" w:line="243" w:lineRule="auto"/>
        <w:rPr>
          <w:sz w:val="20"/>
          <w:szCs w:val="20"/>
          <w:color w:val="auto"/>
        </w:rPr>
      </w:pPr>
      <w:r>
        <w:rPr>
          <w:rFonts w:ascii="Times New Roman" w:cs="Times New Roman" w:eastAsia="Times New Roman" w:hAnsi="Times New Roman"/>
          <w:sz w:val="19"/>
          <w:szCs w:val="19"/>
          <w:i w:val="1"/>
          <w:iCs w:val="1"/>
          <w:color w:val="auto"/>
        </w:rPr>
        <w:t xml:space="preserve">The following discussion and analysis of our financial condition and results of operations should be read in conjunction with the information presented in the unaudited condensed consolidated financial statements and related notes included elsewhere in this Quarterly Report on Form 10-Q, as well as our audited consolidated financial statements and related notes as disclosed in our </w:t>
      </w:r>
      <w:r>
        <w:rPr>
          <w:rFonts w:ascii="Times New Roman" w:cs="Times New Roman" w:eastAsia="Times New Roman" w:hAnsi="Times New Roman"/>
          <w:sz w:val="19"/>
          <w:szCs w:val="19"/>
          <w:color w:val="auto"/>
        </w:rPr>
        <w:t>2023</w:t>
      </w:r>
      <w:r>
        <w:rPr>
          <w:rFonts w:ascii="Times New Roman" w:cs="Times New Roman" w:eastAsia="Times New Roman" w:hAnsi="Times New Roman"/>
          <w:sz w:val="19"/>
          <w:szCs w:val="19"/>
          <w:i w:val="1"/>
          <w:iCs w:val="1"/>
          <w:color w:val="auto"/>
        </w:rPr>
        <w:t xml:space="preserve"> Form 10-K. In addition to historical information, the following discussion contains forward-looking statements, such as statements regarding our expectation for future performance, growth, liquidity and capital resources, that involve risks, uncertainties and assumptions that could cause actual results to differ materially from our expectations. Our actual results may differ materially from those contained in or implied by any forward-looking statements. Factors that could cause such differences include those identified below and those described in "Cautionary Note Regarding Forward-Looking Statements," and "Risk Factors" in this Quarterly Report on Form 10-Q and Part I, Item 1A. "Risk Factors" in our </w:t>
      </w:r>
      <w:r>
        <w:rPr>
          <w:rFonts w:ascii="Times New Roman" w:cs="Times New Roman" w:eastAsia="Times New Roman" w:hAnsi="Times New Roman"/>
          <w:sz w:val="19"/>
          <w:szCs w:val="19"/>
          <w:color w:val="auto"/>
        </w:rPr>
        <w:t>2023</w:t>
      </w:r>
      <w:r>
        <w:rPr>
          <w:rFonts w:ascii="Times New Roman" w:cs="Times New Roman" w:eastAsia="Times New Roman" w:hAnsi="Times New Roman"/>
          <w:sz w:val="19"/>
          <w:szCs w:val="19"/>
          <w:i w:val="1"/>
          <w:iCs w:val="1"/>
          <w:color w:val="auto"/>
        </w:rPr>
        <w:t xml:space="preserve"> Form 10-K. We assume no obligation to update any of these forward-looking statements.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Company Overview</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Brilliant Earth is an innovative, digitally native omnichannel jewelry company, and a global leader in ethically sourced fine jewelry. We offer exclusive designs with superior craftsmanship and supply chain transparency, delivered to customers through a highly personalized omnichannel experience.</w:t>
      </w:r>
    </w:p>
    <w:p>
      <w:pPr>
        <w:spacing w:after="0" w:line="206"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Our extensive collection of premium-quality diamond engagement and wedding rings, gemstone rings, and fine jewelry is conceptualized by our leading in-house design studio and then brought to life by expert jewelers. From our award-winning jewelry designs to our responsibly sourced materials, at Brilliant Earth we aspire to exceptional standards in everything we do.</w:t>
      </w:r>
    </w:p>
    <w:p>
      <w:pPr>
        <w:spacing w:after="0" w:line="206"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Our mission is to create a more transparent, sustainable, compassionate, and inclusive jewelry industry, and we are proud to offer customers distinctive and thoughtfully designed products that they can truly feel good about wearing.</w:t>
      </w:r>
    </w:p>
    <w:p>
      <w:pPr>
        <w:spacing w:after="0" w:line="194"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were founded in 2005 as an e-commerce company with an ambitious mission and a single showroom in San Francisco. We have rapidly scaled our business while remaining focused on our mission and elevating the omnichannel customer experience. Through our intuitive digital commerce platform and personalized individual appointments in our showrooms, we cater to the shopping preferences of tech-savvy next-generation consumers. We create an educational, joyful, and approachable experience that is unique in the jewelry industry.</w:t>
      </w:r>
    </w:p>
    <w:p>
      <w:pPr>
        <w:spacing w:after="0" w:line="19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Throughout our history, we have invested in technology to create a seamless customer experience, inform our data-driven decision-making, improve efficiencies, and advance our mission. Our technology enables dynamic product visualization, augmented reality try-on, blockchain-verified transparency, and rapid fulfillment of our flagship Design Your Own product, a custom design process. We leverage powerful data capabilities to improve our marketing and operational efficiencies, personalize the customer experience, curate showroom inventory and merchandising, inform real estate decisions, and develop new product designs that reflect consumer preferences. We believe the Brilliant Earth digital experience drives higher satisfaction, engagement, and conversion both online and in-showroom.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Below is a summary of our performance for the three months ended June 30, 2024:</w:t>
      </w:r>
    </w:p>
    <w:p>
      <w:pPr>
        <w:spacing w:after="0" w:line="246" w:lineRule="exact"/>
        <w:rPr>
          <w:sz w:val="20"/>
          <w:szCs w:val="20"/>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sales of $105.4 million, down 4.3% compared to $110.2 million for the three months ended June 30, 2023;</w:t>
      </w:r>
    </w:p>
    <w:p>
      <w:pPr>
        <w:spacing w:after="0" w:line="20"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of $1.4 million, up 11.3% compared to $1.2 million for the three months ended June 30, 2023;</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margin of 1.3%, compared to 1.1% for the three months ended June 30, 2023;</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$5.5 million, down 29.2%, compared to $7.7 million for the three months ended June 30, 2023; and</w:t>
      </w:r>
    </w:p>
    <w:p>
      <w:pPr>
        <w:spacing w:after="0" w:line="5" w:lineRule="exact"/>
        <w:rPr>
          <w:rFonts w:ascii="Times New Roman" w:cs="Times New Roman" w:eastAsia="Times New Roman" w:hAnsi="Times New Roman"/>
          <w:sz w:val="19"/>
          <w:szCs w:val="19"/>
          <w:color w:val="auto"/>
        </w:rPr>
      </w:pPr>
    </w:p>
    <w:p>
      <w:pPr>
        <w:ind w:left="620" w:right="3280" w:hanging="307"/>
        <w:spacing w:after="0" w:line="495" w:lineRule="auto"/>
        <w:tabs>
          <w:tab w:leader="none" w:pos="60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margin of 5.2%, compared to 7.0% for the three months ended June 30, 2023. Below is a summary of our performance for the six months ended June 30, 2024:</w:t>
      </w:r>
    </w:p>
    <w:p>
      <w:pPr>
        <w:spacing w:after="0" w:line="1"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sales of $202.8 million, down 2.5% compared to $207.9 million for the six months ended June 30, 2023;</w:t>
      </w:r>
    </w:p>
    <w:p>
      <w:pPr>
        <w:spacing w:after="0" w:line="2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of $2.4 million, up 207.2% compared to $0.8 million for the six months ended June 30, 2023;</w:t>
      </w:r>
    </w:p>
    <w:p>
      <w:pPr>
        <w:spacing w:after="0" w:line="8"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income margin of 1.2%, compared to 0.4% for the six months ended June 30, 2023;</w:t>
      </w:r>
    </w:p>
    <w:p>
      <w:pPr>
        <w:spacing w:after="0" w:line="5"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of $10.6 million, down 20.5%, compared to $13.3 million for the six months ended June 30, 2023; and</w:t>
      </w:r>
    </w:p>
    <w:p>
      <w:pPr>
        <w:spacing w:after="0" w:line="13" w:lineRule="exact"/>
        <w:rPr>
          <w:rFonts w:ascii="Times New Roman" w:cs="Times New Roman" w:eastAsia="Times New Roman" w:hAnsi="Times New Roman"/>
          <w:sz w:val="19"/>
          <w:szCs w:val="19"/>
          <w:color w:val="auto"/>
        </w:rPr>
      </w:pPr>
    </w:p>
    <w:p>
      <w:pPr>
        <w:ind w:left="620" w:hanging="307"/>
        <w:spacing w:after="0"/>
        <w:tabs>
          <w:tab w:leader="none" w:pos="62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Adjusted EBITDA margin of 5.2%, compared to 6.4% for the six months ended June 30, 2023.</w:t>
      </w:r>
    </w:p>
    <w:p>
      <w:pPr>
        <w:spacing w:after="0" w:line="22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See the section below titled “Non-GAAP Financial Measures” for information regarding Adjusted EBITDA and Adjusted EBITDA Margin, including reconciliations to the most directly comparable financial measures prepared in accordance with U.S. generally accepted accounting principles (“GAAP”).</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We operate in one operating and reporting segment, the retail sale of diamonds, gemstones and jewelry.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Factors Affecting Our Performance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Increase Brand Awareness</w:t>
      </w:r>
    </w:p>
    <w:p>
      <w:pPr>
        <w:spacing w:after="0" w:line="25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color w:val="auto"/>
        </w:rPr>
        <w:t>Increasing brand awareness and growing favorable brand equity have been and remain key to our growth. We have a significant opportunity to continue to grow our brand awareness, broaden our customer reach, and maximize lifetime value through brand and performance marketing. We have made and expect to continue to make significant investments to strengthen the Brilliant Earth brand through our dynamic marketing strategy, which includes brand marketing campaigns across email, digital, social media, earned media, and media placements with key influencers. In order to compete effectively and increase our share of the jewelry market, we must maintain our strong customer experience, produce compelling products, and continue our mission of creating a more transparent, sustainable, compassionate and inclusive jewelry industry. Our performance will also depend on our ability to increase the number of consumers aware of Brilliant Earth and our product assortment. We believe our brand strength will enable us to continue to expand across categories and channels, to deepen relationships with consumers, and to expand our presence in the U.S. and international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Cost-Effective Acquisition of New Customers and Retention of Existing Customers.</w:t>
      </w:r>
    </w:p>
    <w:p>
      <w:pPr>
        <w:spacing w:after="0" w:line="25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We have historically had attractive customer acquisition economics, including substantial first order profitability. To continue to grow our business, we must continue to acquire new customers and retain existing customers in a cost-effective manner. The success of our customer acquisition strategy depends on a number of factors, including the level and pattern of consumer spending in the product categories in which we operate, and our ability to cost-effectively drive traffic to our website and showrooms and to convert these visitors to customers. With our strong brand resonance and passionate customer base, we generate significant earned and organic traffic, impressions, and media placements. We continually evolve our dynamic marketing strategies, optimizing our messaging, creative assets, and spending across channels. We also believe our expanded fine jewelry assortment and strategic customer acquisition will continue to drive fine jewelry orders from new customers and repeat orders from existing customers.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Continue Successfully Growing and Managing our Omnichannel Presence</w:t>
      </w:r>
    </w:p>
    <w:p>
      <w:pPr>
        <w:spacing w:after="0" w:line="25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Our ability to successfully grow and manage our omnichannel presence in new markets and locations is an important factor to our success. Historically, we have been successful in new geographic markets we have entered, and we have continued to expand our premium showroom footprint nationwide. We intend to continue leveraging our marketing strategy and growing brand awareness to drive increased qualified consumer traffic to and sales from our website and premium showrooms.</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We believe growing and managing our showrooms will drive accelerated growth by increasing our average order value ("AOV") compared to e-commerce orders, improving conversion in the showrooms’ metro regions compared to pre-opening conversion, and raising our brand awareness. We intend to strategically open showrooms in the future, and we believe we can achieve broad national showroom coverage with far fewer locations than many traditional retailers. We rely on this highly efficient showroom model to complement our digital strategy and to continue to drive growth and profitability.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Our Ability to Successfully Introduce New Products</w:t>
      </w:r>
    </w:p>
    <w:p>
      <w:pPr>
        <w:spacing w:after="0" w:line="25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Product expansion allows us significant opportunity to drive new and repeat purchases by expanding purchase occasions beyond engagement and bridal. We intend to leverage our in-house design capabilities and nimble data-driven product development to expand product assortment for special occasions and self-purchase. In addition, we will have more opportunity to enhance and leverage our customer relationship management ("CRM") and data-segmentation capabilities to increase repeat purchases and lifetime value. We have consistently invested in technology to create a seamless customer experience, including dynamic visualization, augmented reality try-on, and automated, rapid fulfillment, and we intend to continue investing in technology to enhance the digital and showroom experience and help drive conversion. Expanding affiliations and brand collaborations will also broaden our existing assortment, reinforce our brand ethos, and feature like-minded designers, which will help to drive both new and repeat purchases.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International Expansion</w:t>
      </w:r>
    </w:p>
    <w:p>
      <w:pPr>
        <w:spacing w:after="0" w:line="25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are in the early stages of expanding globally, and a larger geographic footprint will help drive future growth. Our early proof-points from localizing our website for Canada, Australia, and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Kingdom, and our sales to customers from over 50 countries, provide encouraging signs for future global expansion. We see strong potential in launching e-commerce in new overseas markets and new showrooms in countries where we have already established a localized digital presence. We plan to drive brand awareness through localized marketing channels and expect our data-driven technology platform to continue providing insights for product recommendations and inventory management.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Operational and Marketing Efficiency</w:t>
      </w:r>
    </w:p>
    <w:p>
      <w:pPr>
        <w:spacing w:after="0" w:line="250"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9"/>
          <w:szCs w:val="19"/>
          <w:color w:val="auto"/>
        </w:rPr>
        <w:t>We have a unique, asset-light operating model with attractive working capital dynamics, capital-efficient showrooms, and a vast virtual inventory of premium natural and lab-grown diamonds that allows us to offer a broad selection of diamonds while keeping our balance sheet inventory low. This has driven attractive inventory turns and allows us to operate with negative working capital, which we define as our current assets less cash minus our current liabilities. Our showroom strategy minimizes the inefficiencies of traditional, retail-first jewelers. Our showrooms are primarily appointment-driven with large catchment regions, so we are less reliant on expensive high foot traffic retail locations. Our showroom locations and formats vary from interior, upper floor locations to more recently higher traffic pedestrian and retail mall locations. In all locations, we also curate showroom inventory for scheduled visits and require limited inventory in each location. Our tech-enabled jewelry specialist team can support online customers when not in appointment, increasing workforce utilization. As we continue to scale our business, our future success is dependent on maintaining this capital efficient operating model and driving continued operational improvement as we expand to new locations both in the U.S. and internationally.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Costs of Operating as a Public Company</w:t>
      </w:r>
    </w:p>
    <w:p>
      <w:pPr>
        <w:spacing w:after="0" w:line="23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costs of operating as a public company are significant as we are subject to the reporting, listing, and compliance requirements of various governing bodies and applicable securities laws and regulations. Since becoming a public company, compliance with rules and regulations has increased and may continue to increase our legal, financial, and technology compliance costs, and to make some activities more difficult, time-consuming, and costly. Remaining compliant and satisfying our obligations as a public company, while maintaining forecasted gross margins and operating results, and attracting and retaining qualified persons to serve on our board of directors, our board committees, or as our executive officers is critical to our future success.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Macroeconomic Trends</w:t>
      </w:r>
    </w:p>
    <w:p>
      <w:pPr>
        <w:spacing w:after="0" w:line="25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believe we are well-positioned at the intersection of key macro-level trends impacting our industry. Consumers are increasingly becoming more conscious of the products they purchase, seeking brands that stand for sustainability, supply chain transparency, and social and environmental responsibility. This has contributed to our strong brand affinity and loyalty, and further differentiates us from our competitors. Consumers are increasingly favoring seamless omnichannel shopping experiences, and we believe our model is well-suited to satisfy these consumer preferences. The current inflationary environment and changes in macro-level consumer spending trends, due to volatile macro-economic conditions could negatively impact our operating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Seasonality</w:t>
      </w:r>
    </w:p>
    <w:p>
      <w:pPr>
        <w:spacing w:after="0" w:line="263"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 larger share of our annual revenues and profits traditionally occur in the fourth quarter because it includes the November and December holiday sales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Components of Results of Operations</w:t>
      </w:r>
    </w:p>
    <w:p>
      <w:pPr>
        <w:spacing w:after="0" w:line="263"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For a description of the components of our results of operations, refer to Part II, Item 7, “Management’s Discussion and Analysis of Financial Condition and Results of Operations” of our 2023 Form 10-K."</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263" w:lineRule="exact"/>
        <w:rPr>
          <w:sz w:val="20"/>
          <w:szCs w:val="20"/>
          <w:color w:val="auto"/>
        </w:rPr>
      </w:pPr>
    </w:p>
    <w:p>
      <w:pPr>
        <w:ind w:firstLine="619"/>
        <w:spacing w:after="0" w:line="297" w:lineRule="auto"/>
        <w:rPr>
          <w:sz w:val="20"/>
          <w:szCs w:val="20"/>
          <w:color w:val="auto"/>
        </w:rPr>
      </w:pPr>
      <w:r>
        <w:rPr>
          <w:rFonts w:ascii="Times New Roman" w:cs="Times New Roman" w:eastAsia="Times New Roman" w:hAnsi="Times New Roman"/>
          <w:sz w:val="19"/>
          <w:szCs w:val="19"/>
          <w:color w:val="auto"/>
        </w:rPr>
        <w:t>The results of operations data in the following table for the periods presented have been derived from the unaudited condensed consolidated financial statements included elsewhere in this Quarterly Report on Form 10-Q.</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Three Months Ended June 30, 2024 and 2023</w:t>
      </w:r>
    </w:p>
    <w:p>
      <w:pPr>
        <w:spacing w:after="0" w:line="252"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The following table sets forth our statements of operations for the three months ended June 30, 2024 and 2023, including amounts and percentages of net sales for each period and the period-to-period change in dollars and percent (amounts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Three months ended June 30,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Period change</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20" w:type="dxa"/>
            <w:vAlign w:val="bottom"/>
          </w:tcPr>
          <w:p>
            <w:pPr>
              <w:spacing w:after="0"/>
              <w:rPr>
                <w:sz w:val="19"/>
                <w:szCs w:val="19"/>
                <w:color w:val="auto"/>
              </w:rPr>
            </w:pPr>
          </w:p>
        </w:tc>
        <w:tc>
          <w:tcPr>
            <w:tcW w:w="1360" w:type="dxa"/>
            <w:vAlign w:val="bottom"/>
            <w:gridSpan w:val="3"/>
          </w:tcPr>
          <w:p>
            <w:pPr>
              <w:ind w:left="1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105,426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46,695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64,077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60.8 %</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63,489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23.7 %</w:t>
            </w:r>
          </w:p>
        </w:tc>
        <w:tc>
          <w:tcPr>
            <w:tcW w:w="0" w:type="dxa"/>
            <w:vAlign w:val="bottom"/>
          </w:tcPr>
          <w:p>
            <w:pPr>
              <w:spacing w:after="0"/>
              <w:rPr>
                <w:sz w:val="1"/>
                <w:szCs w:val="1"/>
                <w:color w:val="auto"/>
              </w:rPr>
            </w:pP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tax</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0" w:type="dxa"/>
            <w:vAlign w:val="bottom"/>
          </w:tcPr>
          <w:p>
            <w:pPr>
              <w:spacing w:after="0"/>
              <w:rPr>
                <w:sz w:val="1"/>
                <w:szCs w:val="1"/>
                <w:color w:val="auto"/>
              </w:rPr>
            </w:pP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allocable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09"/>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 allocable to Brilliant Earth Group,</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0.1 %</w:t>
            </w:r>
          </w:p>
        </w:tc>
        <w:tc>
          <w:tcPr>
            <w:tcW w:w="80" w:type="dxa"/>
            <w:vAlign w:val="bottom"/>
          </w:tcPr>
          <w:p>
            <w:pPr>
              <w:spacing w:after="0"/>
              <w:rPr>
                <w:sz w:val="18"/>
                <w:szCs w:val="18"/>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25.0 %</w:t>
            </w:r>
          </w:p>
        </w:tc>
        <w:tc>
          <w:tcPr>
            <w:tcW w:w="0" w:type="dxa"/>
            <w:vAlign w:val="bottom"/>
          </w:tcPr>
          <w:p>
            <w:pPr>
              <w:spacing w:after="0"/>
              <w:rPr>
                <w:sz w:val="1"/>
                <w:szCs w:val="1"/>
                <w:color w:val="auto"/>
              </w:rPr>
            </w:pPr>
          </w:p>
        </w:tc>
      </w:tr>
      <w:tr>
        <w:trPr>
          <w:trHeight w:val="223"/>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w:t>
            </w:r>
          </w:p>
        </w:tc>
        <w:tc>
          <w:tcPr>
            <w:tcW w:w="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31515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51505" cy="8255"/>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Amounts may not sum due to rounding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Sales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Net sales for the three months ended June 30, 2024 decreased by $4.8 million, or 4.3%, compared to the three months ended June 30, 2023.</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decrease in net sales was due to a decrease of 7.7% in AOV, partially offset by an increase in order volumes of 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33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106"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decrease in AOV was driven by a higher mix of lower price point products, including fine jewelry.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3.6% increase in order volumes was due to:</w:t>
      </w:r>
    </w:p>
    <w:p>
      <w:pPr>
        <w:spacing w:after="0" w:line="233" w:lineRule="exact"/>
        <w:rPr>
          <w:sz w:val="20"/>
          <w:szCs w:val="20"/>
          <w:color w:val="auto"/>
        </w:rPr>
      </w:pPr>
    </w:p>
    <w:p>
      <w:pPr>
        <w:ind w:right="640" w:hanging="6"/>
        <w:spacing w:after="0" w:line="261" w:lineRule="auto"/>
        <w:rPr>
          <w:sz w:val="20"/>
          <w:szCs w:val="20"/>
          <w:color w:val="auto"/>
        </w:rPr>
      </w:pPr>
      <w:r>
        <w:rPr>
          <w:rFonts w:ascii="Times New Roman" w:cs="Times New Roman" w:eastAsia="Times New Roman" w:hAnsi="Times New Roman"/>
          <w:sz w:val="19"/>
          <w:szCs w:val="19"/>
          <w:color w:val="auto"/>
        </w:rPr>
        <w:t>strong omnichannel performance across the Company's products and new product collection releases, in particular lower price point products, including fine jewelry;</w:t>
      </w:r>
    </w:p>
    <w:p>
      <w:pPr>
        <w:spacing w:after="0" w:line="1" w:lineRule="exact"/>
        <w:rPr>
          <w:sz w:val="20"/>
          <w:szCs w:val="20"/>
          <w:color w:val="auto"/>
        </w:rPr>
      </w:pPr>
    </w:p>
    <w:p>
      <w:pPr>
        <w:ind w:right="4580"/>
        <w:spacing w:after="0" w:line="269" w:lineRule="auto"/>
        <w:rPr>
          <w:sz w:val="20"/>
          <w:szCs w:val="20"/>
          <w:color w:val="auto"/>
        </w:rPr>
      </w:pPr>
      <w:r>
        <w:rPr>
          <w:rFonts w:ascii="Times New Roman" w:cs="Times New Roman" w:eastAsia="Times New Roman" w:hAnsi="Times New Roman"/>
          <w:sz w:val="19"/>
          <w:szCs w:val="19"/>
          <w:color w:val="auto"/>
        </w:rPr>
        <w:t>continued effectiveness of our customer acquisition and retention activities; and the opening of new showrooms.</w:t>
      </w:r>
    </w:p>
    <w:p>
      <w:pPr>
        <w:spacing w:after="0" w:line="200" w:lineRule="exact"/>
        <w:rPr>
          <w:sz w:val="20"/>
          <w:szCs w:val="20"/>
          <w:color w:val="auto"/>
        </w:rPr>
      </w:pPr>
    </w:p>
    <w:p>
      <w:pPr>
        <w:sectPr>
          <w:pgSz w:w="11900" w:h="16838" w:orient="portrait"/>
          <w:cols w:equalWidth="0" w:num="2">
            <w:col w:w="360" w:space="260"/>
            <w:col w:w="10620"/>
          </w:cols>
          <w:pgMar w:left="320" w:top="132" w:right="3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Gross Profit</w:t>
      </w:r>
    </w:p>
    <w:p>
      <w:pPr>
        <w:spacing w:after="0" w:line="23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Gross profit for the three months ended June 30, 2024 increased by $0.6 million, or 0.9%, compared to the three months ended June 30, 2023. Gross margin, expressed as a percentage and calculated as gross profit divided by net sales, increased by 320 basis points for the three months ended June 30, 2024 compared to the three months ended June 30, 2023, primarily driven by our premium brand and differentiated product offerings, performance of our pricing engine, procurement efficiencies and benefits from our extended warranty program. Gross margin was further slightly positively impacted by a 4.3% reduction in average platinum spot prices, and negatively impacted by an increase of 18.2% in average gold spot prices for the three months ended June 30, 2024 as compared to the three months ended June 30,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 Expenses</w:t>
      </w:r>
    </w:p>
    <w:p>
      <w:pPr>
        <w:spacing w:after="0" w:line="187"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Selling, general and administrative expenses for the three months ended June 30, 2024 increased by $0.8 million, or 1.3%, compared to the three months ended June 30, 2023. Selling, general and administrative expenses as a percentage of net sales increased by 330 basis points for the quarter ended June 30, 2024 compared to the quarter ended June 30, 2023. The increase in selling, general and administrative expenses was primarily driven by an increase in employment expenses of $2.4 million. This increase was partially offset by decreases in marketing expenses and other general and administrative expenses, which decreased $1.4 million and $0.2 million, respectively, from the quarter ended June 30, 2023 to the quarter ended June 30, 2024.</w:t>
      </w:r>
    </w:p>
    <w:p>
      <w:pPr>
        <w:spacing w:after="0" w:line="211"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The increase in employment expenses was driven by an increase in salaries and wages, payroll taxes and other benefits expense primarily due to the addition of showroom staff to support our growth. The decrease in marketing expenses was a result of our continued focus on improving the effectiveness and efficiency of our marketing spend. The decrease in other general and administrative expenses was primarily related to decreases in pre-opening expenses from the opening of new showrooms and a decrease in charitable contributions compared to the quarter ended June 30, 2023. These decreases in other general and administrative expenses were partially offset by an increase in information technology and other software related costs and an increase in contract labor compared to the quarter ended June 30,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174"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Other income, net for the three months ended June 30, 2024 increased by $0.3 million, compared to the three months ended June 30, 2023, primarily due to increased interest income earned on our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20"/>
        <w:spacing w:after="0" w:line="425" w:lineRule="auto"/>
        <w:rPr>
          <w:sz w:val="20"/>
          <w:szCs w:val="20"/>
          <w:color w:val="auto"/>
        </w:rPr>
      </w:pPr>
      <w:r>
        <w:rPr>
          <w:rFonts w:ascii="Times New Roman" w:cs="Times New Roman" w:eastAsia="Times New Roman" w:hAnsi="Times New Roman"/>
          <w:sz w:val="19"/>
          <w:szCs w:val="19"/>
          <w:color w:val="auto"/>
        </w:rPr>
        <w:t xml:space="preserve">balances. Additionally, this amount includes immaterial losses on exchange rates on consumer payments and other miscellaneous income. </w:t>
      </w:r>
      <w:r>
        <w:rPr>
          <w:rFonts w:ascii="Times New Roman" w:cs="Times New Roman" w:eastAsia="Times New Roman" w:hAnsi="Times New Roman"/>
          <w:sz w:val="19"/>
          <w:szCs w:val="19"/>
          <w:b w:val="1"/>
          <w:bCs w:val="1"/>
          <w:i w:val="1"/>
          <w:iCs w:val="1"/>
          <w:color w:val="auto"/>
        </w:rPr>
        <w:t>Income tax benefit (expense)</w:t>
      </w:r>
    </w:p>
    <w:p>
      <w:pPr>
        <w:spacing w:after="0" w:line="64"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Income tax benefit of $0.1 million for the three months ended June 30, 2024, compared to income tax expense for the three months ended June 30, 2023 is primarily due to a change in the estimated annual effective tax rate in the three months ended June 30,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Comparison of Six Months Ended June 30, 2024 and 2023</w:t>
      </w:r>
    </w:p>
    <w:p>
      <w:pPr>
        <w:spacing w:after="0" w:line="239"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The following table sets forth our statements of operations for the six months ended June 30, 2024 and 2023, including amounts and percentages of net sales for each period and the period-to-period change in dollars and percent (amounts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5"/>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22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2024</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Period change</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3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180" w:type="dxa"/>
            <w:vAlign w:val="bottom"/>
          </w:tcPr>
          <w:p>
            <w:pPr>
              <w:spacing w:after="0"/>
              <w:rPr>
                <w:sz w:val="19"/>
                <w:szCs w:val="19"/>
                <w:color w:val="auto"/>
              </w:rPr>
            </w:pPr>
          </w:p>
        </w:tc>
        <w:tc>
          <w:tcPr>
            <w:tcW w:w="1300" w:type="dxa"/>
            <w:vAlign w:val="bottom"/>
            <w:gridSpan w:val="3"/>
          </w:tcPr>
          <w:p>
            <w:pPr>
              <w:ind w:left="12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200" w:type="dxa"/>
            <w:vAlign w:val="bottom"/>
          </w:tcPr>
          <w:p>
            <w:pPr>
              <w:spacing w:after="0"/>
              <w:rPr>
                <w:sz w:val="19"/>
                <w:szCs w:val="19"/>
                <w:color w:val="auto"/>
              </w:rPr>
            </w:pPr>
          </w:p>
        </w:tc>
        <w:tc>
          <w:tcPr>
            <w:tcW w:w="9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0" w:type="dxa"/>
            <w:vAlign w:val="bottom"/>
          </w:tcPr>
          <w:p>
            <w:pPr>
              <w:spacing w:after="0"/>
              <w:rPr>
                <w:sz w:val="19"/>
                <w:szCs w:val="19"/>
                <w:color w:val="auto"/>
              </w:rPr>
            </w:pPr>
          </w:p>
        </w:tc>
        <w:tc>
          <w:tcPr>
            <w:tcW w:w="11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Percent</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202,763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207,882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39.6 %</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90,717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0" w:type="dxa"/>
            <w:vAlign w:val="bottom"/>
          </w:tcPr>
          <w:p>
            <w:pPr>
              <w:spacing w:after="0"/>
              <w:rPr>
                <w:sz w:val="1"/>
                <w:szCs w:val="1"/>
                <w:color w:val="auto"/>
              </w:rPr>
            </w:pP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122,383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60.4 %</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117,165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56.4 %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5,218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3.9 %</w:t>
            </w:r>
          </w:p>
        </w:tc>
        <w:tc>
          <w:tcPr>
            <w:tcW w:w="0" w:type="dxa"/>
            <w:vAlign w:val="bottom"/>
          </w:tcPr>
          <w:p>
            <w:pPr>
              <w:spacing w:after="0"/>
              <w:rPr>
                <w:sz w:val="1"/>
                <w:szCs w:val="1"/>
                <w:color w:val="auto"/>
              </w:rPr>
            </w:pPr>
          </w:p>
        </w:tc>
      </w:tr>
      <w:tr>
        <w:trPr>
          <w:trHeight w:val="38"/>
        </w:trPr>
        <w:tc>
          <w:tcPr>
            <w:tcW w:w="38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8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Income from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58.2 %</w:t>
            </w:r>
          </w:p>
        </w:tc>
        <w:tc>
          <w:tcPr>
            <w:tcW w:w="0" w:type="dxa"/>
            <w:vAlign w:val="bottom"/>
          </w:tcPr>
          <w:p>
            <w:pPr>
              <w:spacing w:after="0"/>
              <w:rPr>
                <w:sz w:val="1"/>
                <w:szCs w:val="1"/>
                <w:color w:val="auto"/>
              </w:rPr>
            </w:pPr>
          </w:p>
        </w:tc>
      </w:tr>
      <w:tr>
        <w:trPr>
          <w:trHeight w:val="232"/>
        </w:trPr>
        <w:tc>
          <w:tcPr>
            <w:tcW w:w="38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0.8 %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income, net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45.0 %</w:t>
            </w:r>
          </w:p>
        </w:tc>
        <w:tc>
          <w:tcPr>
            <w:tcW w:w="0" w:type="dxa"/>
            <w:vAlign w:val="bottom"/>
          </w:tcPr>
          <w:p>
            <w:pPr>
              <w:spacing w:after="0"/>
              <w:rPr>
                <w:sz w:val="1"/>
                <w:szCs w:val="1"/>
                <w:color w:val="auto"/>
              </w:rPr>
            </w:pP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Income before tax</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2,453</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199.5 %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w:t>
            </w:r>
          </w:p>
        </w:tc>
        <w:tc>
          <w:tcPr>
            <w:tcW w:w="0" w:type="dxa"/>
            <w:vAlign w:val="bottom"/>
          </w:tcPr>
          <w:p>
            <w:pPr>
              <w:spacing w:after="0"/>
              <w:rPr>
                <w:sz w:val="1"/>
                <w:szCs w:val="1"/>
                <w:color w:val="auto"/>
              </w:rPr>
            </w:pPr>
          </w:p>
        </w:tc>
      </w:tr>
      <w:tr>
        <w:trPr>
          <w:trHeight w:val="225"/>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0.4 %</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207.2 %</w:t>
            </w:r>
          </w:p>
        </w:tc>
        <w:tc>
          <w:tcPr>
            <w:tcW w:w="0" w:type="dxa"/>
            <w:vAlign w:val="bottom"/>
          </w:tcPr>
          <w:p>
            <w:pPr>
              <w:spacing w:after="0"/>
              <w:rPr>
                <w:sz w:val="1"/>
                <w:szCs w:val="1"/>
                <w:color w:val="auto"/>
              </w:rPr>
            </w:pPr>
          </w:p>
        </w:tc>
      </w:tr>
      <w:tr>
        <w:trPr>
          <w:trHeight w:val="38"/>
        </w:trPr>
        <w:tc>
          <w:tcPr>
            <w:tcW w:w="3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allocable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203.0 %</w:t>
            </w:r>
          </w:p>
        </w:tc>
        <w:tc>
          <w:tcPr>
            <w:tcW w:w="0" w:type="dxa"/>
            <w:vAlign w:val="bottom"/>
          </w:tcPr>
          <w:p>
            <w:pPr>
              <w:spacing w:after="0"/>
              <w:rPr>
                <w:sz w:val="1"/>
                <w:szCs w:val="1"/>
                <w:color w:val="auto"/>
              </w:rPr>
            </w:pPr>
          </w:p>
        </w:tc>
      </w:tr>
      <w:tr>
        <w:trPr>
          <w:trHeight w:val="196"/>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income allocable to Brilliant Earth Group,</w:t>
            </w: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8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80" w:type="dxa"/>
            <w:vAlign w:val="bottom"/>
            <w:vMerge w:val="restart"/>
          </w:tcPr>
          <w:p>
            <w:pPr>
              <w:spacing w:after="0"/>
              <w:rPr>
                <w:sz w:val="17"/>
                <w:szCs w:val="17"/>
                <w:color w:val="auto"/>
              </w:rPr>
            </w:pPr>
          </w:p>
        </w:tc>
        <w:tc>
          <w:tcPr>
            <w:tcW w:w="200" w:type="dxa"/>
            <w:vAlign w:val="bottom"/>
            <w:tcBorders>
              <w:top w:val="single" w:sz="8" w:color="auto"/>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228</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Inc.</w:t>
            </w:r>
          </w:p>
        </w:tc>
        <w:tc>
          <w:tcPr>
            <w:tcW w:w="18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2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237.5 %</w:t>
            </w: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147320</wp:posOffset>
            </wp:positionV>
            <wp:extent cx="31515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51505" cy="8255"/>
                    </a:xfrm>
                    <a:prstGeom prst="rect">
                      <a:avLst/>
                    </a:prstGeom>
                    <a:noFill/>
                  </pic:spPr>
                </pic:pic>
              </a:graphicData>
            </a:graphic>
          </wp:anchor>
        </w:drawing>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Amounts may not sum due to rounding</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Sales</w:t>
      </w:r>
    </w:p>
    <w:p>
      <w:pPr>
        <w:spacing w:after="0" w:line="25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Net sales for the six months ended June 30, 2024 decreased by $5.1 million, or 2.5%, compared to the six months ended June 30, 2023. The decrease in net sales was due to a decrease of 9.9% in AOV, partially offset by an increase in order volumes of 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325"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decrease in AOV was driven by a higher mix of lower price point products, including fine jewelry.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8.2% increase in order volumes was due to:</w:t>
      </w:r>
    </w:p>
    <w:p>
      <w:pPr>
        <w:spacing w:after="0" w:line="233" w:lineRule="exact"/>
        <w:rPr>
          <w:sz w:val="20"/>
          <w:szCs w:val="20"/>
          <w:color w:val="auto"/>
        </w:rPr>
      </w:pPr>
    </w:p>
    <w:p>
      <w:pPr>
        <w:ind w:right="640" w:hanging="6"/>
        <w:spacing w:after="0" w:line="258" w:lineRule="auto"/>
        <w:rPr>
          <w:sz w:val="20"/>
          <w:szCs w:val="20"/>
          <w:color w:val="auto"/>
        </w:rPr>
      </w:pPr>
      <w:r>
        <w:rPr>
          <w:rFonts w:ascii="Times New Roman" w:cs="Times New Roman" w:eastAsia="Times New Roman" w:hAnsi="Times New Roman"/>
          <w:sz w:val="19"/>
          <w:szCs w:val="19"/>
          <w:color w:val="auto"/>
        </w:rPr>
        <w:t>strong omnichannel performance across the Company's products and new product collection releases, in particular lower price point products, including fine jewelry;</w:t>
      </w:r>
    </w:p>
    <w:p>
      <w:pPr>
        <w:spacing w:after="0" w:line="1" w:lineRule="exact"/>
        <w:rPr>
          <w:sz w:val="20"/>
          <w:szCs w:val="20"/>
          <w:color w:val="auto"/>
        </w:rPr>
      </w:pPr>
    </w:p>
    <w:p>
      <w:pPr>
        <w:ind w:right="4580"/>
        <w:spacing w:after="0" w:line="275" w:lineRule="auto"/>
        <w:rPr>
          <w:sz w:val="20"/>
          <w:szCs w:val="20"/>
          <w:color w:val="auto"/>
        </w:rPr>
      </w:pPr>
      <w:r>
        <w:rPr>
          <w:rFonts w:ascii="Times New Roman" w:cs="Times New Roman" w:eastAsia="Times New Roman" w:hAnsi="Times New Roman"/>
          <w:sz w:val="19"/>
          <w:szCs w:val="19"/>
          <w:color w:val="auto"/>
        </w:rPr>
        <w:t>continued effectiveness of our customer acquisition and retention activities; and the opening of new showrooms.</w:t>
      </w:r>
    </w:p>
    <w:p>
      <w:pPr>
        <w:spacing w:after="0" w:line="182" w:lineRule="exact"/>
        <w:rPr>
          <w:sz w:val="20"/>
          <w:szCs w:val="20"/>
          <w:color w:val="auto"/>
        </w:rPr>
      </w:pPr>
    </w:p>
    <w:p>
      <w:pPr>
        <w:sectPr>
          <w:pgSz w:w="11900" w:h="16838" w:orient="portrait"/>
          <w:cols w:equalWidth="0" w:num="2">
            <w:col w:w="360" w:space="260"/>
            <w:col w:w="10620"/>
          </w:cols>
          <w:pgMar w:left="320" w:top="132"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Gross Profit</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Gross profit for the six months ended June 30, 2024 increased by $5.2 million, or 4.5%, compared to the six months ended June 30, 2023. Gross margin, expressed as a percentage and calculated as gross profit divided by net sales, increased by 400 basis points for the six months ended June 30, 2024 compared to the six months ended June 30, 2023, primarily driven by our premium brand and differentiated product offerings, performance of our pricing engine, procurement efficiencies and benefits from our extended warranty program. Gross margin was further positively impacted by an 6.3% reduction in average platinum spot prices, and negatively impacted by an increase of 14.1% in average gold spot prices for the six months ended June 30, 2024 as compared to the six months ended June 30, 2023.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Selling, General and Administrative Expenses</w:t>
      </w:r>
    </w:p>
    <w:p>
      <w:pPr>
        <w:spacing w:after="0" w:line="174"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Selling, general and administrative expenses for the six months ended June 30, 2024 increased by $4.5 million, or 3.9%, compared to the six months ended June 30, 2023. Selling, general and administrative expenses as a percentage of net sales increased by 360 basis points for the six months ended June 30, 2024 compared to the six months ended June 30, 2023. The increase in selling, general and administrative expenses was primarily driven by increases in employment expenses and other general and administrative expenses, which increased by $5.1 million and $0.4 million, respectively. These increases were partially offset by a decrease in marketing expenses of $1.0 million from the six months ended June 30, 2023 to the six months ended June 30, 2024.</w:t>
      </w:r>
    </w:p>
    <w:p>
      <w:pPr>
        <w:spacing w:after="0" w:line="224" w:lineRule="exact"/>
        <w:rPr>
          <w:sz w:val="20"/>
          <w:szCs w:val="20"/>
          <w:color w:val="auto"/>
        </w:rPr>
      </w:pPr>
    </w:p>
    <w:p>
      <w:pPr>
        <w:ind w:right="120" w:firstLine="619"/>
        <w:spacing w:after="0" w:line="264" w:lineRule="auto"/>
        <w:rPr>
          <w:sz w:val="20"/>
          <w:szCs w:val="20"/>
          <w:color w:val="auto"/>
        </w:rPr>
      </w:pPr>
      <w:r>
        <w:rPr>
          <w:rFonts w:ascii="Times New Roman" w:cs="Times New Roman" w:eastAsia="Times New Roman" w:hAnsi="Times New Roman"/>
          <w:sz w:val="19"/>
          <w:szCs w:val="19"/>
          <w:color w:val="auto"/>
        </w:rPr>
        <w:t>The increase in employment expenses was driven by an increase in salaries and wages, equity-based compensation, payroll taxes and other benefits expense primarily due to the addition of showroom staff to support our growth. The increase in other general and administrative expenses was primarily driven by an increase in rent and lease related expenses, an increase in information technology and other software-related costs, and an increase in contract labor compared to the quarter ended June 30, 2023. These increases in other general and administrative expenses were partially offset by a decrease in pre-opening expenses from the opening of new showrooms and a decrease in charitable contributions compared to the quarter ended June 30, 2023. The decrease in marketing expenses resulted from our continued focus on improving the effectiveness and efficiency of our marketing program.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 Income, net</w:t>
      </w:r>
    </w:p>
    <w:p>
      <w:pPr>
        <w:spacing w:after="0" w:line="174" w:lineRule="exact"/>
        <w:rPr>
          <w:sz w:val="20"/>
          <w:szCs w:val="20"/>
          <w:color w:val="auto"/>
        </w:rPr>
      </w:pPr>
    </w:p>
    <w:p>
      <w:pPr>
        <w:ind w:firstLine="619"/>
        <w:spacing w:after="0" w:line="283" w:lineRule="auto"/>
        <w:rPr>
          <w:sz w:val="20"/>
          <w:szCs w:val="20"/>
          <w:color w:val="auto"/>
        </w:rPr>
      </w:pPr>
      <w:r>
        <w:rPr>
          <w:rFonts w:ascii="Times New Roman" w:cs="Times New Roman" w:eastAsia="Times New Roman" w:hAnsi="Times New Roman"/>
          <w:sz w:val="19"/>
          <w:szCs w:val="19"/>
          <w:color w:val="auto"/>
        </w:rPr>
        <w:t>Other income, net for the six months ended June 30, 2024 increased by $0.9 million, compared to the six months ended June 30, 2023, primarily due to increased interest income earned on our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balances. Additionally, this amount includes immaterial losses on exchange rates on consumer payments and other miscellaneous income.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Key Metrics</w:t>
      </w:r>
    </w:p>
    <w:p>
      <w:pPr>
        <w:spacing w:after="0" w:line="25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We monitor the key business metrics set forth below to help us evaluate our business and growth trends, establish budgets, measure the effectiveness of our sales and marketing efforts, and assess operational efficiencies. The calculation of the key metrics discussed below may differ from other similarly titled metrics used by other companies, securities analysts or investors.</w:t>
      </w:r>
    </w:p>
    <w:p>
      <w:pPr>
        <w:spacing w:after="0" w:line="2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sets forth our key performance metrics for the periods presented (amounts in thousands, except for total orders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AOV):</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220" w:type="dxa"/>
            <w:vAlign w:val="bottom"/>
          </w:tcPr>
          <w:p>
            <w:pPr>
              <w:spacing w:after="0"/>
              <w:rPr>
                <w:sz w:val="19"/>
                <w:szCs w:val="19"/>
                <w:color w:val="auto"/>
              </w:rPr>
            </w:pPr>
          </w:p>
        </w:tc>
      </w:tr>
      <w:tr>
        <w:trPr>
          <w:trHeight w:val="227"/>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00" w:type="dxa"/>
            <w:vAlign w:val="bottom"/>
            <w:gridSpan w:val="5"/>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June 30,</w:t>
            </w: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20" w:type="dxa"/>
            <w:vAlign w:val="bottom"/>
          </w:tcPr>
          <w:p>
            <w:pPr>
              <w:spacing w:after="0"/>
              <w:rPr>
                <w:sz w:val="19"/>
                <w:szCs w:val="19"/>
                <w:color w:val="auto"/>
              </w:rPr>
            </w:pPr>
          </w:p>
        </w:tc>
      </w:tr>
      <w:tr>
        <w:trPr>
          <w:trHeight w:val="25"/>
        </w:trPr>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2"/>
        </w:trPr>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240" w:type="dxa"/>
            <w:vAlign w:val="bottom"/>
          </w:tcPr>
          <w:p>
            <w:pPr>
              <w:spacing w:after="0"/>
              <w:rPr>
                <w:sz w:val="20"/>
                <w:szCs w:val="20"/>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8"/>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20" w:type="dxa"/>
            <w:vAlign w:val="bottom"/>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31"/>
        </w:trPr>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Net Sales</w:t>
            </w:r>
          </w:p>
        </w:tc>
        <w:tc>
          <w:tcPr>
            <w:tcW w:w="20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105,426</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110,184</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(4,758)</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202,763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207,882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(5,119)</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214"/>
        </w:trPr>
        <w:tc>
          <w:tcPr>
            <w:tcW w:w="21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Total Orders</w:t>
            </w:r>
          </w:p>
        </w:tc>
        <w:tc>
          <w:tcPr>
            <w:tcW w:w="20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rPr>
              <w:t>44,404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42,849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1,555</w:t>
            </w: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84,929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6,449</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8.2 %</w:t>
            </w:r>
          </w:p>
        </w:tc>
      </w:tr>
      <w:tr>
        <w:trPr>
          <w:trHeight w:val="31"/>
        </w:trPr>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4"/>
        </w:trPr>
        <w:tc>
          <w:tcPr>
            <w:tcW w:w="2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AOV</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w:t>
            </w:r>
          </w:p>
        </w:tc>
      </w:tr>
      <w:tr>
        <w:trPr>
          <w:trHeight w:val="31"/>
        </w:trPr>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Total Orders</w:t>
      </w:r>
    </w:p>
    <w:p>
      <w:pPr>
        <w:spacing w:after="0" w:line="18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define total orders as the total number of customer orders delivered less total orders returned in a given period (excluding those repair, resize, and other orders which have no revenue). We view total orders as a key indicator of the velocity of our business and an indication of the desirability of our products to our customers. Total orders, together with AOV, is an indicator of the net sales we expect to recognize in a given period. Total orders may fluctuate based on the number of visitors to our website and showrooms, and our ability to convert these visitors to customers. We believe that total orders is a measure that is useful to investors and management in understanding our ongoing operations and in an analysis of ongoing operating trends.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Average Order Value</w:t>
      </w:r>
    </w:p>
    <w:p>
      <w:pPr>
        <w:spacing w:after="0" w:line="198"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define average order value, or AOV, as net sales in a given period divided by total orders in that period. We believe that AOV is a measure that is useful to investors and management in understanding our ongoing operations and in an analysis of ongoing operating trends. AOV varies depending on the product type and number of items per order. AOV may also fluctuate as we expand into and increase our presence in additional product lines and price points, and open additional showrooms.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Non-GAAP Financial Measures</w:t>
      </w:r>
    </w:p>
    <w:p>
      <w:pPr>
        <w:spacing w:after="0" w:line="159"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report our financial results in accordance with GAAP. However, management believes that certain non-GAAP financial measures provide users of our financial information with additional useful information in evaluating our performance and liquidity, as applicable, and to more readily compare these financial measures between past and future periods. There are limitations to the use of the non-GAAP financial measures presented in this Quarterly Report on Form 10-Q. For example, our non-GAAP financial measures may not be comparable to similarly titled measures of other companies.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companies, including companies in our industry, may calculate non-GAAP financial measures differently than we do, limiting the usefulness of those measures for comparative purposes.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Adjusted EBITDA and Adjusted EBITDA Margin</w:t>
      </w:r>
    </w:p>
    <w:p>
      <w:pPr>
        <w:spacing w:after="0" w:line="237"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Adjusted EBITDA and Adjusted EBITDA margin, which are non-GAAP financial measures, are included in this Quarterly Report on Form 10-Q because they are used by management and our board of directors to assess our financial performance. We define Adjusted EBITDA as net income excluding interest expense, income taxes, depreciation expense, amortization of cloud-based software implementation costs, showroom pre-opening expense, equity-based compensation expense, certain non-operating expenses and income, and other unusual and/or infrequent costs, which we do not consider in our evaluation of ongoing operating performance. We define Adjusted EBITDA margin as Adjusted EBITDA calculated as a percentage of net sales. These non-GAAP financial measures provide users of our financial information with useful information in evaluating our operating performance and exclude certain items from net income that may vary substantially in frequency and magnitude from period to period. These non-GAAP financial measures are not meant to be considered as indicators of performance in isolation from or as a substitute for net income prepared in accordance with GAAP and should be read only in conjunction with financial information presented on a GAAP basis. Reconciliations of each of Adjusted EBITDA and Adjusted EBITDA margin to its most directly comparable GAAP financial measure, net income and net income margin,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non-recurring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presents a reconciliation of net income and net income margin, the most comparable GAAP financial measures, to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EBITDA and Adjusted EBITDA margin, respectively, for the periods presented (amounts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80" w:type="dxa"/>
            <w:vAlign w:val="bottom"/>
            <w:gridSpan w:val="5"/>
          </w:tcPr>
          <w:p>
            <w:pPr>
              <w:ind w:left="560"/>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420" w:type="dxa"/>
            <w:vAlign w:val="bottom"/>
          </w:tcPr>
          <w:p>
            <w:pPr>
              <w:spacing w:after="0"/>
              <w:rPr>
                <w:sz w:val="17"/>
                <w:szCs w:val="17"/>
                <w:color w:val="auto"/>
              </w:rPr>
            </w:pPr>
          </w:p>
        </w:tc>
        <w:tc>
          <w:tcPr>
            <w:tcW w:w="2180" w:type="dxa"/>
            <w:vAlign w:val="bottom"/>
            <w:gridSpan w:val="3"/>
          </w:tcPr>
          <w:p>
            <w:pPr>
              <w:ind w:left="780"/>
              <w:spacing w:after="0"/>
              <w:rPr>
                <w:sz w:val="20"/>
                <w:szCs w:val="20"/>
                <w:color w:val="auto"/>
              </w:rPr>
            </w:pPr>
            <w:r>
              <w:rPr>
                <w:rFonts w:ascii="Times New Roman" w:cs="Times New Roman" w:eastAsia="Times New Roman" w:hAnsi="Times New Roman"/>
                <w:sz w:val="17"/>
                <w:szCs w:val="17"/>
                <w:b w:val="1"/>
                <w:bCs w:val="1"/>
                <w:color w:val="auto"/>
              </w:rPr>
              <w:t>Six Months Ended</w:t>
            </w:r>
          </w:p>
        </w:tc>
        <w:tc>
          <w:tcPr>
            <w:tcW w:w="1140" w:type="dxa"/>
            <w:vAlign w:val="bottom"/>
          </w:tcPr>
          <w:p>
            <w:pPr>
              <w:spacing w:after="0"/>
              <w:rPr>
                <w:sz w:val="17"/>
                <w:szCs w:val="17"/>
                <w:color w:val="auto"/>
              </w:rPr>
            </w:pPr>
          </w:p>
        </w:tc>
      </w:tr>
      <w:tr>
        <w:trPr>
          <w:trHeight w:val="227"/>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180" w:type="dxa"/>
            <w:vAlign w:val="bottom"/>
            <w:gridSpan w:val="3"/>
          </w:tcPr>
          <w:p>
            <w:pPr>
              <w:ind w:left="1160"/>
              <w:spacing w:after="0"/>
              <w:rPr>
                <w:sz w:val="20"/>
                <w:szCs w:val="20"/>
                <w:color w:val="auto"/>
              </w:rPr>
            </w:pPr>
            <w:r>
              <w:rPr>
                <w:rFonts w:ascii="Times New Roman" w:cs="Times New Roman" w:eastAsia="Times New Roman" w:hAnsi="Times New Roman"/>
                <w:sz w:val="17"/>
                <w:szCs w:val="17"/>
                <w:b w:val="1"/>
                <w:bCs w:val="1"/>
                <w:color w:val="auto"/>
              </w:rPr>
              <w:t>June 30,</w:t>
            </w:r>
          </w:p>
        </w:tc>
        <w:tc>
          <w:tcPr>
            <w:tcW w:w="1140" w:type="dxa"/>
            <w:vAlign w:val="bottom"/>
          </w:tcPr>
          <w:p>
            <w:pPr>
              <w:spacing w:after="0"/>
              <w:rPr>
                <w:sz w:val="19"/>
                <w:szCs w:val="19"/>
                <w:color w:val="auto"/>
              </w:rPr>
            </w:pPr>
          </w:p>
        </w:tc>
      </w:tr>
      <w:tr>
        <w:trPr>
          <w:trHeight w:val="38"/>
        </w:trPr>
        <w:tc>
          <w:tcPr>
            <w:tcW w:w="39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5"/>
        </w:trPr>
        <w:tc>
          <w:tcPr>
            <w:tcW w:w="3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61"/>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40" w:type="dxa"/>
            <w:vAlign w:val="bottom"/>
          </w:tcPr>
          <w:p>
            <w:pPr>
              <w:jc w:val="right"/>
              <w:ind w:right="661"/>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38"/>
        </w:trPr>
        <w:tc>
          <w:tcPr>
            <w:tcW w:w="39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1,235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2,442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795</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400" w:type="dxa"/>
            <w:vAlign w:val="bottom"/>
          </w:tcPr>
          <w:p>
            <w:pPr>
              <w:spacing w:after="0"/>
              <w:rPr>
                <w:sz w:val="20"/>
                <w:szCs w:val="20"/>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1,293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1,280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2,507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2,486</w:t>
            </w:r>
          </w:p>
        </w:tc>
      </w:tr>
      <w:tr>
        <w:trPr>
          <w:trHeight w:val="31"/>
        </w:trPr>
        <w:tc>
          <w:tcPr>
            <w:tcW w:w="3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37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24</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expense</w:t>
            </w:r>
          </w:p>
        </w:tc>
        <w:tc>
          <w:tcPr>
            <w:tcW w:w="400" w:type="dxa"/>
            <w:vAlign w:val="bottom"/>
          </w:tcPr>
          <w:p>
            <w:pPr>
              <w:spacing w:after="0"/>
              <w:rPr>
                <w:sz w:val="20"/>
                <w:szCs w:val="20"/>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1,302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940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2,505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1,891</w:t>
            </w:r>
          </w:p>
        </w:tc>
      </w:tr>
      <w:tr>
        <w:trPr>
          <w:trHeight w:val="31"/>
        </w:trPr>
        <w:tc>
          <w:tcPr>
            <w:tcW w:w="3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cloud-based software implementation</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4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139</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263</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Showroom pre-opening expense</w:t>
            </w:r>
          </w:p>
        </w:tc>
        <w:tc>
          <w:tcPr>
            <w:tcW w:w="400" w:type="dxa"/>
            <w:vAlign w:val="bottom"/>
          </w:tcPr>
          <w:p>
            <w:pPr>
              <w:spacing w:after="0"/>
              <w:rPr>
                <w:sz w:val="20"/>
                <w:szCs w:val="20"/>
                <w:color w:val="auto"/>
              </w:rPr>
            </w:pPr>
          </w:p>
        </w:tc>
        <w:tc>
          <w:tcPr>
            <w:tcW w:w="130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1,671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622</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ind w:right="141"/>
              <w:spacing w:after="0"/>
              <w:rPr>
                <w:sz w:val="20"/>
                <w:szCs w:val="20"/>
                <w:color w:val="auto"/>
              </w:rPr>
            </w:pPr>
            <w:r>
              <w:rPr>
                <w:rFonts w:ascii="Times New Roman" w:cs="Times New Roman" w:eastAsia="Times New Roman" w:hAnsi="Times New Roman"/>
                <w:sz w:val="15"/>
                <w:szCs w:val="15"/>
                <w:color w:val="auto"/>
              </w:rPr>
              <w:t>3,443</w:t>
            </w:r>
          </w:p>
        </w:tc>
      </w:tr>
      <w:tr>
        <w:trPr>
          <w:trHeight w:val="31"/>
        </w:trPr>
        <w:tc>
          <w:tcPr>
            <w:tcW w:w="3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1"/>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Equity-based compensation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2,627</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5,012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4,885</w:t>
            </w:r>
          </w:p>
        </w:tc>
      </w:tr>
      <w:tr>
        <w:trPr>
          <w:trHeight w:val="271"/>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 xml:space="preserve">Other income, net </w:t>
            </w:r>
            <w:r>
              <w:rPr>
                <w:rFonts w:ascii="Times New Roman" w:cs="Times New Roman" w:eastAsia="Times New Roman" w:hAnsi="Times New Roman"/>
                <w:sz w:val="22"/>
                <w:szCs w:val="22"/>
                <w:color w:val="auto"/>
                <w:vertAlign w:val="superscript"/>
              </w:rPr>
              <w:t>(1)</w:t>
            </w:r>
          </w:p>
        </w:tc>
        <w:tc>
          <w:tcPr>
            <w:tcW w:w="400" w:type="dxa"/>
            <w:vAlign w:val="bottom"/>
          </w:tcPr>
          <w:p>
            <w:pPr>
              <w:spacing w:after="0"/>
              <w:rPr>
                <w:sz w:val="23"/>
                <w:szCs w:val="23"/>
                <w:color w:val="auto"/>
              </w:rPr>
            </w:pPr>
          </w:p>
        </w:tc>
        <w:tc>
          <w:tcPr>
            <w:tcW w:w="130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(1,474)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(1,192)</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(2,951)</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5"/>
                <w:szCs w:val="15"/>
                <w:color w:val="auto"/>
              </w:rPr>
              <w:t>(2,035)</w:t>
            </w:r>
          </w:p>
        </w:tc>
      </w:tr>
      <w:tr>
        <w:trPr>
          <w:trHeight w:val="271"/>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xml:space="preserve">Transaction costs and other expense </w:t>
            </w:r>
            <w:r>
              <w:rPr>
                <w:rFonts w:ascii="Times New Roman" w:cs="Times New Roman" w:eastAsia="Times New Roman" w:hAnsi="Times New Roman"/>
                <w:sz w:val="22"/>
                <w:szCs w:val="22"/>
                <w:color w:val="auto"/>
                <w:vertAlign w:val="superscript"/>
              </w:rPr>
              <w:t>(2)</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5"/>
                <w:szCs w:val="15"/>
                <w:color w:val="auto"/>
              </w:rPr>
              <w:t>1,532</w:t>
            </w:r>
          </w:p>
        </w:tc>
      </w:tr>
      <w:tr>
        <w:trPr>
          <w:trHeight w:val="232"/>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4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0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5,481</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2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7,737</w:t>
            </w:r>
          </w:p>
        </w:tc>
        <w:tc>
          <w:tcPr>
            <w:tcW w:w="80" w:type="dxa"/>
            <w:vAlign w:val="bottom"/>
          </w:tcPr>
          <w:p>
            <w:pPr>
              <w:spacing w:after="0"/>
              <w:rPr>
                <w:sz w:val="20"/>
                <w:szCs w:val="20"/>
                <w:color w:val="auto"/>
              </w:rPr>
            </w:pPr>
          </w:p>
        </w:tc>
        <w:tc>
          <w:tcPr>
            <w:tcW w:w="420" w:type="dxa"/>
            <w:vAlign w:val="bottom"/>
            <w:tcBorders>
              <w:top w:val="single" w:sz="8" w:color="auto"/>
            </w:tcBorders>
          </w:tcPr>
          <w:p>
            <w:pPr>
              <w:jc w:val="right"/>
              <w:ind w:right="243"/>
              <w:spacing w:after="0"/>
              <w:rPr>
                <w:sz w:val="20"/>
                <w:szCs w:val="20"/>
                <w:color w:val="auto"/>
              </w:rPr>
            </w:pPr>
            <w:r>
              <w:rPr>
                <w:rFonts w:ascii="Times New Roman" w:cs="Times New Roman" w:eastAsia="Times New Roman" w:hAnsi="Times New Roman"/>
                <w:sz w:val="15"/>
                <w:szCs w:val="15"/>
                <w:b w:val="1"/>
                <w:bCs w:val="1"/>
                <w:color w:val="auto"/>
              </w:rPr>
              <w:t>$</w:t>
            </w:r>
          </w:p>
        </w:tc>
        <w:tc>
          <w:tcPr>
            <w:tcW w:w="140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10,566</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top w:val="single" w:sz="8" w:color="auto"/>
            </w:tcBorders>
          </w:tcPr>
          <w:p>
            <w:pPr>
              <w:jc w:val="right"/>
              <w:ind w:right="141"/>
              <w:spacing w:after="0"/>
              <w:rPr>
                <w:sz w:val="20"/>
                <w:szCs w:val="20"/>
                <w:color w:val="auto"/>
              </w:rPr>
            </w:pPr>
            <w:r>
              <w:rPr>
                <w:rFonts w:ascii="Times New Roman" w:cs="Times New Roman" w:eastAsia="Times New Roman" w:hAnsi="Times New Roman"/>
                <w:sz w:val="15"/>
                <w:szCs w:val="15"/>
                <w:b w:val="1"/>
                <w:bCs w:val="1"/>
                <w:color w:val="auto"/>
              </w:rPr>
              <w:t>13,284</w:t>
            </w:r>
          </w:p>
        </w:tc>
      </w:tr>
      <w:tr>
        <w:trPr>
          <w:trHeight w:val="31"/>
        </w:trPr>
        <w:tc>
          <w:tcPr>
            <w:tcW w:w="39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margin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1.1 %</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1.2 %</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0.4 %</w:t>
            </w:r>
          </w:p>
        </w:tc>
      </w:tr>
      <w:tr>
        <w:trPr>
          <w:trHeight w:val="239"/>
        </w:trPr>
        <w:tc>
          <w:tcPr>
            <w:tcW w:w="3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margin</w:t>
            </w:r>
          </w:p>
        </w:tc>
        <w:tc>
          <w:tcPr>
            <w:tcW w:w="4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5.2 %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7.0 %</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5.2 %</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6.4 %</w:t>
            </w:r>
          </w:p>
        </w:tc>
      </w:tr>
    </w:tbl>
    <w:p>
      <w:pPr>
        <w:spacing w:after="0" w:line="230" w:lineRule="exact"/>
        <w:rPr>
          <w:sz w:val="20"/>
          <w:szCs w:val="20"/>
          <w:color w:val="auto"/>
        </w:rPr>
      </w:pPr>
    </w:p>
    <w:p>
      <w:pPr>
        <w:ind w:left="340" w:hanging="337"/>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income, net consists primarily of interest and other miscellaneous income, partially offset by expenses such as losses on exchange rates on consumer payments.</w:t>
      </w:r>
    </w:p>
    <w:p>
      <w:pPr>
        <w:spacing w:after="0" w:line="17" w:lineRule="exact"/>
        <w:rPr>
          <w:rFonts w:ascii="Times New Roman" w:cs="Times New Roman" w:eastAsia="Times New Roman" w:hAnsi="Times New Roman"/>
          <w:sz w:val="14"/>
          <w:szCs w:val="14"/>
          <w:color w:val="auto"/>
        </w:rPr>
      </w:pPr>
    </w:p>
    <w:p>
      <w:pPr>
        <w:ind w:left="340" w:hanging="337"/>
        <w:spacing w:after="0"/>
        <w:tabs>
          <w:tab w:leader="none" w:pos="3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expenses are those that we did not incur in the normal course of business. Expenses for the three and six month period ended June 30, 2023 include a $1 million charitable contribution.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Overview</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Our primary requirements for liquidity and capital are for purchases of inventory, payment of operating expenses, tax distributions to Continuing Equity Owners, debt service, and capital expenditures. Historically, these cash requirements have been met through cash provided by operating activities, cash and cash equivalents, proceeds from capital-raising activities and borrowings under our loan facilities. We have historically had negative working capital driven by our high inventory turns and typical collection of payment from customers prior to payment of suppliers. As of June 30, 2024, we had a cash balance, excluding restricted cash, of $152.2 million, and negative working capital, which we define as our current assets less cash minus our current liabilities, of ($20.6) million.</w:t>
      </w:r>
    </w:p>
    <w:p>
      <w:pPr>
        <w:spacing w:after="0" w:line="19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In addition, as of June 30, 2024, the SVB Term Loan (as defined below) had an outstanding principal balance of $58.5 million, excluding unamortized debt issuance costs of $0.5 million, of which $53.6 million is classified as long-term. Refer to Note 7. "Debt" to our unaudited condensed consolidated financial statements included elsewhere in this Quarterly Report on Form 10-Q for aggregate future principal payments under the SVB Term Loan.</w:t>
      </w:r>
    </w:p>
    <w:p>
      <w:pPr>
        <w:spacing w:after="0" w:line="20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For the six months ended June 30, 2024, the Company declared and paid $1.7 million of distributions to, or on behalf of, members associated with their estimated income tax obligations. We are committed to continue to make quarterly distributions in connection with member estimated income tax obligations which we expect to fund with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believe, based on our current projections, that we have sufficient sources of liquidity to meet our projected operating, debt service, and tax distribution requirements for at least the next 12 months following the filing of this Quarterly Report on Form 10-Q.</w:t>
      </w:r>
    </w:p>
    <w:p>
      <w:pPr>
        <w:spacing w:after="0" w:line="168"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Additional future liquidity needs may include payments under the TRA, and state and federal taxes to the extent not offset by our deferred income tax assets, including those arising as a result of purchases or exchanges of common units for Class A and Class D common stock. Although the actual timing and amount of any payments that may be made under the TRA will vary, we expect that the payments that we will be required to make to the Continuing Equity Owners will be significant. Any payments made by us to the Continuing Equity Owners under the TRA will generally reduce the amount of overall cash flow that might have otherwise been available to us or to Brilliant Earth, LLC, and, to the extent that we are unable to make payments under the TRA for any reason, the unpaid amounts generally will be deferred and will accrue interest until paid by us; provided, however, that nonpayment for a specified period may constitute a material breach of a material obligation under the TRA and therefore may accelerate payments due under the TRA.</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9"/>
          <w:szCs w:val="19"/>
          <w:color w:val="auto"/>
        </w:rPr>
        <w:t>To the extent that our current liquidity is insufficient to fund future activities, we may need to raise additional funds, such as attempts to raise additional capital through the sale of equity securities or through debt financing arrangements. If we raise additional funds by issuing equity securities, the ownership of our existing stockholders will be diluted. Any additional debt financing would result in debt service obligations, and any future instruments governing such debt could provide for operating and financing covenants that could restrict our operations. We cannot ensure that we could obtain refinancing or additional financing on favorable terms or at all.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Cash Flow Analysis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The following table summarizes our cash flows for the six months ended June 30, 2024 and 2023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20" w:type="dxa"/>
            <w:vAlign w:val="bottom"/>
          </w:tcPr>
          <w:p>
            <w:pPr>
              <w:spacing w:after="0"/>
              <w:rPr>
                <w:sz w:val="19"/>
                <w:szCs w:val="19"/>
                <w:color w:val="auto"/>
              </w:rPr>
            </w:pPr>
          </w:p>
        </w:tc>
        <w:tc>
          <w:tcPr>
            <w:tcW w:w="2880" w:type="dxa"/>
            <w:vAlign w:val="bottom"/>
            <w:gridSpan w:val="4"/>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660" w:type="dxa"/>
            <w:vAlign w:val="bottom"/>
          </w:tcPr>
          <w:p>
            <w:pPr>
              <w:spacing w:after="0"/>
              <w:rPr>
                <w:sz w:val="19"/>
                <w:szCs w:val="19"/>
                <w:color w:val="auto"/>
              </w:rPr>
            </w:pPr>
          </w:p>
        </w:tc>
      </w:tr>
      <w:tr>
        <w:trPr>
          <w:trHeight w:val="38"/>
        </w:trPr>
        <w:tc>
          <w:tcPr>
            <w:tcW w:w="762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25"/>
        </w:trPr>
        <w:tc>
          <w:tcPr>
            <w:tcW w:w="76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660" w:type="dxa"/>
            <w:vAlign w:val="bottom"/>
          </w:tcPr>
          <w:p>
            <w:pPr>
              <w:spacing w:after="0"/>
              <w:rPr>
                <w:sz w:val="19"/>
                <w:szCs w:val="19"/>
                <w:color w:val="auto"/>
              </w:rPr>
            </w:pPr>
          </w:p>
        </w:tc>
      </w:tr>
      <w:tr>
        <w:trPr>
          <w:trHeight w:val="38"/>
        </w:trPr>
        <w:tc>
          <w:tcPr>
            <w:tcW w:w="76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r>
      <w:tr>
        <w:trPr>
          <w:trHeight w:val="244"/>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10,870</w:t>
            </w:r>
          </w:p>
        </w:tc>
      </w:tr>
      <w:tr>
        <w:trPr>
          <w:trHeight w:val="232"/>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(1,419)</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(9,159)</w:t>
            </w:r>
          </w:p>
        </w:tc>
      </w:tr>
      <w:tr>
        <w:trPr>
          <w:trHeight w:val="38"/>
        </w:trPr>
        <w:tc>
          <w:tcPr>
            <w:tcW w:w="7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(3,697)</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(6,753)</w:t>
            </w: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decrease in cash, cash equivalents and restricted cash</w:t>
            </w:r>
          </w:p>
        </w:tc>
        <w:tc>
          <w:tcPr>
            <w:tcW w:w="10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(3,597)</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(5,042)</w:t>
            </w:r>
          </w:p>
        </w:tc>
      </w:tr>
      <w:tr>
        <w:trPr>
          <w:trHeight w:val="38"/>
        </w:trPr>
        <w:tc>
          <w:tcPr>
            <w:tcW w:w="76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7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0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156,020</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154,854</w:t>
            </w:r>
          </w:p>
        </w:tc>
      </w:tr>
      <w:tr>
        <w:trPr>
          <w:trHeight w:val="257"/>
        </w:trPr>
        <w:tc>
          <w:tcPr>
            <w:tcW w:w="7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end of period</w:t>
            </w:r>
          </w:p>
        </w:tc>
        <w:tc>
          <w:tcPr>
            <w:tcW w:w="108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152,423</w:t>
            </w:r>
          </w:p>
        </w:tc>
        <w:tc>
          <w:tcPr>
            <w:tcW w:w="10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149,812</w:t>
            </w:r>
          </w:p>
        </w:tc>
      </w:tr>
      <w:tr>
        <w:trPr>
          <w:trHeight w:val="25"/>
        </w:trPr>
        <w:tc>
          <w:tcPr>
            <w:tcW w:w="76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Operating Activities</w:t>
      </w:r>
    </w:p>
    <w:p>
      <w:pPr>
        <w:spacing w:after="0" w:line="250" w:lineRule="exact"/>
        <w:rPr>
          <w:sz w:val="20"/>
          <w:szCs w:val="20"/>
          <w:color w:val="auto"/>
        </w:rPr>
      </w:pPr>
    </w:p>
    <w:p>
      <w:pPr>
        <w:ind w:firstLine="619"/>
        <w:spacing w:after="0" w:line="269" w:lineRule="auto"/>
        <w:rPr>
          <w:sz w:val="20"/>
          <w:szCs w:val="20"/>
          <w:color w:val="auto"/>
        </w:rPr>
      </w:pPr>
      <w:r>
        <w:rPr>
          <w:rFonts w:ascii="Times New Roman" w:cs="Times New Roman" w:eastAsia="Times New Roman" w:hAnsi="Times New Roman"/>
          <w:sz w:val="19"/>
          <w:szCs w:val="19"/>
          <w:color w:val="auto"/>
        </w:rPr>
        <w:t>For the six months ended June 30, 2024, net cash provided by operating activities was $1.5 million compared to net cash provided by operating activities of $10.9 million for the six months ended June 30, 2023, a decrease of $9.4 million. This decrease was primarily driven by $11.8 million from changes in assets and liabilities related to working capital management activities, partially offset by an increase in net income adjusted for non-cash expense addbacks of $2.5 million. The decrease from changes in assets and liabilities related to operating activities was primarily due to an increase of $7.1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60"/>
        <w:spacing w:after="0" w:line="276" w:lineRule="auto"/>
        <w:rPr>
          <w:sz w:val="20"/>
          <w:szCs w:val="20"/>
          <w:color w:val="auto"/>
        </w:rPr>
      </w:pPr>
      <w:r>
        <w:rPr>
          <w:rFonts w:ascii="Times New Roman" w:cs="Times New Roman" w:eastAsia="Times New Roman" w:hAnsi="Times New Roman"/>
          <w:sz w:val="19"/>
          <w:szCs w:val="19"/>
          <w:color w:val="auto"/>
        </w:rPr>
        <w:t>million in accounts payable, accrued expenses and other current liabilities, an increase of $0.8 million in operating lease liabilities, and an increase of $0.7 million in other assets and inventories. Also impacting the decrease from changes in assets and liabilities was a decrease of $2.0 million in deferred revenue and a decrease of $1.3 million in prepaid expenses and other current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Investing Activities</w:t>
      </w:r>
    </w:p>
    <w:p>
      <w:pPr>
        <w:spacing w:after="0" w:line="25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For the six months ended June 30, 2024, net cash used in investing activities was $1.4 million compared to $9.2 million for the six months ended June 30, 2023. The decrease of $7.7 million was principally due to a decrease in purchases of property and equipment related to new facilities leased during the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Net Cash Used In Financing Activities</w:t>
      </w:r>
    </w:p>
    <w:p>
      <w:pPr>
        <w:spacing w:after="0" w:line="25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For the six months ended June 30, 2024, net cash used in financing activities was $3.7 million compared to $6.8 million for the six months ended June 30, 2023. The decrease of $3.1 million was primarily due to lower tax distributions paid to members pursuant to the LLC Agreement of $3.4 million. The decrease in tax distributions paid to members was partially offset by the payment of debt issuance costs of $0.1 million in connection with the First Amendment (as defined below) and repurchases of $0.3 million of our Class A common stock under the share repurchase program.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Silicon Valley Bank Credit Facilities</w:t>
      </w:r>
    </w:p>
    <w:p>
      <w:pPr>
        <w:spacing w:after="0" w:line="252"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On May 24, 2022, Brilliant Earth, LLC, as borrower, and Silicon Valley Bank ("SVB"), as administrative agent and collateral agent for the lenders, entered into a credit agreement ( the "SVB Credit Agreement"), which provides for a secured term loan credit facility of $65.0 million (the "SVB Term Loan") and a secured revolving credit facility in the amount of up to $40.0 million (the "SVB Revolving Facility" and together with the SVB Term Loan, the "SVB Credit Facilities").</w:t>
      </w:r>
    </w:p>
    <w:p>
      <w:pPr>
        <w:spacing w:after="0" w:line="20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9"/>
          <w:szCs w:val="19"/>
          <w:color w:val="auto"/>
        </w:rPr>
        <w:t>On February 21, 2024, we entered into the First Amendment to the SVB Credit Agreement (the "First Amendment"), pursuant to which the lenders agreed to suspend the requirement to comply with the Consolidated Fixed Charge Coverage Ratio covenant on the last day of the fiscal quarters ending December 31, 2023, March 31, 2024, and June 30, 2024. The First Amendment also requires us to maintain Balance Sheet Cash (defined as unrestricted cash and cash equivalents held in accounts with the lenders and their affiliates) in an amount greater than the sum of the aggregate principal amount outstanding under the SVB Revolving Facility (including issued letters of credit) and the aggregate principal amount of the SVB Term Loan outstanding at such time, which requirement applies at all times commencing on February 21, 2024 until the last day of the fiscal quarter ending June 30, 2024. After such time, the minimum Balance Sheet Cash covenant no longer applies. See Note 7. "Debt" to our unaudited condensed consolidated financial statements included elsewhere in this Quarterly Report on Form 10-Q for additional information on the SVB Credit Facilities. As of June 30, 2024, there were no amounts outstanding under the SVB Revolving Facility and $58.5 million outstanding under the SVB Term Loan, $53.6 million of which is classified as long-term.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Additional Liquidity Requirements</w:t>
      </w:r>
    </w:p>
    <w:p>
      <w:pPr>
        <w:spacing w:after="0" w:line="252"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We are a holding company and have no material assets other than our ownership of LLC Interests. We have no independent means of generating revenue. The LLC Agreement provides for the payment of certain distributions to the Continuing Equity Owners and to us in amounts sufficient to cover the income taxes imposed on such members with respect to the allocation of taxable income from Brilliant Earth, LLC as well as to cover our obligations under the TRA and other administrative expenses.</w:t>
      </w:r>
    </w:p>
    <w:p>
      <w:pPr>
        <w:spacing w:after="0" w:line="21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Regarding the ability of Brilliant Earth, LLC to make distributions to us, the terms of their financing arrangements, including the SVB Credit Facilities, contain covenants that may restrict Brilliant Earth, LLC from paying such distributions, subject to certain exceptions. Further, Brilliant Earth, LLC is generally prohibited under Delaware law from making a distribution to a member to the extent that, at the time of the distribution, after giving effect to the distribution, liabilities of Brilliant Earth, LLC (with certain exceptions), as applicable, exceed the fair value of its assets.</w:t>
      </w:r>
    </w:p>
    <w:p>
      <w:pPr>
        <w:spacing w:after="0" w:line="210"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color w:val="auto"/>
        </w:rPr>
        <w:t>In addition, under the TRA, we are required to make cash payments to the Continuing Equity Owners equal to 85% of the tax benefits, if any, that we actually realize (or in certain circumstances are deemed to realize), as a result of (1) increases in our allocable share of the tax basis of Brilliant Earth, LLC's assets resulting from (a) our purchase of LLC Interests from each Continuing Equity Owner; (b) future redemptions or exchanges of LLC Interests for Class A common stock or cash; and (c) certain distributions (or deemed distributions) by Brilliant Earth, LLC; and</w:t>
      </w:r>
    </w:p>
    <w:p>
      <w:pPr>
        <w:spacing w:after="0" w:line="1" w:lineRule="exact"/>
        <w:rPr>
          <w:sz w:val="20"/>
          <w:szCs w:val="20"/>
          <w:color w:val="auto"/>
        </w:rPr>
      </w:pPr>
    </w:p>
    <w:p>
      <w:pPr>
        <w:jc w:val="both"/>
        <w:ind w:firstLine="3"/>
        <w:spacing w:after="0" w:line="270" w:lineRule="auto"/>
        <w:tabs>
          <w:tab w:leader="none" w:pos="2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benefits arising from payments made under the TRA. We expect the amount of cash payments that we will be required to make under the TRA will be significant. The actual amount and timing of any payments under the TRA will vary depending upon a number of factors, including the timing of redemptions or exchanges by the Continuing Equity Owners, the amount of gain recognized by the Continuing Equity Owners, the amount and timing of the taxable income we generate in the future, and the federal tax rates then applicable. Any payments made by us to the Continuing Equity Owners under the TRA will generally reduce the amount of overall cash flow that might have otherwise been available to us.</w:t>
      </w:r>
    </w:p>
    <w:p>
      <w:pPr>
        <w:spacing w:after="0" w:line="182"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Additionally, in the event we declare any cash dividends, we intend to cause Brilliant Earth, LLC to make distributions to us in amounts sufficient to fund such cash dividends declared by us to our shareholders. Deterioration in the financial condition, earnings, or cash flow of Brilliant Earth, LLC for any reason could limit or impair their ability to pay such distributions.</w:t>
      </w:r>
    </w:p>
    <w:p>
      <w:pPr>
        <w:spacing w:after="0" w:line="18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If we do not have sufficient funds to pay taxes or other liabilities or to fund our operations, we may have to borrow funds, which could materially adversely affect our liquidity and financial condition and subject us to various restrictions imposed by any such lenders. To the extent that we are unable to make payments under the TRA for any reason, such payments generally will be deferred and will accrue interest until paid; provided, however, that nonpayment for a specified period may constitute a material breach of a material obligation under the TRA and therefore accelerate payments due under the TRA. In addition, if Brilliant Earth, LLC does not have sufficient funds to make distributions, our ability to declare and pay cash dividends will also be restricted or impaired.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Contractual Obligations and Commitments</w:t>
      </w:r>
    </w:p>
    <w:p>
      <w:pPr>
        <w:spacing w:after="0" w:line="250"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As of June 30, 2024, there were no material changes to our contractual obligations and commitments as disclosed in Part II, Item 7, "Management's Discussion and Analysis of Financial Condition and Results of Operations" of our 2023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Accounting Policies and Estimates</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There have been no changes to the Company's critical accounting policies and estimates from those described under "Critical Accounting Policies and Estimates" in the Management's Discussion and Analysis of Financial Condition and Results of Operations of our 2023 Form 10-K.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 Accounting Pronouncements</w:t>
      </w:r>
    </w:p>
    <w:p>
      <w:pPr>
        <w:spacing w:after="0" w:line="239"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For information regarding recent accounting pronouncements, see Note 1 to our unaudited condensed consolidated financial statements and related notes thereto included elsewhere in this Quarterly Report on Form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JOBS Act</w:t>
      </w:r>
    </w:p>
    <w:p>
      <w:pPr>
        <w:spacing w:after="0" w:line="237"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8"/>
          <w:szCs w:val="18"/>
          <w:color w:val="auto"/>
        </w:rPr>
        <w:t>We qualify as an "emerging growth company" pursuant to the provisions of the JOBS Act, enacted on April 5, 2012. Section 102 of the JOBS Act provides that, among other reporting exemptions, an "emerging growth company" can take advantage of the extended transition period provided in Section 7(a)(2) (B)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unaudited condensed consolidated financial statements may not be comparable to companies that comply with new or revised accounting pronouncements as of public company effective dates.</w:t>
      </w:r>
    </w:p>
    <w:p>
      <w:pPr>
        <w:spacing w:after="0" w:line="20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9"/>
          <w:szCs w:val="19"/>
          <w:color w:val="auto"/>
        </w:rPr>
        <w:t>The exemptions afforded to emerging growth companies will apply until we no longer meet the requirements of being an emerging growth company. We will remain an emerging growth company until the earlier of (a) the last day of the fiscal year (i) following the fifth anniversary of the completion of our IPO (December 31, 2026), (ii) in which we have total annual gross revenue of at least $1.235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 billion in non-convertible debt during the prior three-year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Quantitative and Qualitative Disclosures About Market Risk</w:t>
      </w:r>
    </w:p>
    <w:p>
      <w:pPr>
        <w:spacing w:after="0" w:line="250" w:lineRule="exact"/>
        <w:rPr>
          <w:sz w:val="20"/>
          <w:szCs w:val="20"/>
          <w:color w:val="auto"/>
        </w:rPr>
      </w:pPr>
    </w:p>
    <w:p>
      <w:pPr>
        <w:jc w:val="both"/>
        <w:ind w:firstLine="619"/>
        <w:spacing w:after="0" w:line="269" w:lineRule="auto"/>
        <w:rPr>
          <w:sz w:val="20"/>
          <w:szCs w:val="20"/>
          <w:color w:val="auto"/>
        </w:rPr>
      </w:pPr>
      <w:r>
        <w:rPr>
          <w:rFonts w:ascii="Times New Roman" w:cs="Times New Roman" w:eastAsia="Times New Roman" w:hAnsi="Times New Roman"/>
          <w:sz w:val="19"/>
          <w:szCs w:val="19"/>
          <w:color w:val="auto"/>
        </w:rPr>
        <w:t>We are a smaller reporting company as defined by Rule 12b-2 of the Securities Exchange Act of 1934 and are not required to provide the information under this item.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Controls and Procedures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Evaluation of disclosure controls and procedures</w:t>
      </w:r>
    </w:p>
    <w:p>
      <w:pPr>
        <w:spacing w:after="0" w:line="25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Our management, with the participation of our principal executive officer and principal financial officer, conducted an evaluation of the effectiveness of our disclosure controls and procedures (as such term is defined in Rules 13a-15(e) and 15d-15(e) under the Exchange Act) as of the end of the period covered by this Quarterly Report on Form 10-Q. Based on this evaluation, our principal executive officer and principal financial officer concluded that, as of June 30, 2024, our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were not effective due to the material weakness previously identified by management and described in Part II, Item 9A of our 2023 Form 10-K.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Previously Reported Material Weakness</w:t>
      </w:r>
    </w:p>
    <w:p>
      <w:pPr>
        <w:spacing w:after="0" w:line="25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As previously disclosed in Part II, Item 9A of our 2023 Form 10-K, we identified a material weakness in internal control related to ineffective information technology general controls ("ITGCs") in the areas of change management, user access and segregation of duties related to certain information technology ("IT") systems that support the Company's financial reporting processes, resulting in ineffective design and implementation of IT-dependent controls, such as journal entry controls. We believe that these control deficiencies were due to gaps in the sufficiency of IT resources and risk-assessment processes to identify and assess access in certain IT environments that could impact internal controls over financial reporting.</w:t>
      </w:r>
    </w:p>
    <w:p>
      <w:pPr>
        <w:spacing w:after="0" w:line="198"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material weakness did not result in any identified misstatements in our consolidated financial statements, and there were no changes to previously issued financial results. However, because the material weakness creates a reasonable possibility that a material misstatement to our consolidated financial statements would not be prevented or detected on a timely basis, the Company's management concluded the Company's internal control over financial reporting was ineffective.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Remediation</w:t>
      </w:r>
    </w:p>
    <w:p>
      <w:pPr>
        <w:spacing w:after="0" w:line="250" w:lineRule="exact"/>
        <w:rPr>
          <w:sz w:val="20"/>
          <w:szCs w:val="20"/>
          <w:color w:val="auto"/>
        </w:rPr>
      </w:pPr>
    </w:p>
    <w:p>
      <w:pPr>
        <w:jc w:val="both"/>
        <w:ind w:firstLine="619"/>
        <w:spacing w:after="0" w:line="252" w:lineRule="auto"/>
        <w:rPr>
          <w:sz w:val="20"/>
          <w:szCs w:val="20"/>
          <w:color w:val="auto"/>
        </w:rPr>
      </w:pPr>
      <w:r>
        <w:rPr>
          <w:rFonts w:ascii="Times New Roman" w:cs="Times New Roman" w:eastAsia="Times New Roman" w:hAnsi="Times New Roman"/>
          <w:sz w:val="19"/>
          <w:szCs w:val="19"/>
          <w:color w:val="auto"/>
        </w:rPr>
        <w:t>In response to this material weakness in internal control over financial reporting related to ineffective ITGCs for key IT systems, the Company has taken and is continuing to take actions to remediate change management and access related control failures. Our remediation plan includes: (i) enhancing processes around reviewing privileged access to key financial systems and ensuring appropriate segregation of duties, (ii) strengthening change management procedures, (iii) we have hired a director of ITGC position to expand the management and governance over ITGCs, (iv) developed and implemented additional company wide training addressing internal controls, (v) enhancing the existing access management procedures and ownership; and (vi) establishing and monitoring metrics within information technology to track adherence to access and change management controls. Our remediation plan can only be accomplished over time and will be continually reviewed to determine that it is achieving its objectives.</w:t>
      </w:r>
    </w:p>
    <w:p>
      <w:pPr>
        <w:spacing w:after="0" w:line="215"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The material weakness will not be considered remediated until the applicable controls operate for a sufficient period of time and management has concluded, through testing, that the controls are operating effectively. Furthermore, we cannot assure you that the measures we have taken to date, and actions we may take in the future, will be sufficient to remediate the control deficiencies that led to our material weakness in our internal control over financial reporting or that it will prevent or avoid potential future material weaknesses.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Changes in Internal Control over Financial Reporting</w:t>
      </w:r>
    </w:p>
    <w:p>
      <w:pPr>
        <w:spacing w:after="0" w:line="250"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9"/>
          <w:szCs w:val="19"/>
          <w:color w:val="auto"/>
        </w:rPr>
        <w:t>Other than the actions to remediate the material weakness in our internal control over financial reporting as described above, which was ongoing as of the date of issuance of this Form 10-Q, there have been no other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Part II - Other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Legal Proceedings</w:t>
      </w:r>
    </w:p>
    <w:p>
      <w:pPr>
        <w:spacing w:after="0" w:line="187" w:lineRule="exact"/>
        <w:rPr>
          <w:sz w:val="20"/>
          <w:szCs w:val="20"/>
          <w:color w:val="auto"/>
        </w:rPr>
      </w:pPr>
    </w:p>
    <w:p>
      <w:pPr>
        <w:jc w:val="both"/>
        <w:ind w:firstLine="619"/>
        <w:spacing w:after="0" w:line="283" w:lineRule="auto"/>
        <w:rPr>
          <w:sz w:val="20"/>
          <w:szCs w:val="20"/>
          <w:color w:val="auto"/>
        </w:rPr>
      </w:pPr>
      <w:r>
        <w:rPr>
          <w:rFonts w:ascii="Times New Roman" w:cs="Times New Roman" w:eastAsia="Times New Roman" w:hAnsi="Times New Roman"/>
          <w:sz w:val="19"/>
          <w:szCs w:val="19"/>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168" w:lineRule="exact"/>
        <w:rPr>
          <w:sz w:val="20"/>
          <w:szCs w:val="20"/>
          <w:color w:val="auto"/>
        </w:rPr>
      </w:pPr>
    </w:p>
    <w:p>
      <w:pPr>
        <w:jc w:val="both"/>
        <w:ind w:firstLine="619"/>
        <w:spacing w:after="0" w:line="253" w:lineRule="auto"/>
        <w:rPr>
          <w:sz w:val="20"/>
          <w:szCs w:val="20"/>
          <w:color w:val="auto"/>
        </w:rPr>
      </w:pPr>
      <w:r>
        <w:rPr>
          <w:rFonts w:ascii="Times New Roman" w:cs="Times New Roman" w:eastAsia="Times New Roman" w:hAnsi="Times New Roman"/>
          <w:sz w:val="19"/>
          <w:szCs w:val="19"/>
          <w:color w:val="auto"/>
        </w:rPr>
        <w:t>On December 5, 2022, plaintiff Veronica Cusimano, a former employee of the Company, filed a representative action against the Company pursuant to the Private Attorneys General Act of 2004 in California Superior Court, Los Angeles County. The complaint alleges, on behalf of the plaintiff and similarly situated employees and former employees in California, various claims under the California Labor Code related to wages, overtime, meal and rest breaks, reimbursement of business expenses, wage statements and records, and other similar allegations. The plaintiff seeks civil penalties, attorneys' fees and costs in unspecified amounts, and other unspecified damages. On February 10, 2023, the Company filed a petition to compel arbitration on the basis of an agreement between the plaintiff and the Company to arbitrate any claims between them. On April 28, 2023, the petition was denied. The Company intends to vigorously defend the alleged individual and representative claims, and, on May 9, 2023, the Company appealed the Superior Court's denial of its petition to compel arbitration to the California Court of Appeal, Second Appellate District, and the appeal remains pending as of the date of this Quarterly Report on Form 10-Q. At this time, any liability related to the alleged claims is not currently probable or reasonably estimable.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1A. Risk Factors</w:t>
      </w:r>
    </w:p>
    <w:p>
      <w:pPr>
        <w:spacing w:after="0" w:line="22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9"/>
          <w:szCs w:val="19"/>
          <w:color w:val="auto"/>
        </w:rPr>
        <w:t>The Company's risk factors are described in Part I, Item 1A, "Risk Factors" of our 2023 Form 10-K.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to our risk factors as previously disclosed in our 2023 Form 10-K.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2. Unregistered Sales of Equity Securities and Use of Proceeds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Repurchases of Equity Securities</w:t>
      </w:r>
    </w:p>
    <w:p>
      <w:pPr>
        <w:spacing w:after="0" w:line="211" w:lineRule="exact"/>
        <w:rPr>
          <w:sz w:val="20"/>
          <w:szCs w:val="20"/>
          <w:color w:val="auto"/>
        </w:rPr>
      </w:pPr>
    </w:p>
    <w:p>
      <w:pPr>
        <w:ind w:right="80" w:firstLine="619"/>
        <w:spacing w:after="0" w:line="233" w:lineRule="auto"/>
        <w:rPr>
          <w:sz w:val="20"/>
          <w:szCs w:val="20"/>
          <w:color w:val="auto"/>
        </w:rPr>
      </w:pPr>
      <w:r>
        <w:rPr>
          <w:rFonts w:ascii="Times New Roman" w:cs="Times New Roman" w:eastAsia="Times New Roman" w:hAnsi="Times New Roman"/>
          <w:sz w:val="19"/>
          <w:szCs w:val="19"/>
          <w:color w:val="auto"/>
        </w:rPr>
        <w:t>The following table presents information with respect to our repurchases of our Class A common stock during the three months ended June 30, 2024.</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Approximate Dollar</w:t>
            </w:r>
          </w:p>
        </w:tc>
      </w:tr>
      <w:tr>
        <w:trPr>
          <w:trHeight w:val="193"/>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Value of Shares that</w:t>
            </w:r>
          </w:p>
        </w:tc>
      </w:tr>
      <w:tr>
        <w:trPr>
          <w:trHeight w:val="193"/>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Purchased as Part of Publicly</w:t>
            </w: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May Yet be Purchased</w:t>
            </w:r>
          </w:p>
        </w:tc>
      </w:tr>
      <w:tr>
        <w:trPr>
          <w:trHeight w:val="193"/>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2"/>
          </w:tcPr>
          <w:p>
            <w:pPr>
              <w:ind w:left="24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Announced Plans or</w:t>
            </w:r>
          </w:p>
        </w:tc>
        <w:tc>
          <w:tcPr>
            <w:tcW w:w="1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Under the Plans or</w:t>
            </w:r>
          </w:p>
        </w:tc>
      </w:tr>
      <w:tr>
        <w:trPr>
          <w:trHeight w:val="235"/>
        </w:trPr>
        <w:tc>
          <w:tcPr>
            <w:tcW w:w="29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5"/>
                <w:szCs w:val="15"/>
                <w:b w:val="1"/>
                <w:bCs w:val="1"/>
                <w:color w:val="auto"/>
              </w:rPr>
              <w:t>Period</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5"/>
                <w:szCs w:val="15"/>
                <w:b w:val="1"/>
                <w:bCs w:val="1"/>
                <w:color w:val="auto"/>
              </w:rPr>
              <w:t>Purchased</w:t>
            </w:r>
          </w:p>
        </w:tc>
        <w:tc>
          <w:tcPr>
            <w:tcW w:w="80" w:type="dxa"/>
            <w:vAlign w:val="bottom"/>
          </w:tcPr>
          <w:p>
            <w:pPr>
              <w:spacing w:after="0"/>
              <w:rPr>
                <w:sz w:val="20"/>
                <w:szCs w:val="20"/>
                <w:color w:val="auto"/>
              </w:rPr>
            </w:pPr>
          </w:p>
        </w:tc>
        <w:tc>
          <w:tcPr>
            <w:tcW w:w="2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Average Price Paid per share</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Programs</w:t>
            </w:r>
            <w:r>
              <w:rPr>
                <w:rFonts w:ascii="Times New Roman" w:cs="Times New Roman" w:eastAsia="Times New Roman" w:hAnsi="Times New Roman"/>
                <w:sz w:val="20"/>
                <w:szCs w:val="20"/>
                <w:b w:val="1"/>
                <w:bCs w:val="1"/>
                <w:color w:val="auto"/>
                <w:w w:val="99"/>
                <w:vertAlign w:val="superscript"/>
              </w:rPr>
              <w:t>1</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Programs</w:t>
            </w:r>
          </w:p>
        </w:tc>
      </w:tr>
      <w:tr>
        <w:trPr>
          <w:trHeight w:val="206"/>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April 1 - April 30</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22,146</w:t>
            </w:r>
          </w:p>
        </w:tc>
        <w:tc>
          <w:tcPr>
            <w:tcW w:w="80" w:type="dxa"/>
            <w:vAlign w:val="bottom"/>
          </w:tcPr>
          <w:p>
            <w:pPr>
              <w:spacing w:after="0"/>
              <w:rPr>
                <w:sz w:val="17"/>
                <w:szCs w:val="17"/>
                <w:color w:val="auto"/>
              </w:rPr>
            </w:pP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2.78</w:t>
            </w:r>
          </w:p>
        </w:tc>
        <w:tc>
          <w:tcPr>
            <w:tcW w:w="1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22,146</w:t>
            </w:r>
          </w:p>
        </w:tc>
        <w:tc>
          <w:tcPr>
            <w:tcW w:w="100" w:type="dxa"/>
            <w:vAlign w:val="bottom"/>
          </w:tcPr>
          <w:p>
            <w:pPr>
              <w:spacing w:after="0"/>
              <w:rPr>
                <w:sz w:val="17"/>
                <w:szCs w:val="17"/>
                <w:color w:val="auto"/>
              </w:rPr>
            </w:pPr>
          </w:p>
        </w:tc>
        <w:tc>
          <w:tcPr>
            <w:tcW w:w="166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$19.8 million</w:t>
            </w:r>
          </w:p>
        </w:tc>
      </w:tr>
      <w:tr>
        <w:trPr>
          <w:trHeight w:val="31"/>
        </w:trPr>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May 1 - May 31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21,228</w:t>
            </w: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21,228</w:t>
            </w:r>
          </w:p>
        </w:tc>
        <w:tc>
          <w:tcPr>
            <w:tcW w:w="10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5"/>
                <w:szCs w:val="15"/>
                <w:color w:val="auto"/>
              </w:rPr>
              <w:t>$19.8 million</w:t>
            </w:r>
          </w:p>
        </w:tc>
      </w:tr>
      <w:tr>
        <w:trPr>
          <w:trHeight w:val="214"/>
        </w:trPr>
        <w:tc>
          <w:tcPr>
            <w:tcW w:w="300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June 1 - June 30</w:t>
            </w: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18,320</w:t>
            </w:r>
          </w:p>
        </w:tc>
        <w:tc>
          <w:tcPr>
            <w:tcW w:w="80" w:type="dxa"/>
            <w:vAlign w:val="bottom"/>
          </w:tcPr>
          <w:p>
            <w:pPr>
              <w:spacing w:after="0"/>
              <w:rPr>
                <w:sz w:val="18"/>
                <w:szCs w:val="18"/>
                <w:color w:val="auto"/>
              </w:rPr>
            </w:pPr>
          </w:p>
        </w:tc>
        <w:tc>
          <w:tcPr>
            <w:tcW w:w="920" w:type="dxa"/>
            <w:vAlign w:val="bottom"/>
          </w:tcPr>
          <w:p>
            <w:pPr>
              <w:jc w:val="right"/>
              <w:ind w:right="743"/>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2.32</w:t>
            </w:r>
          </w:p>
        </w:tc>
        <w:tc>
          <w:tcPr>
            <w:tcW w:w="100" w:type="dxa"/>
            <w:vAlign w:val="bottom"/>
          </w:tcPr>
          <w:p>
            <w:pPr>
              <w:spacing w:after="0"/>
              <w:rPr>
                <w:sz w:val="18"/>
                <w:szCs w:val="18"/>
                <w:color w:val="auto"/>
              </w:rPr>
            </w:pPr>
          </w:p>
        </w:tc>
        <w:tc>
          <w:tcPr>
            <w:tcW w:w="2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18,320</w:t>
            </w:r>
          </w:p>
        </w:tc>
        <w:tc>
          <w:tcPr>
            <w:tcW w:w="100" w:type="dxa"/>
            <w:vAlign w:val="bottom"/>
          </w:tcPr>
          <w:p>
            <w:pPr>
              <w:spacing w:after="0"/>
              <w:rPr>
                <w:sz w:val="18"/>
                <w:szCs w:val="18"/>
                <w:color w:val="auto"/>
              </w:rPr>
            </w:pPr>
          </w:p>
        </w:tc>
        <w:tc>
          <w:tcPr>
            <w:tcW w:w="1660" w:type="dxa"/>
            <w:vAlign w:val="bottom"/>
          </w:tcPr>
          <w:p>
            <w:pPr>
              <w:ind w:left="820"/>
              <w:spacing w:after="0"/>
              <w:rPr>
                <w:sz w:val="20"/>
                <w:szCs w:val="20"/>
                <w:color w:val="auto"/>
              </w:rPr>
            </w:pPr>
            <w:r>
              <w:rPr>
                <w:rFonts w:ascii="Times New Roman" w:cs="Times New Roman" w:eastAsia="Times New Roman" w:hAnsi="Times New Roman"/>
                <w:sz w:val="15"/>
                <w:szCs w:val="15"/>
                <w:color w:val="auto"/>
              </w:rPr>
              <w:t>$19.7 million</w:t>
            </w:r>
          </w:p>
        </w:tc>
      </w:tr>
    </w:tbl>
    <w:p>
      <w:pPr>
        <w:spacing w:after="0" w:line="106" w:lineRule="exact"/>
        <w:rPr>
          <w:sz w:val="20"/>
          <w:szCs w:val="20"/>
          <w:color w:val="auto"/>
        </w:rPr>
      </w:pPr>
    </w:p>
    <w:p>
      <w:pPr>
        <w:ind w:right="20" w:firstLine="3"/>
        <w:spacing w:after="0" w:line="241" w:lineRule="auto"/>
        <w:tabs>
          <w:tab w:leader="none" w:pos="17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December 8, 2023, the Company announced that the Board of Directors approved a share repurchase program authorizing the Company to purchase up to an aggregate of $20.0 million of the Company's Class A common stock through the expiration of the program on December 8, 2026. The repurchases may be executed from time to time, subject to business, economic and market conditions, corporate needs and regulatory requirements, prevailing stock prices and other considerations, through open market purchases or privately negotiated transactions, or by other means, which may include repurchases through Rule 10b5-1 plans. The repurchase program does not obligate the Company to acquire any particular amount of Class A common stock and may be modified, suspended or terminated at any time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Defaults Upon Senior Securities</w:t>
      </w: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None.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Mine Safety Disclosures</w:t>
      </w:r>
    </w:p>
    <w:p>
      <w:pPr>
        <w:spacing w:after="0" w:line="2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Other Information</w:t>
      </w:r>
    </w:p>
    <w:p>
      <w:pPr>
        <w:spacing w:after="0" w:line="263" w:lineRule="exact"/>
        <w:rPr>
          <w:sz w:val="20"/>
          <w:szCs w:val="20"/>
          <w:color w:val="auto"/>
        </w:rPr>
      </w:pPr>
    </w:p>
    <w:p>
      <w:pPr>
        <w:ind w:left="880" w:hanging="258"/>
        <w:spacing w:after="0"/>
        <w:tabs>
          <w:tab w:leader="none" w:pos="88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25" w:lineRule="exact"/>
        <w:rPr>
          <w:rFonts w:ascii="Times New Roman" w:cs="Times New Roman" w:eastAsia="Times New Roman" w:hAnsi="Times New Roman"/>
          <w:sz w:val="19"/>
          <w:szCs w:val="19"/>
          <w:color w:val="auto"/>
        </w:rPr>
      </w:pPr>
    </w:p>
    <w:p>
      <w:pPr>
        <w:ind w:left="880" w:hanging="258"/>
        <w:spacing w:after="0"/>
        <w:tabs>
          <w:tab w:leader="none" w:pos="880"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w:t>
      </w:r>
    </w:p>
    <w:p>
      <w:pPr>
        <w:spacing w:after="0" w:line="14" w:lineRule="exact"/>
        <w:rPr>
          <w:rFonts w:ascii="Times New Roman" w:cs="Times New Roman" w:eastAsia="Times New Roman" w:hAnsi="Times New Roman"/>
          <w:sz w:val="19"/>
          <w:szCs w:val="19"/>
          <w:color w:val="auto"/>
        </w:rPr>
      </w:pPr>
    </w:p>
    <w:p>
      <w:pPr>
        <w:ind w:right="60" w:firstLine="622"/>
        <w:spacing w:after="0" w:line="276" w:lineRule="auto"/>
        <w:tabs>
          <w:tab w:leader="none" w:pos="87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 2024, Jeffrey Kuo, the Company's Chief Financial Officer, adopted a Rule 10b5-1 trading arrangement (the "Kuo Sales Plan") that is intended to satisfy the affirmative defense of Rule 10b5-1(c) of the Exchange Act and which provides for the sale of an aggregate of up to 55,627 shares of the Company's Class A common stock (a portion of the shares of Class A common stock to be received by Mr. Kuo upon the vesting of restricted stock units as set forth in the Kuo Sales Plan). The Kuo Sales Plan will remain in effect until the earliest of (1) May 22, 2025,</w:t>
      </w:r>
    </w:p>
    <w:p>
      <w:pPr>
        <w:spacing w:after="0" w:line="1" w:lineRule="exact"/>
        <w:rPr>
          <w:rFonts w:ascii="Times New Roman" w:cs="Times New Roman" w:eastAsia="Times New Roman" w:hAnsi="Times New Roman"/>
          <w:sz w:val="18"/>
          <w:szCs w:val="18"/>
          <w:color w:val="auto"/>
        </w:rPr>
      </w:pPr>
    </w:p>
    <w:p>
      <w:pPr>
        <w:ind w:firstLine="3"/>
        <w:spacing w:after="0" w:line="269" w:lineRule="auto"/>
        <w:tabs>
          <w:tab w:leader="none" w:pos="267"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date on which all trades set forth in the Kuo Sales Plan have been executed, or (3) such time as the Kuo Sales Plan is otherwise terminated or expires according to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32"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Incorporated by Reference</w:t>
            </w: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2"/>
        </w:trPr>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Exhibit Number</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0" w:type="dxa"/>
            <w:vAlign w:val="bottom"/>
            <w:gridSpan w:val="8"/>
          </w:tcPr>
          <w:p>
            <w:pPr>
              <w:ind w:left="840"/>
              <w:spacing w:after="0"/>
              <w:rPr>
                <w:sz w:val="20"/>
                <w:szCs w:val="20"/>
                <w:color w:val="auto"/>
              </w:rPr>
            </w:pPr>
            <w:r>
              <w:rPr>
                <w:rFonts w:ascii="Times New Roman" w:cs="Times New Roman" w:eastAsia="Times New Roman" w:hAnsi="Times New Roman"/>
                <w:sz w:val="14"/>
                <w:szCs w:val="14"/>
                <w:color w:val="auto"/>
              </w:rPr>
              <w:t>Exhibit Description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Form</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File No.</w:t>
            </w:r>
          </w:p>
        </w:tc>
        <w:tc>
          <w:tcPr>
            <w:tcW w:w="1060" w:type="dxa"/>
            <w:vAlign w:val="bottom"/>
          </w:tcPr>
          <w:p>
            <w:pPr>
              <w:jc w:val="center"/>
              <w:ind w:right="31"/>
              <w:spacing w:after="0"/>
              <w:rPr>
                <w:sz w:val="20"/>
                <w:szCs w:val="20"/>
                <w:color w:val="auto"/>
              </w:rPr>
            </w:pPr>
            <w:r>
              <w:rPr>
                <w:rFonts w:ascii="Times New Roman" w:cs="Times New Roman" w:eastAsia="Times New Roman" w:hAnsi="Times New Roman"/>
                <w:sz w:val="14"/>
                <w:szCs w:val="14"/>
                <w:color w:val="auto"/>
                <w:w w:val="96"/>
              </w:rPr>
              <w:t>Exhibit</w:t>
            </w:r>
          </w:p>
        </w:tc>
        <w:tc>
          <w:tcPr>
            <w:tcW w:w="1220" w:type="dxa"/>
            <w:vAlign w:val="bottom"/>
          </w:tcPr>
          <w:p>
            <w:pPr>
              <w:jc w:val="center"/>
              <w:ind w:right="51"/>
              <w:spacing w:after="0"/>
              <w:rPr>
                <w:sz w:val="20"/>
                <w:szCs w:val="20"/>
                <w:color w:val="auto"/>
              </w:rPr>
            </w:pPr>
            <w:r>
              <w:rPr>
                <w:rFonts w:ascii="Times New Roman" w:cs="Times New Roman" w:eastAsia="Times New Roman" w:hAnsi="Times New Roman"/>
                <w:sz w:val="14"/>
                <w:szCs w:val="14"/>
                <w:color w:val="auto"/>
                <w:w w:val="97"/>
              </w:rPr>
              <w:t>Filing Date</w:t>
            </w:r>
          </w:p>
        </w:tc>
        <w:tc>
          <w:tcPr>
            <w:tcW w:w="16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Filed / Furnished Herewith</w:t>
            </w:r>
          </w:p>
        </w:tc>
      </w:tr>
      <w:tr>
        <w:trPr>
          <w:trHeight w:val="22"/>
        </w:trPr>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0"/>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4020" w:type="dxa"/>
            <w:vAlign w:val="bottom"/>
            <w:gridSpan w:val="11"/>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Amended and Restated Certificate of Incorporation of Brilliant Earth</w:t>
              </w:r>
            </w:hyperlink>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001-40836</w:t>
            </w: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3.1</w:t>
            </w:r>
          </w:p>
        </w:tc>
        <w:tc>
          <w:tcPr>
            <w:tcW w:w="12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9/27/2021</w:t>
            </w:r>
          </w:p>
        </w:tc>
        <w:tc>
          <w:tcPr>
            <w:tcW w:w="1680" w:type="dxa"/>
            <w:vAlign w:val="bottom"/>
          </w:tcPr>
          <w:p>
            <w:pPr>
              <w:spacing w:after="0"/>
              <w:rPr>
                <w:sz w:val="13"/>
                <w:szCs w:val="13"/>
                <w:color w:val="auto"/>
              </w:rPr>
            </w:pPr>
          </w:p>
        </w:tc>
      </w:tr>
      <w:tr>
        <w:trPr>
          <w:trHeight w:val="160"/>
        </w:trPr>
        <w:tc>
          <w:tcPr>
            <w:tcW w:w="1160" w:type="dxa"/>
            <w:vAlign w:val="bottom"/>
          </w:tcPr>
          <w:p>
            <w:pPr>
              <w:spacing w:after="0"/>
              <w:rPr>
                <w:sz w:val="13"/>
                <w:szCs w:val="13"/>
                <w:color w:val="auto"/>
              </w:rPr>
            </w:pPr>
          </w:p>
        </w:tc>
        <w:tc>
          <w:tcPr>
            <w:tcW w:w="378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63">
              <w:r>
                <w:rPr>
                  <w:rFonts w:ascii="Times New Roman" w:cs="Times New Roman" w:eastAsia="Times New Roman" w:hAnsi="Times New Roman"/>
                  <w:sz w:val="14"/>
                  <w:szCs w:val="14"/>
                  <w:color w:val="0000FF"/>
                </w:rPr>
                <w:t>Group, Inc.</w:t>
              </w:r>
            </w:hyperlink>
          </w:p>
        </w:tc>
        <w:tc>
          <w:tcPr>
            <w:tcW w:w="240" w:type="dxa"/>
            <w:vAlign w:val="bottom"/>
            <w:gridSpan w:val="5"/>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
        </w:trPr>
        <w:tc>
          <w:tcPr>
            <w:tcW w:w="1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3360" w:type="dxa"/>
            <w:vAlign w:val="bottom"/>
            <w:tcBorders>
              <w:bottom w:val="single" w:sz="8" w:color="0000FF"/>
            </w:tcBorders>
            <w:gridSpan w:val="4"/>
          </w:tcPr>
          <w:p>
            <w:pPr>
              <w:spacing w:after="0"/>
              <w:rPr>
                <w:rFonts w:ascii="Times New Roman" w:cs="Times New Roman" w:eastAsia="Times New Roman" w:hAnsi="Times New Roman"/>
                <w:sz w:val="14"/>
                <w:szCs w:val="14"/>
                <w:color w:val="0000FF"/>
                <w:w w:val="97"/>
              </w:rPr>
            </w:pPr>
            <w:hyperlink r:id="rId64">
              <w:r>
                <w:rPr>
                  <w:rFonts w:ascii="Times New Roman" w:cs="Times New Roman" w:eastAsia="Times New Roman" w:hAnsi="Times New Roman"/>
                  <w:sz w:val="14"/>
                  <w:szCs w:val="14"/>
                  <w:color w:val="0000FF"/>
                  <w:w w:val="97"/>
                </w:rPr>
                <w:t>Amended and Restated Bylaws of Brilliant Earth Group, Inc.</w:t>
              </w:r>
            </w:hyperlink>
          </w:p>
        </w:tc>
        <w:tc>
          <w:tcPr>
            <w:tcW w:w="660" w:type="dxa"/>
            <w:vAlign w:val="bottom"/>
            <w:gridSpan w:val="7"/>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001-40836</w:t>
            </w: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3.2</w:t>
            </w:r>
          </w:p>
        </w:tc>
        <w:tc>
          <w:tcPr>
            <w:tcW w:w="12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9/27/2021</w:t>
            </w:r>
          </w:p>
        </w:tc>
        <w:tc>
          <w:tcPr>
            <w:tcW w:w="1680" w:type="dxa"/>
            <w:vAlign w:val="bottom"/>
          </w:tcPr>
          <w:p>
            <w:pPr>
              <w:spacing w:after="0"/>
              <w:rPr>
                <w:sz w:val="17"/>
                <w:szCs w:val="17"/>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3680" w:type="dxa"/>
            <w:vAlign w:val="bottom"/>
            <w:tcBorders>
              <w:bottom w:val="single" w:sz="8" w:color="0000FF"/>
            </w:tcBorders>
            <w:gridSpan w:val="5"/>
          </w:tcPr>
          <w:p>
            <w:pPr>
              <w:spacing w:after="0"/>
              <w:rPr>
                <w:rFonts w:ascii="Times New Roman" w:cs="Times New Roman" w:eastAsia="Times New Roman" w:hAnsi="Times New Roman"/>
                <w:sz w:val="14"/>
                <w:szCs w:val="14"/>
                <w:color w:val="0000FF"/>
                <w:w w:val="97"/>
              </w:rPr>
            </w:pPr>
            <w:hyperlink r:id="rId65">
              <w:r>
                <w:rPr>
                  <w:rFonts w:ascii="Times New Roman" w:cs="Times New Roman" w:eastAsia="Times New Roman" w:hAnsi="Times New Roman"/>
                  <w:sz w:val="14"/>
                  <w:szCs w:val="14"/>
                  <w:color w:val="0000FF"/>
                  <w:w w:val="97"/>
                </w:rPr>
                <w:t>Specimen Stock Certificate evidencing shares of Class A Common</w:t>
              </w:r>
            </w:hyperlink>
          </w:p>
        </w:tc>
        <w:tc>
          <w:tcPr>
            <w:tcW w:w="340" w:type="dxa"/>
            <w:vAlign w:val="bottom"/>
            <w:gridSpan w:val="6"/>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S-1/A</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001-40836</w:t>
            </w:r>
          </w:p>
        </w:tc>
        <w:tc>
          <w:tcPr>
            <w:tcW w:w="1060" w:type="dxa"/>
            <w:vAlign w:val="bottom"/>
          </w:tcPr>
          <w:p>
            <w:pPr>
              <w:jc w:val="center"/>
              <w:ind w:right="11"/>
              <w:spacing w:after="0"/>
              <w:rPr>
                <w:sz w:val="20"/>
                <w:szCs w:val="20"/>
                <w:color w:val="auto"/>
              </w:rPr>
            </w:pPr>
            <w:r>
              <w:rPr>
                <w:rFonts w:ascii="Times New Roman" w:cs="Times New Roman" w:eastAsia="Times New Roman" w:hAnsi="Times New Roman"/>
                <w:sz w:val="14"/>
                <w:szCs w:val="14"/>
                <w:color w:val="auto"/>
              </w:rPr>
              <w:t>4.1</w:t>
            </w:r>
          </w:p>
        </w:tc>
        <w:tc>
          <w:tcPr>
            <w:tcW w:w="1220" w:type="dxa"/>
            <w:vAlign w:val="bottom"/>
          </w:tcPr>
          <w:p>
            <w:pPr>
              <w:jc w:val="center"/>
              <w:ind w:right="71"/>
              <w:spacing w:after="0"/>
              <w:rPr>
                <w:sz w:val="20"/>
                <w:szCs w:val="20"/>
                <w:color w:val="auto"/>
              </w:rPr>
            </w:pPr>
            <w:r>
              <w:rPr>
                <w:rFonts w:ascii="Times New Roman" w:cs="Times New Roman" w:eastAsia="Times New Roman" w:hAnsi="Times New Roman"/>
                <w:sz w:val="14"/>
                <w:szCs w:val="14"/>
                <w:color w:val="auto"/>
                <w:w w:val="98"/>
              </w:rPr>
              <w:t>9/14/2021</w:t>
            </w:r>
          </w:p>
        </w:tc>
        <w:tc>
          <w:tcPr>
            <w:tcW w:w="1680" w:type="dxa"/>
            <w:vAlign w:val="bottom"/>
          </w:tcPr>
          <w:p>
            <w:pPr>
              <w:spacing w:after="0"/>
              <w:rPr>
                <w:sz w:val="17"/>
                <w:szCs w:val="17"/>
                <w:color w:val="auto"/>
              </w:rPr>
            </w:pP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rFonts w:ascii="Times New Roman" w:cs="Times New Roman" w:eastAsia="Times New Roman" w:hAnsi="Times New Roman"/>
                <w:sz w:val="14"/>
                <w:szCs w:val="14"/>
                <w:color w:val="0000FF"/>
                <w:w w:val="93"/>
              </w:rPr>
            </w:pPr>
            <w:hyperlink r:id="rId65">
              <w:r>
                <w:rPr>
                  <w:rFonts w:ascii="Times New Roman" w:cs="Times New Roman" w:eastAsia="Times New Roman" w:hAnsi="Times New Roman"/>
                  <w:sz w:val="14"/>
                  <w:szCs w:val="14"/>
                  <w:color w:val="0000FF"/>
                  <w:w w:val="93"/>
                </w:rPr>
                <w:t>Stock</w:t>
              </w:r>
            </w:hyperlink>
          </w:p>
        </w:tc>
        <w:tc>
          <w:tcPr>
            <w:tcW w:w="37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31.1</w:t>
            </w: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7"/>
              </w:rPr>
              <w:t>Certification of Chief Executive Officer pursuant to Rule 13a-14(a)/15d-</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0"/>
              </w:rPr>
              <w:t>14(a).</w:t>
            </w:r>
          </w:p>
        </w:tc>
        <w:tc>
          <w:tcPr>
            <w:tcW w:w="37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31.2</w:t>
            </w:r>
          </w:p>
        </w:tc>
        <w:tc>
          <w:tcPr>
            <w:tcW w:w="3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7"/>
              </w:rPr>
              <w:t>Certification of Chief Financial Officer pursuant to Rule 13a-14(a)/15d-</w:t>
            </w:r>
          </w:p>
        </w:tc>
        <w:tc>
          <w:tcPr>
            <w:tcW w:w="6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60"/>
        </w:trPr>
        <w:tc>
          <w:tcPr>
            <w:tcW w:w="11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w w:val="90"/>
              </w:rPr>
              <w:t>14(a).</w:t>
            </w:r>
          </w:p>
        </w:tc>
        <w:tc>
          <w:tcPr>
            <w:tcW w:w="3700" w:type="dxa"/>
            <w:vAlign w:val="bottom"/>
            <w:gridSpan w:val="9"/>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32.1</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8"/>
              </w:rPr>
              <w:t>1350.</w:t>
            </w: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9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32.2</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w:t>
            </w:r>
          </w:p>
        </w:tc>
        <w:tc>
          <w:tcPr>
            <w:tcW w:w="9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r>
      <w:tr>
        <w:trPr>
          <w:trHeight w:val="160"/>
        </w:trPr>
        <w:tc>
          <w:tcPr>
            <w:tcW w:w="1160" w:type="dxa"/>
            <w:vAlign w:val="bottom"/>
          </w:tcPr>
          <w:p>
            <w:pPr>
              <w:spacing w:after="0"/>
              <w:rPr>
                <w:sz w:val="13"/>
                <w:szCs w:val="13"/>
                <w:color w:val="auto"/>
              </w:rPr>
            </w:pPr>
          </w:p>
        </w:tc>
        <w:tc>
          <w:tcPr>
            <w:tcW w:w="3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88"/>
              </w:rPr>
              <w:t>1350.</w:t>
            </w:r>
          </w:p>
        </w:tc>
        <w:tc>
          <w:tcPr>
            <w:tcW w:w="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7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8"/>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101.INS</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70"/>
        </w:trPr>
        <w:tc>
          <w:tcPr>
            <w:tcW w:w="1160" w:type="dxa"/>
            <w:vAlign w:val="bottom"/>
          </w:tcPr>
          <w:p>
            <w:pPr>
              <w:spacing w:after="0"/>
              <w:rPr>
                <w:sz w:val="14"/>
                <w:szCs w:val="14"/>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w w:val="99"/>
              </w:rPr>
              <w:t>appear in the Interactive Data File because its XBRL tags are embedded</w:t>
            </w:r>
          </w:p>
        </w:tc>
        <w:tc>
          <w:tcPr>
            <w:tcW w:w="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8"/>
        </w:trPr>
        <w:tc>
          <w:tcPr>
            <w:tcW w:w="1160" w:type="dxa"/>
            <w:vAlign w:val="bottom"/>
          </w:tcPr>
          <w:p>
            <w:pPr>
              <w:spacing w:after="0"/>
              <w:rPr>
                <w:sz w:val="15"/>
                <w:szCs w:val="15"/>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101.SCH</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101.CAL</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101.DEF</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5"/>
              </w:rPr>
              <w:t>101.LAB</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101.PRE</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219"/>
        </w:trPr>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w:t>
            </w:r>
          </w:p>
        </w:tc>
        <w:tc>
          <w:tcPr>
            <w:tcW w:w="9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1160" w:type="dxa"/>
            <w:vAlign w:val="bottom"/>
          </w:tcPr>
          <w:p>
            <w:pPr>
              <w:spacing w:after="0"/>
              <w:rPr>
                <w:sz w:val="15"/>
                <w:szCs w:val="15"/>
                <w:color w:val="auto"/>
              </w:rPr>
            </w:pPr>
          </w:p>
        </w:tc>
        <w:tc>
          <w:tcPr>
            <w:tcW w:w="4020" w:type="dxa"/>
            <w:vAlign w:val="bottom"/>
            <w:gridSpan w:val="11"/>
          </w:tcPr>
          <w:p>
            <w:pPr>
              <w:spacing w:after="0"/>
              <w:rPr>
                <w:sz w:val="20"/>
                <w:szCs w:val="20"/>
                <w:color w:val="auto"/>
              </w:rPr>
            </w:pPr>
            <w:r>
              <w:rPr>
                <w:rFonts w:ascii="Times New Roman" w:cs="Times New Roman" w:eastAsia="Times New Roman" w:hAnsi="Times New Roman"/>
                <w:sz w:val="14"/>
                <w:szCs w:val="14"/>
                <w:color w:val="auto"/>
              </w:rPr>
              <w:t>contained in Exhibit 101)</w:t>
            </w:r>
          </w:p>
        </w:tc>
        <w:tc>
          <w:tcPr>
            <w:tcW w:w="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80" w:type="dxa"/>
            <w:vAlign w:val="bottom"/>
          </w:tcPr>
          <w:p>
            <w:pPr>
              <w:spacing w:after="0"/>
              <w:rPr>
                <w:sz w:val="15"/>
                <w:szCs w:val="15"/>
                <w:color w:val="auto"/>
              </w:rPr>
            </w:pPr>
          </w:p>
        </w:tc>
      </w:tr>
    </w:tbl>
    <w:p>
      <w:pPr>
        <w:spacing w:after="0" w:line="350" w:lineRule="exact"/>
        <w:rPr>
          <w:sz w:val="20"/>
          <w:szCs w:val="20"/>
          <w:color w:val="auto"/>
        </w:rPr>
      </w:pPr>
    </w:p>
    <w:p>
      <w:pPr>
        <w:ind w:left="1160" w:hanging="624"/>
        <w:spacing w:after="0"/>
        <w:tabs>
          <w:tab w:leader="none" w:pos="11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58" w:lineRule="exact"/>
        <w:rPr>
          <w:sz w:val="20"/>
          <w:szCs w:val="20"/>
          <w:color w:val="auto"/>
        </w:rPr>
      </w:pPr>
    </w:p>
    <w:p>
      <w:pPr>
        <w:ind w:left="1160" w:hanging="658"/>
        <w:spacing w:after="0"/>
        <w:tabs>
          <w:tab w:leader="none" w:pos="11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61595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9"/>
          <w:szCs w:val="19"/>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0"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19"/>
          <w:szCs w:val="19"/>
          <w:color w:val="auto"/>
        </w:rPr>
        <w:t>Pursuant to the requirements of the Securities Act of 1934, the registrant has duly caused this report to be signed on its behalf by the undersigned, thereunto duly authorized.</w:t>
      </w:r>
    </w:p>
    <w:p>
      <w:pPr>
        <w:spacing w:after="0" w:line="2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color w:val="auto"/>
        </w:rPr>
        <w:t>Brilliant Earth Group, Inc.</w:t>
      </w:r>
    </w:p>
    <w:p>
      <w:pPr>
        <w:spacing w:after="0" w:line="228" w:lineRule="exact"/>
        <w:rPr>
          <w:sz w:val="20"/>
          <w:szCs w:val="20"/>
          <w:color w:val="auto"/>
        </w:rPr>
      </w:pPr>
    </w:p>
    <w:tbl>
      <w:tblPr>
        <w:tblLayout w:type="fixed"/>
        <w:tblInd w:w="8120" w:type="dxa"/>
        <w:tblCellMar>
          <w:top w:w="0" w:type="dxa"/>
          <w:left w:w="0" w:type="dxa"/>
          <w:bottom w:w="0" w:type="dxa"/>
          <w:right w:w="0" w:type="dxa"/>
        </w:tblCellMar>
      </w:tblPr>
      <w:tr>
        <w:trPr>
          <w:trHeight w:val="218"/>
        </w:trPr>
        <w:tc>
          <w:tcPr>
            <w:tcW w:w="1260" w:type="dxa"/>
            <w:vAlign w:val="bottom"/>
          </w:tcPr>
          <w:p>
            <w:pPr>
              <w:spacing w:after="0"/>
              <w:rPr>
                <w:sz w:val="20"/>
                <w:szCs w:val="20"/>
                <w:color w:val="auto"/>
              </w:rPr>
            </w:pPr>
            <w:r>
              <w:rPr>
                <w:rFonts w:ascii="Times New Roman" w:cs="Times New Roman" w:eastAsia="Times New Roman" w:hAnsi="Times New Roman"/>
                <w:sz w:val="19"/>
                <w:szCs w:val="19"/>
                <w:color w:val="auto"/>
              </w:rPr>
              <w:t>August 8, 2024</w:t>
            </w:r>
          </w:p>
        </w:tc>
        <w:tc>
          <w:tcPr>
            <w:tcW w:w="48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6"/>
              </w:rPr>
              <w:t>By:/s/ Jeffrey Kuo</w:t>
            </w:r>
          </w:p>
        </w:tc>
      </w:tr>
      <w:tr>
        <w:trPr>
          <w:trHeight w:val="256"/>
        </w:trPr>
        <w:tc>
          <w:tcPr>
            <w:tcW w:w="12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Jeffrey Kuo</w:t>
            </w:r>
          </w:p>
        </w:tc>
      </w:tr>
      <w:tr>
        <w:trPr>
          <w:trHeight w:val="244"/>
        </w:trPr>
        <w:tc>
          <w:tcPr>
            <w:tcW w:w="1260" w:type="dxa"/>
            <w:vAlign w:val="bottom"/>
          </w:tcPr>
          <w:p>
            <w:pPr>
              <w:spacing w:after="0"/>
              <w:rPr>
                <w:sz w:val="21"/>
                <w:szCs w:val="21"/>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Chief Financial Officer</w:t>
            </w:r>
          </w:p>
        </w:tc>
      </w:tr>
    </w:tbl>
    <w:p>
      <w:pPr>
        <w:jc w:val="right"/>
        <w:spacing w:after="0"/>
        <w:rPr>
          <w:sz w:val="20"/>
          <w:szCs w:val="20"/>
          <w:color w:val="auto"/>
        </w:rPr>
      </w:pPr>
      <w:r>
        <w:rPr>
          <w:rFonts w:ascii="Times New Roman" w:cs="Times New Roman" w:eastAsia="Times New Roman" w:hAnsi="Times New Roman"/>
          <w:sz w:val="19"/>
          <w:szCs w:val="19"/>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42</w:t>
      </w:r>
    </w:p>
    <w:p>
      <w:pPr>
        <w:sectPr>
          <w:pgSz w:w="11900" w:h="16838" w:orient="portrait"/>
          <w:cols w:equalWidth="0" w:num="1">
            <w:col w:w="11240"/>
          </w:cols>
          <w:pgMar w:left="320" w:top="13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1"/>
          <w:szCs w:val="2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Beth Gerstein, certify that:</w:t>
      </w:r>
    </w:p>
    <w:p>
      <w:pPr>
        <w:spacing w:after="0" w:line="194" w:lineRule="exact"/>
        <w:rPr>
          <w:sz w:val="20"/>
          <w:szCs w:val="20"/>
          <w:color w:val="auto"/>
        </w:rPr>
      </w:pPr>
    </w:p>
    <w:p>
      <w:pPr>
        <w:ind w:left="620" w:hanging="307"/>
        <w:spacing w:after="0"/>
        <w:tabs>
          <w:tab w:leader="none" w:pos="620"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Brilliant Earth Group, Inc.;</w:t>
      </w:r>
    </w:p>
    <w:p>
      <w:pPr>
        <w:spacing w:after="0" w:line="206" w:lineRule="exact"/>
        <w:rPr>
          <w:rFonts w:ascii="Times New Roman" w:cs="Times New Roman" w:eastAsia="Times New Roman" w:hAnsi="Times New Roman"/>
          <w:sz w:val="19"/>
          <w:szCs w:val="19"/>
          <w:color w:val="auto"/>
        </w:rPr>
      </w:pPr>
    </w:p>
    <w:p>
      <w:pPr>
        <w:jc w:val="both"/>
        <w:ind w:firstLine="313"/>
        <w:spacing w:after="0" w:line="226" w:lineRule="auto"/>
        <w:tabs>
          <w:tab w:leader="none" w:pos="619"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9"/>
          <w:szCs w:val="19"/>
          <w:color w:val="auto"/>
        </w:rPr>
      </w:pPr>
    </w:p>
    <w:p>
      <w:pPr>
        <w:ind w:firstLine="313"/>
        <w:spacing w:after="0"/>
        <w:tabs>
          <w:tab w:leader="none" w:pos="619"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Times New Roman" w:cs="Times New Roman" w:eastAsia="Times New Roman" w:hAnsi="Times New Roman"/>
          <w:sz w:val="19"/>
          <w:szCs w:val="19"/>
          <w:color w:val="auto"/>
        </w:rPr>
      </w:pPr>
    </w:p>
    <w:p>
      <w:pPr>
        <w:jc w:val="both"/>
        <w:ind w:firstLine="313"/>
        <w:spacing w:after="0" w:line="231" w:lineRule="auto"/>
        <w:tabs>
          <w:tab w:leader="none" w:pos="619" w:val="left"/>
        </w:tabs>
        <w:numPr>
          <w:ilvl w:val="1"/>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Times New Roman" w:cs="Times New Roman" w:eastAsia="Times New Roman" w:hAnsi="Times New Roman"/>
          <w:sz w:val="19"/>
          <w:szCs w:val="19"/>
          <w:color w:val="auto"/>
        </w:rPr>
      </w:pPr>
    </w:p>
    <w:p>
      <w:pPr>
        <w:jc w:val="both"/>
        <w:ind w:firstLine="622"/>
        <w:spacing w:after="0" w:line="231" w:lineRule="auto"/>
        <w:tabs>
          <w:tab w:leader="none" w:pos="920" w:val="left"/>
        </w:tabs>
        <w:numPr>
          <w:ilvl w:val="3"/>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8" w:lineRule="exact"/>
        <w:rPr>
          <w:rFonts w:ascii="Times New Roman" w:cs="Times New Roman" w:eastAsia="Times New Roman" w:hAnsi="Times New Roman"/>
          <w:sz w:val="19"/>
          <w:szCs w:val="19"/>
          <w:color w:val="auto"/>
        </w:rPr>
      </w:pPr>
    </w:p>
    <w:p>
      <w:pPr>
        <w:ind w:right="40" w:firstLine="622"/>
        <w:spacing w:after="0" w:line="231" w:lineRule="auto"/>
        <w:tabs>
          <w:tab w:leader="none" w:pos="886" w:val="left"/>
        </w:tabs>
        <w:numPr>
          <w:ilvl w:val="3"/>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8" w:lineRule="exact"/>
        <w:rPr>
          <w:rFonts w:ascii="Times New Roman" w:cs="Times New Roman" w:eastAsia="Times New Roman" w:hAnsi="Times New Roman"/>
          <w:sz w:val="19"/>
          <w:szCs w:val="19"/>
          <w:color w:val="auto"/>
        </w:rPr>
      </w:pPr>
    </w:p>
    <w:p>
      <w:pPr>
        <w:ind w:firstLine="622"/>
        <w:spacing w:after="0"/>
        <w:tabs>
          <w:tab w:leader="none" w:pos="885" w:val="left"/>
        </w:tabs>
        <w:numPr>
          <w:ilvl w:val="3"/>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Times New Roman" w:cs="Times New Roman" w:eastAsia="Times New Roman" w:hAnsi="Times New Roman"/>
          <w:sz w:val="19"/>
          <w:szCs w:val="19"/>
          <w:color w:val="auto"/>
        </w:rPr>
      </w:pPr>
    </w:p>
    <w:p>
      <w:pPr>
        <w:ind w:right="140" w:firstLine="622"/>
        <w:spacing w:after="0" w:line="231" w:lineRule="auto"/>
        <w:tabs>
          <w:tab w:leader="none" w:pos="886" w:val="left"/>
        </w:tabs>
        <w:numPr>
          <w:ilvl w:val="3"/>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Times New Roman" w:cs="Times New Roman" w:eastAsia="Times New Roman" w:hAnsi="Times New Roman"/>
          <w:sz w:val="19"/>
          <w:szCs w:val="19"/>
          <w:color w:val="auto"/>
        </w:rPr>
      </w:pPr>
    </w:p>
    <w:p>
      <w:pPr>
        <w:ind w:firstLine="3"/>
        <w:spacing w:after="0"/>
        <w:tabs>
          <w:tab w:leader="none" w:pos="199" w:val="left"/>
        </w:tabs>
        <w:numPr>
          <w:ilvl w:val="0"/>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firstLine="336"/>
        <w:spacing w:after="0" w:line="233" w:lineRule="auto"/>
        <w:tabs>
          <w:tab w:leader="none" w:pos="625"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sz w:val="20"/>
          <w:szCs w:val="20"/>
          <w:color w:val="auto"/>
        </w:rPr>
      </w:pPr>
    </w:p>
    <w:p>
      <w:pPr>
        <w:ind w:firstLine="270"/>
        <w:spacing w:after="0"/>
        <w:tabs>
          <w:tab w:leader="none" w:pos="554"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August 8, 2024</w:t>
      </w:r>
    </w:p>
    <w:p>
      <w:pPr>
        <w:ind w:left="4340"/>
        <w:spacing w:after="0" w:line="212" w:lineRule="auto"/>
        <w:rPr>
          <w:sz w:val="20"/>
          <w:szCs w:val="20"/>
          <w:color w:val="auto"/>
        </w:rPr>
      </w:pPr>
      <w:r>
        <w:rPr>
          <w:rFonts w:ascii="Times New Roman" w:cs="Times New Roman" w:eastAsia="Times New Roman" w:hAnsi="Times New Roman"/>
          <w:sz w:val="19"/>
          <w:szCs w:val="19"/>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-6985</wp:posOffset>
            </wp:positionV>
            <wp:extent cx="1346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4340"/>
        <w:spacing w:after="0" w:line="198" w:lineRule="auto"/>
        <w:rPr>
          <w:sz w:val="20"/>
          <w:szCs w:val="20"/>
          <w:color w:val="auto"/>
        </w:rPr>
      </w:pPr>
      <w:r>
        <w:rPr>
          <w:rFonts w:ascii="Times New Roman" w:cs="Times New Roman" w:eastAsia="Times New Roman" w:hAnsi="Times New Roman"/>
          <w:sz w:val="19"/>
          <w:szCs w:val="19"/>
          <w:color w:val="auto"/>
        </w:rPr>
        <w:t>Name: Beth Gerstein</w:t>
      </w:r>
    </w:p>
    <w:p>
      <w:pPr>
        <w:ind w:left="4340"/>
        <w:spacing w:after="0" w:line="213" w:lineRule="auto"/>
        <w:rPr>
          <w:sz w:val="20"/>
          <w:szCs w:val="20"/>
          <w:color w:val="auto"/>
        </w:rPr>
      </w:pPr>
      <w:r>
        <w:rPr>
          <w:rFonts w:ascii="Times New Roman" w:cs="Times New Roman" w:eastAsia="Times New Roman" w:hAnsi="Times New Roman"/>
          <w:sz w:val="19"/>
          <w:szCs w:val="19"/>
          <w:color w:val="auto"/>
        </w:rPr>
        <w:t>Title: Chief Executive Officer</w:t>
      </w:r>
    </w:p>
    <w:p>
      <w:pPr>
        <w:ind w:left="4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Executive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1"/>
          <w:szCs w:val="2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CERTIFICATION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Jeffrey Kuo, certify that:</w:t>
      </w:r>
    </w:p>
    <w:p>
      <w:pPr>
        <w:spacing w:after="0" w:line="207" w:lineRule="exact"/>
        <w:rPr>
          <w:sz w:val="20"/>
          <w:szCs w:val="20"/>
          <w:color w:val="auto"/>
        </w:rPr>
      </w:pPr>
    </w:p>
    <w:p>
      <w:pPr>
        <w:ind w:left="620" w:hanging="307"/>
        <w:spacing w:after="0"/>
        <w:tabs>
          <w:tab w:leader="none" w:pos="62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have reviewed this Quarterly Report on Form 10-Q of Brilliant Earth Group, Inc.;</w:t>
      </w:r>
    </w:p>
    <w:p>
      <w:pPr>
        <w:spacing w:after="0" w:line="194" w:lineRule="exact"/>
        <w:rPr>
          <w:rFonts w:ascii="Times New Roman" w:cs="Times New Roman" w:eastAsia="Times New Roman" w:hAnsi="Times New Roman"/>
          <w:sz w:val="19"/>
          <w:szCs w:val="19"/>
          <w:color w:val="auto"/>
        </w:rPr>
      </w:pPr>
    </w:p>
    <w:p>
      <w:pPr>
        <w:jc w:val="both"/>
        <w:ind w:firstLine="313"/>
        <w:spacing w:after="0" w:line="231" w:lineRule="auto"/>
        <w:tabs>
          <w:tab w:leader="none" w:pos="61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Times New Roman" w:cs="Times New Roman" w:eastAsia="Times New Roman" w:hAnsi="Times New Roman"/>
          <w:sz w:val="19"/>
          <w:szCs w:val="19"/>
          <w:color w:val="auto"/>
        </w:rPr>
      </w:pPr>
    </w:p>
    <w:p>
      <w:pPr>
        <w:ind w:firstLine="313"/>
        <w:spacing w:after="0"/>
        <w:tabs>
          <w:tab w:leader="none" w:pos="61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Times New Roman" w:cs="Times New Roman" w:eastAsia="Times New Roman" w:hAnsi="Times New Roman"/>
          <w:sz w:val="19"/>
          <w:szCs w:val="19"/>
          <w:color w:val="auto"/>
        </w:rPr>
      </w:pPr>
    </w:p>
    <w:p>
      <w:pPr>
        <w:jc w:val="both"/>
        <w:ind w:firstLine="313"/>
        <w:spacing w:after="0" w:line="226" w:lineRule="auto"/>
        <w:tabs>
          <w:tab w:leader="none" w:pos="61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Times New Roman" w:cs="Times New Roman" w:eastAsia="Times New Roman" w:hAnsi="Times New Roman"/>
          <w:sz w:val="19"/>
          <w:szCs w:val="19"/>
          <w:color w:val="auto"/>
        </w:rPr>
      </w:pPr>
    </w:p>
    <w:p>
      <w:pPr>
        <w:jc w:val="both"/>
        <w:ind w:firstLine="622"/>
        <w:spacing w:after="0" w:line="226" w:lineRule="auto"/>
        <w:tabs>
          <w:tab w:leader="none" w:pos="92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Times New Roman" w:cs="Times New Roman" w:eastAsia="Times New Roman" w:hAnsi="Times New Roman"/>
          <w:sz w:val="19"/>
          <w:szCs w:val="19"/>
          <w:color w:val="auto"/>
        </w:rPr>
      </w:pPr>
    </w:p>
    <w:p>
      <w:pPr>
        <w:ind w:right="40" w:firstLine="622"/>
        <w:spacing w:after="0" w:line="226" w:lineRule="auto"/>
        <w:tabs>
          <w:tab w:leader="none" w:pos="886"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Times New Roman" w:cs="Times New Roman" w:eastAsia="Times New Roman" w:hAnsi="Times New Roman"/>
          <w:sz w:val="19"/>
          <w:szCs w:val="19"/>
          <w:color w:val="auto"/>
        </w:rPr>
      </w:pPr>
    </w:p>
    <w:p>
      <w:pPr>
        <w:ind w:firstLine="622"/>
        <w:spacing w:after="0" w:line="233" w:lineRule="auto"/>
        <w:tabs>
          <w:tab w:leader="none" w:pos="885"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9"/>
          <w:szCs w:val="19"/>
          <w:color w:val="auto"/>
        </w:rPr>
      </w:pPr>
    </w:p>
    <w:p>
      <w:pPr>
        <w:jc w:val="both"/>
        <w:ind w:firstLine="622"/>
        <w:spacing w:after="0" w:line="226" w:lineRule="auto"/>
        <w:tabs>
          <w:tab w:leader="none" w:pos="893"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2" w:lineRule="exact"/>
        <w:rPr>
          <w:rFonts w:ascii="Times New Roman" w:cs="Times New Roman" w:eastAsia="Times New Roman" w:hAnsi="Times New Roman"/>
          <w:sz w:val="19"/>
          <w:szCs w:val="19"/>
          <w:color w:val="auto"/>
        </w:rPr>
      </w:pPr>
    </w:p>
    <w:p>
      <w:pPr>
        <w:ind w:firstLine="313"/>
        <w:spacing w:after="0" w:line="233" w:lineRule="auto"/>
        <w:tabs>
          <w:tab w:leader="none" w:pos="61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Times New Roman" w:cs="Times New Roman" w:eastAsia="Times New Roman" w:hAnsi="Times New Roman"/>
          <w:sz w:val="19"/>
          <w:szCs w:val="19"/>
          <w:color w:val="auto"/>
        </w:rPr>
      </w:pPr>
    </w:p>
    <w:p>
      <w:pPr>
        <w:ind w:right="400" w:firstLine="622"/>
        <w:spacing w:after="0"/>
        <w:tabs>
          <w:tab w:leader="none" w:pos="876"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Times New Roman" w:cs="Times New Roman" w:eastAsia="Times New Roman" w:hAnsi="Times New Roman"/>
          <w:sz w:val="19"/>
          <w:szCs w:val="19"/>
          <w:color w:val="auto"/>
        </w:rPr>
      </w:pPr>
    </w:p>
    <w:p>
      <w:pPr>
        <w:ind w:right="60" w:firstLine="622"/>
        <w:spacing w:after="0"/>
        <w:tabs>
          <w:tab w:leader="none" w:pos="886"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August 8, 2024</w:t>
      </w:r>
    </w:p>
    <w:p>
      <w:pPr>
        <w:ind w:left="4340"/>
        <w:spacing w:after="0" w:line="217" w:lineRule="auto"/>
        <w:rPr>
          <w:sz w:val="20"/>
          <w:szCs w:val="20"/>
          <w:color w:val="auto"/>
        </w:rPr>
      </w:pPr>
      <w:r>
        <w:rPr>
          <w:rFonts w:ascii="Times New Roman" w:cs="Times New Roman" w:eastAsia="Times New Roman" w:hAnsi="Times New Roman"/>
          <w:sz w:val="19"/>
          <w:szCs w:val="19"/>
          <w:color w:val="auto"/>
        </w:rPr>
        <w:t xml:space="preserve">By: /s/ </w:t>
      </w:r>
      <w:r>
        <w:rPr>
          <w:rFonts w:ascii="Times New Roman" w:cs="Times New Roman" w:eastAsia="Times New Roman" w:hAnsi="Times New Roman"/>
          <w:sz w:val="20"/>
          <w:szCs w:val="20"/>
          <w:color w:val="auto"/>
        </w:rPr>
        <w:t>Jeffrey</w:t>
      </w:r>
      <w:r>
        <w:rPr>
          <w:rFonts w:ascii="Times New Roman" w:cs="Times New Roman" w:eastAsia="Times New Roman" w:hAnsi="Times New Roman"/>
          <w:sz w:val="19"/>
          <w:szCs w:val="19"/>
          <w:color w:val="auto"/>
        </w:rPr>
        <w:t xml:space="preserv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2955925</wp:posOffset>
            </wp:positionH>
            <wp:positionV relativeFrom="paragraph">
              <wp:posOffset>-6350</wp:posOffset>
            </wp:positionV>
            <wp:extent cx="8610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4340"/>
        <w:spacing w:after="0" w:line="213" w:lineRule="auto"/>
        <w:rPr>
          <w:sz w:val="20"/>
          <w:szCs w:val="20"/>
          <w:color w:val="auto"/>
        </w:rPr>
      </w:pPr>
      <w:r>
        <w:rPr>
          <w:rFonts w:ascii="Times New Roman" w:cs="Times New Roman" w:eastAsia="Times New Roman" w:hAnsi="Times New Roman"/>
          <w:sz w:val="19"/>
          <w:szCs w:val="19"/>
          <w:color w:val="auto"/>
        </w:rPr>
        <w:t>Name: Jeffrey Kuo</w:t>
      </w:r>
    </w:p>
    <w:p>
      <w:pPr>
        <w:ind w:left="4340"/>
        <w:spacing w:after="0" w:line="212" w:lineRule="auto"/>
        <w:rPr>
          <w:sz w:val="20"/>
          <w:szCs w:val="20"/>
          <w:color w:val="auto"/>
        </w:rPr>
      </w:pPr>
      <w:r>
        <w:rPr>
          <w:rFonts w:ascii="Times New Roman" w:cs="Times New Roman" w:eastAsia="Times New Roman" w:hAnsi="Times New Roman"/>
          <w:sz w:val="19"/>
          <w:szCs w:val="19"/>
          <w:color w:val="auto"/>
        </w:rPr>
        <w:t>Title: Chief Financial Officer</w:t>
      </w:r>
    </w:p>
    <w:p>
      <w:pPr>
        <w:spacing w:after="0" w:line="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Financial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1"/>
          <w:szCs w:val="2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 Section 906 of the Sarbanes-Oxley Act of 2002</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In connection with the Quarterly Report on Form 10-Q of Brilliant Earth Group, Inc. (the “Company”) for the period ended June 30,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8" w:lineRule="exact"/>
        <w:rPr>
          <w:sz w:val="20"/>
          <w:szCs w:val="20"/>
          <w:color w:val="auto"/>
        </w:rPr>
      </w:pPr>
    </w:p>
    <w:p>
      <w:pPr>
        <w:ind w:left="280" w:hanging="277"/>
        <w:spacing w:after="0"/>
        <w:tabs>
          <w:tab w:leader="none" w:pos="28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August 8, 2024</w:t>
      </w:r>
    </w:p>
    <w:p>
      <w:pPr>
        <w:ind w:left="3720"/>
        <w:spacing w:after="0" w:line="212" w:lineRule="auto"/>
        <w:rPr>
          <w:sz w:val="20"/>
          <w:szCs w:val="20"/>
          <w:color w:val="auto"/>
        </w:rPr>
      </w:pPr>
      <w:r>
        <w:rPr>
          <w:rFonts w:ascii="Times New Roman" w:cs="Times New Roman" w:eastAsia="Times New Roman" w:hAnsi="Times New Roman"/>
          <w:sz w:val="19"/>
          <w:szCs w:val="19"/>
          <w:color w:val="auto"/>
        </w:rPr>
        <w:t>By: /s/ Beth Gerstein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-6985</wp:posOffset>
            </wp:positionV>
            <wp:extent cx="13462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ind w:left="3720"/>
        <w:spacing w:after="0" w:line="212" w:lineRule="auto"/>
        <w:rPr>
          <w:sz w:val="20"/>
          <w:szCs w:val="20"/>
          <w:color w:val="auto"/>
        </w:rPr>
      </w:pPr>
      <w:r>
        <w:rPr>
          <w:rFonts w:ascii="Times New Roman" w:cs="Times New Roman" w:eastAsia="Times New Roman" w:hAnsi="Times New Roman"/>
          <w:sz w:val="19"/>
          <w:szCs w:val="19"/>
          <w:color w:val="auto"/>
        </w:rPr>
        <w:t>Name: Beth Gerstein</w:t>
      </w:r>
    </w:p>
    <w:p>
      <w:pPr>
        <w:ind w:left="3720"/>
        <w:spacing w:after="0" w:line="199" w:lineRule="auto"/>
        <w:rPr>
          <w:sz w:val="20"/>
          <w:szCs w:val="20"/>
          <w:color w:val="auto"/>
        </w:rPr>
      </w:pPr>
      <w:r>
        <w:rPr>
          <w:rFonts w:ascii="Times New Roman" w:cs="Times New Roman" w:eastAsia="Times New Roman" w:hAnsi="Times New Roman"/>
          <w:sz w:val="19"/>
          <w:szCs w:val="19"/>
          <w:color w:val="auto"/>
        </w:rPr>
        <w:t>Title: Chief Executive Officer</w:t>
      </w:r>
    </w:p>
    <w:p>
      <w:pPr>
        <w:ind w:left="3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Executive Officer</w:t>
      </w:r>
      <w:r>
        <w:rPr>
          <w:rFonts w:ascii="Times New Roman" w:cs="Times New Roman" w:eastAsia="Times New Roman" w:hAnsi="Times New Roman"/>
          <w:sz w:val="19"/>
          <w:szCs w:val="19"/>
          <w:color w:val="auto"/>
        </w:rPr>
        <w:t>)</w:t>
      </w:r>
    </w:p>
    <w:p>
      <w:pPr>
        <w:sectPr>
          <w:pgSz w:w="11900" w:h="16838" w:orient="portrait"/>
          <w:cols w:equalWidth="0" w:num="1">
            <w:col w:w="11240"/>
          </w:cols>
          <w:pgMar w:left="320" w:top="10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1"/>
          <w:szCs w:val="2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Certification Pursuant to 18 U.S.C. Section 1350,</w:t>
      </w:r>
    </w:p>
    <w:p>
      <w:pPr>
        <w:jc w:val="center"/>
        <w:spacing w:after="0"/>
        <w:rPr>
          <w:sz w:val="20"/>
          <w:szCs w:val="20"/>
          <w:color w:val="auto"/>
        </w:rPr>
      </w:pPr>
      <w:r>
        <w:rPr>
          <w:rFonts w:ascii="Times New Roman" w:cs="Times New Roman" w:eastAsia="Times New Roman" w:hAnsi="Times New Roman"/>
          <w:sz w:val="19"/>
          <w:szCs w:val="19"/>
          <w:b w:val="1"/>
          <w:bCs w:val="1"/>
          <w:color w:val="auto"/>
        </w:rPr>
        <w:t>As Adopted Pursuant to Section 906 of the Sarbanes-Oxley Act of 2002</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9"/>
          <w:szCs w:val="19"/>
          <w:color w:val="auto"/>
        </w:rPr>
        <w:t>In connection with the Quarterly Report on Form 10-Q of Brilliant Earth Group, Inc. (the “Company”) for the period ended June 30, 2024 (the “Report”), as filed with the Securities and Exchange Commission on the date hereof, I, the undersigned, certify, pursuant to 18 U.S.C. Section 1350, as adopted pursuant to Section 906 of the Sarbanes-Oxley Act of 2002, to the best of my knowledge, that:</w:t>
      </w:r>
    </w:p>
    <w:p>
      <w:pPr>
        <w:spacing w:after="0" w:line="168" w:lineRule="exact"/>
        <w:rPr>
          <w:sz w:val="20"/>
          <w:szCs w:val="20"/>
          <w:color w:val="auto"/>
        </w:rPr>
      </w:pPr>
    </w:p>
    <w:p>
      <w:pPr>
        <w:ind w:left="280" w:hanging="277"/>
        <w:spacing w:after="0"/>
        <w:tabs>
          <w:tab w:leader="none" w:pos="28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Section 15(d) of the Securities Exchange Act of 1934; and</w:t>
      </w:r>
    </w:p>
    <w:p>
      <w:pPr>
        <w:spacing w:after="0" w:line="206" w:lineRule="exact"/>
        <w:rPr>
          <w:rFonts w:ascii="Times New Roman" w:cs="Times New Roman" w:eastAsia="Times New Roman" w:hAnsi="Times New Roman"/>
          <w:sz w:val="19"/>
          <w:szCs w:val="19"/>
          <w:color w:val="auto"/>
        </w:rPr>
      </w:pPr>
    </w:p>
    <w:p>
      <w:pPr>
        <w:ind w:left="280" w:hanging="277"/>
        <w:spacing w:after="0"/>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August 8, 2024</w:t>
      </w:r>
    </w:p>
    <w:p>
      <w:pPr>
        <w:ind w:left="3720"/>
        <w:spacing w:after="0" w:line="217" w:lineRule="auto"/>
        <w:rPr>
          <w:sz w:val="20"/>
          <w:szCs w:val="20"/>
          <w:color w:val="auto"/>
        </w:rPr>
      </w:pPr>
      <w:r>
        <w:rPr>
          <w:rFonts w:ascii="Times New Roman" w:cs="Times New Roman" w:eastAsia="Times New Roman" w:hAnsi="Times New Roman"/>
          <w:sz w:val="19"/>
          <w:szCs w:val="19"/>
          <w:color w:val="auto"/>
        </w:rPr>
        <w:t xml:space="preserve">By: /s/ </w:t>
      </w:r>
      <w:r>
        <w:rPr>
          <w:rFonts w:ascii="Times New Roman" w:cs="Times New Roman" w:eastAsia="Times New Roman" w:hAnsi="Times New Roman"/>
          <w:sz w:val="20"/>
          <w:szCs w:val="20"/>
          <w:color w:val="auto"/>
        </w:rPr>
        <w:t>Jeffrey</w:t>
      </w:r>
      <w:r>
        <w:rPr>
          <w:rFonts w:ascii="Times New Roman" w:cs="Times New Roman" w:eastAsia="Times New Roman" w:hAnsi="Times New Roman"/>
          <w:sz w:val="19"/>
          <w:szCs w:val="19"/>
          <w:color w:val="auto"/>
        </w:rPr>
        <w:t xml:space="preserve"> Kuo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2562860</wp:posOffset>
            </wp:positionH>
            <wp:positionV relativeFrom="paragraph">
              <wp:posOffset>-6350</wp:posOffset>
            </wp:positionV>
            <wp:extent cx="8610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ind w:left="3720"/>
        <w:spacing w:after="0" w:line="213" w:lineRule="auto"/>
        <w:rPr>
          <w:sz w:val="20"/>
          <w:szCs w:val="20"/>
          <w:color w:val="auto"/>
        </w:rPr>
      </w:pPr>
      <w:r>
        <w:rPr>
          <w:rFonts w:ascii="Times New Roman" w:cs="Times New Roman" w:eastAsia="Times New Roman" w:hAnsi="Times New Roman"/>
          <w:sz w:val="19"/>
          <w:szCs w:val="19"/>
          <w:color w:val="auto"/>
        </w:rPr>
        <w:t>Name: Jeffrey Kuo</w:t>
      </w:r>
    </w:p>
    <w:p>
      <w:pPr>
        <w:ind w:left="3720"/>
        <w:spacing w:after="0" w:line="212" w:lineRule="auto"/>
        <w:rPr>
          <w:sz w:val="20"/>
          <w:szCs w:val="20"/>
          <w:color w:val="auto"/>
        </w:rPr>
      </w:pPr>
      <w:r>
        <w:rPr>
          <w:rFonts w:ascii="Times New Roman" w:cs="Times New Roman" w:eastAsia="Times New Roman" w:hAnsi="Times New Roman"/>
          <w:sz w:val="19"/>
          <w:szCs w:val="19"/>
          <w:color w:val="auto"/>
        </w:rPr>
        <w:t>Title: Chief Financial Officer</w:t>
      </w:r>
    </w:p>
    <w:p>
      <w:pPr>
        <w:spacing w:after="0" w:line="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i w:val="1"/>
          <w:iCs w:val="1"/>
          <w:color w:val="auto"/>
        </w:rPr>
        <w:t>Principal Financial Officer</w:t>
      </w:r>
      <w:r>
        <w:rPr>
          <w:rFonts w:ascii="Times New Roman" w:cs="Times New Roman" w:eastAsia="Times New Roman" w:hAnsi="Times New Roman"/>
          <w:sz w:val="19"/>
          <w:szCs w:val="19"/>
          <w:color w:val="auto"/>
        </w:rPr>
        <w:t>)</w:t>
      </w:r>
    </w:p>
    <w:sectPr>
      <w:pgSz w:w="11900" w:h="16838" w:orient="portrait"/>
      <w:cols w:equalWidth="0" w:num="1">
        <w:col w:w="11240"/>
      </w:cols>
      <w:pgMar w:left="320" w:top="1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lvl w:ilvl="1">
      <w:lvlJc w:val="left"/>
      <w:lvlText w:val="(%2)"/>
      <w:numFmt w:val="lowerLetter"/>
      <w:start w:val="1"/>
    </w:lvl>
  </w:abstractNum>
  <w:abstractNum w:abstractNumId="10">
    <w:nsid w:val="1BEFD79F"/>
    <w:multiLevelType w:val="hybridMultilevel"/>
    <w:lvl w:ilvl="0">
      <w:lvlJc w:val="left"/>
      <w:lvlText w:val="(%1)"/>
      <w:numFmt w:val="decimal"/>
      <w:start w:val="2"/>
    </w:lvl>
    <w:lvl w:ilvl="1">
      <w:lvlJc w:val="left"/>
      <w:lvlText w:val="%2"/>
      <w:numFmt w:val="lowerLetter"/>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4">
    <w:nsid w:val="25E45D32"/>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63" Type="http://schemas.openxmlformats.org/officeDocument/2006/relationships/hyperlink" Target="https://www.sec.gov/Archives/edgar/data/0001866757/000119312521284281/d61525dex31.htm" TargetMode="External"/><Relationship Id="rId64" Type="http://schemas.openxmlformats.org/officeDocument/2006/relationships/hyperlink" Target="https://www.sec.gov/Archives/edgar/data/0001866757/000119312521284281/d61525dex32.htm" TargetMode="External"/><Relationship Id="rId65" Type="http://schemas.openxmlformats.org/officeDocument/2006/relationships/hyperlink" Target="https://www.sec.gov/Archives/edgar/data/0001866757/000119312521272138/d6435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2024-08-09T05:35:39Z</dcterms:created>
  <dcterms:modified xsi:type="dcterms:W3CDTF">2024-08-09T05:35:39Z</dcterms:modified>
</cp:coreProperties>
</file>