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361315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385445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64135</wp:posOffset>
            </wp:positionV>
            <wp:extent cx="222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47625</wp:posOffset>
            </wp:positionV>
            <wp:extent cx="2226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50"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2026</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7"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2" w:lineRule="exact"/>
        <w:rPr>
          <w:sz w:val="24"/>
          <w:szCs w:val="24"/>
          <w:color w:val="auto"/>
        </w:rPr>
      </w:pPr>
    </w:p>
    <w:p>
      <w:pPr>
        <w:ind w:left="4380"/>
        <w:spacing w:after="0"/>
        <w:tabs>
          <w:tab w:leader="none" w:pos="67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72390</wp:posOffset>
            </wp:positionV>
            <wp:extent cx="2226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Brilliant Earth Group, Inc.</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66040</wp:posOffset>
            </wp:positionV>
            <wp:extent cx="2226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09" w:lineRule="exact"/>
        <w:rPr>
          <w:sz w:val="24"/>
          <w:szCs w:val="24"/>
          <w:color w:val="auto"/>
        </w:rPr>
      </w:pPr>
    </w:p>
    <w:tbl>
      <w:tblPr>
        <w:tblLayout w:type="fixed"/>
        <w:tblInd w:w="720" w:type="dxa"/>
        <w:tblCellMar>
          <w:top w:w="0" w:type="dxa"/>
          <w:left w:w="0" w:type="dxa"/>
          <w:bottom w:w="0" w:type="dxa"/>
          <w:right w:w="0" w:type="dxa"/>
        </w:tblCellMar>
      </w:tblPr>
      <w:tr>
        <w:trPr>
          <w:trHeight w:val="227"/>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3920" w:type="dxa"/>
            <w:vAlign w:val="bottom"/>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87-1015499</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(I.R.S. Employer Identification Number)</w:t>
            </w:r>
          </w:p>
        </w:tc>
      </w:tr>
      <w:tr>
        <w:trPr>
          <w:trHeight w:val="25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w w:val="99"/>
              </w:rPr>
              <w:t>300 Grant Avenue, Third Floor</w:t>
            </w:r>
          </w:p>
        </w:tc>
        <w:tc>
          <w:tcPr>
            <w:tcW w:w="3920" w:type="dxa"/>
            <w:vAlign w:val="bottom"/>
          </w:tcPr>
          <w:p>
            <w:pPr>
              <w:spacing w:after="0"/>
              <w:rPr>
                <w:sz w:val="21"/>
                <w:szCs w:val="21"/>
                <w:color w:val="auto"/>
              </w:rPr>
            </w:pPr>
          </w:p>
        </w:tc>
      </w:tr>
      <w:tr>
        <w:trPr>
          <w:trHeight w:val="24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rPr>
              <w:t>San Francisco, CA</w:t>
            </w:r>
          </w:p>
        </w:tc>
        <w:tc>
          <w:tcPr>
            <w:tcW w:w="3920" w:type="dxa"/>
            <w:vAlign w:val="bottom"/>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rPr>
              <w:t>94108</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(800) 691-0952</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24765</wp:posOffset>
            </wp:positionV>
            <wp:extent cx="2226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64"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000" w:type="dxa"/>
            <w:vAlign w:val="bottom"/>
            <w:gridSpan w:val="2"/>
          </w:tcPr>
          <w:p>
            <w:pPr>
              <w:jc w:val="center"/>
              <w:ind w:left="83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520" w:type="dxa"/>
            <w:vAlign w:val="bottom"/>
            <w:gridSpan w:val="2"/>
          </w:tcPr>
          <w:p>
            <w:pPr>
              <w:jc w:val="center"/>
              <w:ind w:left="189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28"/>
        </w:trPr>
        <w:tc>
          <w:tcPr>
            <w:tcW w:w="3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color w:val="auto"/>
                <w:w w:val="98"/>
              </w:rPr>
              <w:t>Class A common stock, $0.0001 par value per share</w:t>
            </w:r>
          </w:p>
        </w:tc>
        <w:tc>
          <w:tcPr>
            <w:tcW w:w="9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BRLT</w:t>
            </w:r>
          </w:p>
        </w:tc>
        <w:tc>
          <w:tcPr>
            <w:tcW w:w="196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Global Market</w:t>
            </w:r>
          </w:p>
        </w:tc>
      </w:tr>
    </w:tbl>
    <w:p>
      <w:pPr>
        <w:spacing w:after="0" w:line="131"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5"/>
          <w:szCs w:val="15"/>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5"/>
          <w:szCs w:val="15"/>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4" w:lineRule="exact"/>
        <w:rPr>
          <w:sz w:val="24"/>
          <w:szCs w:val="24"/>
          <w:color w:val="auto"/>
        </w:rPr>
      </w:pPr>
    </w:p>
    <w:p>
      <w:pPr>
        <w:jc w:val="both"/>
        <w:ind w:firstLine="77"/>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October 30, 2026, there were 17,266,337 shares of the registrant's Class A common stock, $0.0001 par value per share, outstanding, 35,744,923 shares of the registrant's Class B common stock, $0.0001 par value per share, outstanding, 49,119,976 shares of the registrant's Class C common stock, $0.0001 par value per share, outstanding and no shares of the registrant's Class D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4"/>
          </w:tcPr>
          <w:p>
            <w:pPr>
              <w:ind w:left="1700"/>
              <w:spacing w:after="0"/>
              <w:rPr>
                <w:sz w:val="20"/>
                <w:szCs w:val="20"/>
                <w:color w:val="auto"/>
              </w:rPr>
            </w:pPr>
            <w:r>
              <w:rPr>
                <w:rFonts w:ascii="Times New Roman" w:cs="Times New Roman" w:eastAsia="Times New Roman" w:hAnsi="Times New Roman"/>
                <w:sz w:val="17"/>
                <w:szCs w:val="17"/>
                <w:color w:val="auto"/>
              </w:rPr>
              <w:t>Table of Contents</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3"/>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232"/>
        </w:trPr>
        <w:tc>
          <w:tcPr>
            <w:tcW w:w="90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6280" w:type="dxa"/>
            <w:vAlign w:val="bottom"/>
            <w:gridSpan w:val="5"/>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1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7220" w:type="dxa"/>
            <w:vAlign w:val="bottom"/>
            <w:gridSpan w:val="10"/>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260" w:type="dxa"/>
            <w:vAlign w:val="bottom"/>
          </w:tcPr>
          <w:p>
            <w:pPr>
              <w:spacing w:after="0"/>
              <w:rPr>
                <w:sz w:val="21"/>
                <w:szCs w:val="21"/>
                <w:color w:val="auto"/>
              </w:rPr>
            </w:pPr>
          </w:p>
        </w:tc>
        <w:tc>
          <w:tcPr>
            <w:tcW w:w="6720" w:type="dxa"/>
            <w:vAlign w:val="bottom"/>
            <w:gridSpan w:val="7"/>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3860" w:type="dxa"/>
            <w:vAlign w:val="bottom"/>
            <w:gridSpan w:val="3"/>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3860" w:type="dxa"/>
            <w:vAlign w:val="bottom"/>
            <w:gridSpan w:val="3"/>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720" w:type="dxa"/>
            <w:vAlign w:val="bottom"/>
            <w:tcBorders>
              <w:left w:val="single" w:sz="8" w:color="0000FF"/>
            </w:tcBorders>
            <w:gridSpan w:val="7"/>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720" w:type="dxa"/>
            <w:vAlign w:val="bottom"/>
            <w:tcBorders>
              <w:left w:val="single" w:sz="8" w:color="0000FF"/>
            </w:tcBorders>
            <w:gridSpan w:val="7"/>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5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6720" w:type="dxa"/>
            <w:vAlign w:val="bottom"/>
            <w:gridSpan w:val="7"/>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90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management's plans and objectives for future operations, including, among others, statements regarding expected growth, introduction of new products, showroom and international expansion, market opportunity, capital expenditures, marketing and technology investments, liquidity and capital needs, tariff and macroeconomic impacts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jc w:val="both"/>
        <w:ind w:firstLine="619"/>
        <w:spacing w:after="0" w:line="23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repurposed precious metals such as gold; increases in labor costs for manufacturing such as wage rate increases, as well as inflation, and energy prices;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to acquire new customers; our rapid growth in recent years and limited operating experience at our current scale of operations and our ability to manage growth effectively; increased lead times, supply shortages and supply changes; our plans to expand showrooms in the United States; our ability to compete in the fine jewelry retail industry; our ability to maintain and enhance our brand and to engage or expand our customer base; our ability to expand our sales and marketing capabilities and achieve broader market acceptance of our e-commerce and omnichannel approach; our ability to manage our inventory balances and shrinkage; a decline in sales of Design Your Own rings; our ability to predict operating results; our heavy reliance on our information technology systems and those of our third-party vendors and service providers to safeguard confidential information and any significant failure, inadequacy or interruption of these systems, security breaches or loss of data; the impact of environmental, social, and governance matters on our business and reputation; risks related to our e-commerce and omnichannel business; our ability to anticipate and respond to changes in consumer preferences and shopping patterns, and introduce new products and programs; our dependence on distributions from Brilliant Earth, LLC to pay our taxes and expenses, including payments under the Tax Receivable Agreement; our obligations under the Tax Receivable Agreement, which confers certain benefits upon the Continuing Equity Owners that will not benefit holders of our Class A common stock to the same extent; risks related to our organizational structure; and the other risks, uncertainties and factors described in Part I, Item 1A, “Risk Factors” in our Annual Report on Form 10-K for the fiscal year ended December 31, 2025 (the “2025 Form 10-K”) filed with the Securities and Exchange Commission (the “SEC”) on March 17, 2026. Other sections of this Quarterly Report on Form 10-Q, including Part I, Item 2. “Management's Discussion and Analysis of Financial Condition and Results of Operations”, include additional factors that could adversely impact our business and financial performance.</w:t>
      </w:r>
    </w:p>
    <w:p>
      <w:pPr>
        <w:spacing w:after="0" w:line="21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2"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This Quarterly Report on Form 10-Q and the documents that we have filed as exhibits should be read with the understanding that our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3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As used in this Quarterly Report on Form 10-Q, unless the context otherwise requires, references to:</w:t>
      </w:r>
    </w:p>
    <w:p>
      <w:pPr>
        <w:spacing w:after="0" w:line="200" w:lineRule="exact"/>
        <w:rPr>
          <w:sz w:val="20"/>
          <w:szCs w:val="20"/>
          <w:color w:val="auto"/>
        </w:rPr>
      </w:pPr>
    </w:p>
    <w:p>
      <w:pPr>
        <w:spacing w:after="0" w:line="301" w:lineRule="exact"/>
        <w:rPr>
          <w:sz w:val="20"/>
          <w:szCs w:val="20"/>
          <w:color w:val="auto"/>
        </w:rPr>
      </w:pPr>
    </w:p>
    <w:p>
      <w:pPr>
        <w:ind w:left="620" w:right="40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“we,” “us,” “our,” the “Company,” “Brilliant Earth,” and similar references refer to Brilliant Earth Group, Inc., and, unless otherwise stated, all of its subsidiaries, including Brilliant Earth, LLC.</w:t>
      </w:r>
    </w:p>
    <w:p>
      <w:pPr>
        <w:spacing w:after="0" w:line="96" w:lineRule="exact"/>
        <w:rPr>
          <w:rFonts w:ascii="Times New Roman" w:cs="Times New Roman" w:eastAsia="Times New Roman" w:hAnsi="Times New Roman"/>
          <w:sz w:val="19"/>
          <w:szCs w:val="19"/>
          <w:color w:val="auto"/>
        </w:rPr>
      </w:pPr>
    </w:p>
    <w:p>
      <w:pPr>
        <w:jc w:val="both"/>
        <w:ind w:left="620" w:hanging="307"/>
        <w:spacing w:after="0" w:line="23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99"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96" w:lineRule="exact"/>
        <w:rPr>
          <w:rFonts w:ascii="Times New Roman" w:cs="Times New Roman" w:eastAsia="Times New Roman" w:hAnsi="Times New Roman"/>
          <w:sz w:val="19"/>
          <w:szCs w:val="19"/>
          <w:color w:val="auto"/>
        </w:rPr>
      </w:pPr>
    </w:p>
    <w:p>
      <w:pPr>
        <w:ind w:left="620" w:hanging="307"/>
        <w:spacing w:after="0" w:line="23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“LLC Interests” or “LLC Units” refers to the common units of Brilliant Earth, LLC, including those that we purchased with the net proceeds from our initial public offering (“IPO”), which occurred on September 23, 2021.</w:t>
      </w:r>
    </w:p>
    <w:p>
      <w:pPr>
        <w:spacing w:after="0" w:line="100"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“LLC Agreement” refers to Brilliant Earth, LLC's amended and restated limited liability company agreement, which became effective prior to the consummation of the IPO.</w:t>
      </w:r>
    </w:p>
    <w:p>
      <w:pPr>
        <w:spacing w:after="0" w:line="96"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70" w:lineRule="exact"/>
        <w:rPr>
          <w:rFonts w:ascii="Times New Roman" w:cs="Times New Roman" w:eastAsia="Times New Roman" w:hAnsi="Times New Roman"/>
          <w:sz w:val="19"/>
          <w:szCs w:val="19"/>
          <w:color w:val="auto"/>
        </w:rPr>
      </w:pPr>
    </w:p>
    <w:p>
      <w:pPr>
        <w:jc w:val="both"/>
        <w:ind w:left="620" w:hanging="307"/>
        <w:spacing w:after="0" w:line="245" w:lineRule="auto"/>
        <w:tabs>
          <w:tab w:leader="none" w:pos="6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“SVB Credit Agreement” refers to the credit agreement entered into on May 24, 2022, and as subsequently amended, by Brilliant Earth, LLC, as borrower, and Silicon Valley Bank, as administrative agent and collateral agent for the lenders, which provides for a secured term loan credit facility of $65.0 million (the “SVB Term Loan”) and a secured revolving credit facility in an amount of up to $40.0 million (the “SVB Revolving Facility”, and together with the SVB Term Loan, the “SVB Credit Facilities”). In August 2025, the Company prepaid all principal amounts outstanding of $34.8 million under the SVB Term Loan and terminated all commitments outstanding under the SVB Credit Agreement.</w:t>
      </w:r>
    </w:p>
    <w:p>
      <w:pPr>
        <w:spacing w:after="0" w:line="98" w:lineRule="exact"/>
        <w:rPr>
          <w:rFonts w:ascii="Times New Roman" w:cs="Times New Roman" w:eastAsia="Times New Roman" w:hAnsi="Times New Roman"/>
          <w:sz w:val="17"/>
          <w:szCs w:val="17"/>
          <w:color w:val="auto"/>
        </w:rPr>
      </w:pPr>
    </w:p>
    <w:p>
      <w:pPr>
        <w:jc w:val="both"/>
        <w:ind w:left="620" w:hanging="307"/>
        <w:spacing w:after="0"/>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24765</wp:posOffset>
            </wp:positionV>
            <wp:extent cx="20872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724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3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960" w:type="dxa"/>
            <w:vAlign w:val="bottom"/>
            <w:tcBorders>
              <w:bottom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76,176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79,089</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 net</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50,332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53,238</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12,052</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139,476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144,728</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19,622</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36,434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31,879</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4,674</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196,924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27,874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24,804</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28,078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35,732</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24,133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22,671</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6,896</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87,602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90,103</w:t>
            </w:r>
          </w:p>
        </w:tc>
        <w:tc>
          <w:tcPr>
            <w:tcW w:w="0" w:type="dxa"/>
            <w:vAlign w:val="bottom"/>
          </w:tcPr>
          <w:p>
            <w:pPr>
              <w:spacing w:after="0"/>
              <w:rPr>
                <w:sz w:val="1"/>
                <w:szCs w:val="1"/>
                <w:color w:val="auto"/>
              </w:rPr>
            </w:pPr>
          </w:p>
        </w:tc>
      </w:tr>
      <w:tr>
        <w:trPr>
          <w:trHeight w:val="52"/>
        </w:trPr>
        <w:tc>
          <w:tcPr>
            <w:tcW w:w="7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35,158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31,163</w:t>
            </w:r>
          </w:p>
        </w:tc>
        <w:tc>
          <w:tcPr>
            <w:tcW w:w="0" w:type="dxa"/>
            <w:vAlign w:val="bottom"/>
          </w:tcPr>
          <w:p>
            <w:pPr>
              <w:spacing w:after="0"/>
              <w:rPr>
                <w:sz w:val="1"/>
                <w:szCs w:val="1"/>
                <w:color w:val="auto"/>
              </w:rPr>
            </w:pPr>
          </w:p>
        </w:tc>
      </w:tr>
      <w:tr>
        <w:trPr>
          <w:trHeight w:val="190"/>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122,760</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121,266</w:t>
            </w:r>
          </w:p>
        </w:tc>
        <w:tc>
          <w:tcPr>
            <w:tcW w:w="0" w:type="dxa"/>
            <w:vAlign w:val="bottom"/>
          </w:tcPr>
          <w:p>
            <w:pPr>
              <w:spacing w:after="0"/>
              <w:rPr>
                <w:sz w:val="1"/>
                <w:szCs w:val="1"/>
                <w:color w:val="auto"/>
              </w:rPr>
            </w:pPr>
          </w:p>
        </w:tc>
      </w:tr>
      <w:tr>
        <w:trPr>
          <w:trHeight w:val="59"/>
        </w:trPr>
        <w:tc>
          <w:tcPr>
            <w:tcW w:w="79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2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none issued and outstanding at September 30, 2026 and December 31,</w:t>
            </w:r>
          </w:p>
        </w:tc>
        <w:tc>
          <w:tcPr>
            <w:tcW w:w="2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Class A common stock, $0.0001 par value, 1,200,000,000 shares authorized; 17,841,014 shares issued and 17,266,337 shares outstanding at</w:t>
            </w: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8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2026; 16,092,701 shares issued and 15,518,024 shares outstanding at December 31, 2025</w:t>
            </w: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common stock, $0.0001 par value, 150,000,000 shares authorized; 35,744,923 shares outstanding at September 30, 2026 and</w:t>
            </w: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35,822,342 shares outstanding at December 31, 2025,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C common stock, $0.0001 par value, 150,000,000 shares authorized; 49,119,976 shares outstanding at September 30, 2026 and</w:t>
            </w: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8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D common stock, $0.0001 par value, 150,000,000 shares authorized; none issued and outstanding at September 30, 2026 and</w:t>
            </w:r>
          </w:p>
        </w:tc>
        <w:tc>
          <w:tcPr>
            <w:tcW w:w="2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16,024</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574,677 and 574,677 shares at September 30, 2026 and December 31, 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(3,955)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(2,640)</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equity attributable to Brilliant Earth Group, Inc.</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12,538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12,301</w:t>
            </w:r>
          </w:p>
        </w:tc>
        <w:tc>
          <w:tcPr>
            <w:tcW w:w="0" w:type="dxa"/>
            <w:vAlign w:val="bottom"/>
          </w:tcPr>
          <w:p>
            <w:pPr>
              <w:spacing w:after="0"/>
              <w:rPr>
                <w:sz w:val="1"/>
                <w:szCs w:val="1"/>
                <w:color w:val="auto"/>
              </w:rPr>
            </w:pPr>
          </w:p>
        </w:tc>
      </w:tr>
      <w:tr>
        <w:trPr>
          <w:trHeight w:val="19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interests attributable to Brilliant Earth, LLC</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61,626</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67,336</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74,164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79,637</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196,924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OPERATIONS</w:t>
      </w:r>
    </w:p>
    <w:p>
      <w:pPr>
        <w:spacing w:after="0" w:line="2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color w:val="auto"/>
        </w:rPr>
        <w:t>(Dollars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Pr>
          <w:p>
            <w:pPr>
              <w:spacing w:after="0"/>
              <w:rPr>
                <w:sz w:val="16"/>
                <w:szCs w:val="16"/>
                <w:color w:val="auto"/>
              </w:rPr>
            </w:pPr>
          </w:p>
        </w:tc>
        <w:tc>
          <w:tcPr>
            <w:tcW w:w="2540" w:type="dxa"/>
            <w:vAlign w:val="bottom"/>
            <w:gridSpan w:val="4"/>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4"/>
        </w:trPr>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7"/>
                <w:szCs w:val="17"/>
                <w:color w:val="auto"/>
              </w:rPr>
            </w:pPr>
          </w:p>
        </w:tc>
      </w:tr>
      <w:tr>
        <w:trPr>
          <w:trHeight w:val="31"/>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6"/>
        </w:trPr>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1"/>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112,808</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110,252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327,423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313,072</w:t>
            </w: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3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45,437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46,801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139,340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131,075</w:t>
            </w:r>
          </w:p>
        </w:tc>
      </w:tr>
      <w:tr>
        <w:trPr>
          <w:trHeight w:val="31"/>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67,371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63,451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188,083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181,997</w:t>
            </w: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Marketing and advertising</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26,319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26,132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76,076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75,365</w:t>
            </w:r>
          </w:p>
        </w:tc>
      </w:tr>
      <w:tr>
        <w:trPr>
          <w:trHeight w:val="214"/>
        </w:trPr>
        <w:tc>
          <w:tcPr>
            <w:tcW w:w="44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39,129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37,939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118,519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111,988</w:t>
            </w:r>
          </w:p>
        </w:tc>
      </w:tr>
      <w:tr>
        <w:trPr>
          <w:trHeight w:val="31"/>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65,448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64,071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194,595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187,353</w:t>
            </w:r>
          </w:p>
        </w:tc>
      </w:tr>
      <w:tr>
        <w:trPr>
          <w:trHeight w:val="206"/>
        </w:trPr>
        <w:tc>
          <w:tcPr>
            <w:tcW w:w="448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1,923</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(620)</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(6,512)</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(5,356)</w:t>
            </w: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(2,282)</w:t>
            </w:r>
          </w:p>
        </w:tc>
      </w:tr>
      <w:tr>
        <w:trPr>
          <w:trHeight w:val="214"/>
        </w:trPr>
        <w:tc>
          <w:tcPr>
            <w:tcW w:w="44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income, net</w:t>
            </w:r>
          </w:p>
        </w:tc>
        <w:tc>
          <w:tcPr>
            <w:tcW w:w="3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3,215</w:t>
            </w: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(573)</w:t>
            </w:r>
          </w:p>
        </w:tc>
      </w:tr>
      <w:tr>
        <w:trPr>
          <w:trHeight w:val="206"/>
        </w:trPr>
        <w:tc>
          <w:tcPr>
            <w:tcW w:w="448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2,401</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(5,210)</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(4,996)</w:t>
            </w: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w:t>
            </w:r>
          </w:p>
        </w:tc>
      </w:tr>
      <w:tr>
        <w:trPr>
          <w:trHeight w:val="206"/>
        </w:trPr>
        <w:tc>
          <w:tcPr>
            <w:tcW w:w="448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2,401</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(5,210)</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(5,052)</w:t>
            </w: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 allocable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2,225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(4,313)</w:t>
            </w:r>
          </w:p>
        </w:tc>
      </w:tr>
      <w:tr>
        <w:trPr>
          <w:trHeight w:val="235"/>
        </w:trPr>
        <w:tc>
          <w:tcPr>
            <w:tcW w:w="448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Net income (loss) allocable to Brilliant Earth Group, Inc.</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176</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(739)</w:t>
            </w:r>
          </w:p>
        </w:tc>
      </w:tr>
      <w:tr>
        <w:trPr>
          <w:trHeight w:val="21"/>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5"/>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4"/>
        </w:trPr>
        <w:tc>
          <w:tcPr>
            <w:tcW w:w="44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0.01</w:t>
            </w:r>
          </w:p>
        </w:tc>
        <w:tc>
          <w:tcPr>
            <w:tcW w:w="8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8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(0.08)</w:t>
            </w:r>
          </w:p>
        </w:tc>
        <w:tc>
          <w:tcPr>
            <w:tcW w:w="10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(0.05)</w:t>
            </w: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0.02</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(0.05)</w:t>
            </w: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shares of common stock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1"/>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17,082,831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14,993,768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16,453,713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14,555,854</w:t>
            </w:r>
          </w:p>
        </w:tc>
      </w:tr>
      <w:tr>
        <w:trPr>
          <w:trHeight w:val="214"/>
        </w:trPr>
        <w:tc>
          <w:tcPr>
            <w:tcW w:w="44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102,095,687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14,993,768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16,453,713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14,555,854</w:t>
            </w:r>
          </w:p>
        </w:tc>
      </w:tr>
    </w:tbl>
    <w:p>
      <w:pPr>
        <w:spacing w:after="0" w:line="200" w:lineRule="exact"/>
        <w:rPr>
          <w:sz w:val="20"/>
          <w:szCs w:val="20"/>
          <w:color w:val="auto"/>
        </w:rPr>
      </w:pPr>
    </w:p>
    <w:p>
      <w:pPr>
        <w:spacing w:after="0" w:line="3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20"/>
          </w:cols>
          <w:pgMar w:left="320" w:top="132"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CHANGES IN STOCKHOLDERS' EQUITY</w:t>
      </w:r>
    </w:p>
    <w:p>
      <w:pPr>
        <w:spacing w:after="0" w:line="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34"/>
        </w:trPr>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10"/>
          </w:tcPr>
          <w:p>
            <w:pPr>
              <w:ind w:left="10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60" w:type="dxa"/>
            <w:vAlign w:val="bottom"/>
          </w:tcPr>
          <w:p>
            <w:pPr>
              <w:spacing w:after="0"/>
              <w:rPr>
                <w:sz w:val="12"/>
                <w:szCs w:val="12"/>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0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40" w:type="dxa"/>
            <w:vAlign w:val="bottom"/>
          </w:tcPr>
          <w:p>
            <w:pPr>
              <w:spacing w:after="0"/>
              <w:rPr>
                <w:sz w:val="12"/>
                <w:szCs w:val="12"/>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2026</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15,518,024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35,822,342</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16,024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(1,094)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(2,640)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12,301</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84,942,318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67,336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79,637</w:t>
            </w: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(1,365)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(1,365)</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644,968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1,528</w:t>
            </w: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1,528</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(1,511)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(1,511)</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(6,942)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(8,453)</w:t>
            </w: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controlling and non-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(913)</w:t>
            </w: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controlling interest</w:t>
            </w: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March 31,</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2026</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16,162,992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35,822,342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16,639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(1,094)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(4,151)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11,405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84,942,318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59,942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71,347</w:t>
            </w:r>
          </w:p>
        </w:tc>
        <w:tc>
          <w:tcPr>
            <w:tcW w:w="0" w:type="dxa"/>
            <w:vAlign w:val="bottom"/>
          </w:tcPr>
          <w:p>
            <w:pPr>
              <w:spacing w:after="0"/>
              <w:rPr>
                <w:sz w:val="1"/>
                <w:szCs w:val="1"/>
                <w:color w:val="auto"/>
              </w:rPr>
            </w:pPr>
          </w:p>
        </w:tc>
      </w:tr>
      <w:tr>
        <w:trPr>
          <w:trHeight w:val="12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(155)</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(155)</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717,485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1,278</w:t>
            </w: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1,278</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822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842</w:t>
            </w: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controlling and non-</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(549)</w:t>
            </w:r>
          </w:p>
        </w:tc>
        <w:tc>
          <w:tcPr>
            <w:tcW w:w="8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549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controlling interest</w:t>
            </w: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2026</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16,880,477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35,822,342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17,368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(1,094)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(4,131)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12,154</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84,942,318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61,158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73,312</w:t>
            </w:r>
          </w:p>
        </w:tc>
        <w:tc>
          <w:tcPr>
            <w:tcW w:w="0" w:type="dxa"/>
            <w:vAlign w:val="bottom"/>
          </w:tcPr>
          <w:p>
            <w:pPr>
              <w:spacing w:after="0"/>
              <w:rPr>
                <w:sz w:val="1"/>
                <w:szCs w:val="1"/>
                <w:color w:val="auto"/>
              </w:rPr>
            </w:pPr>
          </w:p>
        </w:tc>
      </w:tr>
      <w:tr>
        <w:trPr>
          <w:trHeight w:val="12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(2,693)</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(2,693)</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308,441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Conversion of Class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 to Class A common</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77,419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(77,419)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(77,419)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1,144</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1,144</w:t>
            </w:r>
          </w:p>
        </w:tc>
        <w:tc>
          <w:tcPr>
            <w:tcW w:w="0" w:type="dxa"/>
            <w:vAlign w:val="bottom"/>
          </w:tcPr>
          <w:p>
            <w:pPr>
              <w:spacing w:after="0"/>
              <w:rPr>
                <w:sz w:val="1"/>
                <w:szCs w:val="1"/>
                <w:color w:val="auto"/>
              </w:rPr>
            </w:pPr>
          </w:p>
        </w:tc>
      </w:tr>
      <w:tr>
        <w:trPr>
          <w:trHeight w:val="14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176</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2,401</w:t>
            </w: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controlling and non-</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(936)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(936)</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936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controlling interest</w:t>
            </w: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17,266,337</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35,744,923</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0"/>
                <w:szCs w:val="10"/>
                <w:color w:val="auto"/>
              </w:rPr>
            </w:pPr>
          </w:p>
        </w:tc>
        <w:tc>
          <w:tcPr>
            <w:tcW w:w="6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17,576</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(1,094)</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(3,955)</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12,538</w:t>
            </w:r>
          </w:p>
        </w:tc>
        <w:tc>
          <w:tcPr>
            <w:tcW w:w="80" w:type="dxa"/>
            <w:vAlign w:val="bottom"/>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84,864,899</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61,626</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74,164</w:t>
            </w:r>
          </w:p>
        </w:tc>
        <w:tc>
          <w:tcPr>
            <w:tcW w:w="0" w:type="dxa"/>
            <w:vAlign w:val="bottom"/>
          </w:tcPr>
          <w:p>
            <w:pPr>
              <w:spacing w:after="0"/>
              <w:rPr>
                <w:sz w:val="1"/>
                <w:szCs w:val="1"/>
                <w:color w:val="auto"/>
              </w:rPr>
            </w:pPr>
          </w:p>
        </w:tc>
      </w:tr>
      <w:tr>
        <w:trPr>
          <w:trHeight w:val="143"/>
        </w:trPr>
        <w:tc>
          <w:tcPr>
            <w:tcW w:w="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320" w:top="132"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CHANGES IN STOCKHOLDERS' EQUITY</w:t>
      </w:r>
    </w:p>
    <w:p>
      <w:pPr>
        <w:spacing w:after="0" w:line="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86" w:lineRule="exact"/>
        <w:rPr>
          <w:sz w:val="20"/>
          <w:szCs w:val="20"/>
          <w:color w:val="auto"/>
        </w:rPr>
      </w:pPr>
    </w:p>
    <w:tbl>
      <w:tblPr>
        <w:tblLayout w:type="fixed"/>
        <w:tblInd w:w="400" w:type="dxa"/>
        <w:tblCellMar>
          <w:top w:w="0" w:type="dxa"/>
          <w:left w:w="0" w:type="dxa"/>
          <w:bottom w:w="0" w:type="dxa"/>
          <w:right w:w="0" w:type="dxa"/>
        </w:tblCellMar>
      </w:tblPr>
      <w:tr>
        <w:trPr>
          <w:trHeight w:val="134"/>
        </w:trPr>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gridSpan w:val="10"/>
          </w:tcPr>
          <w:p>
            <w:pPr>
              <w:ind w:left="12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360" w:type="dxa"/>
            <w:vAlign w:val="bottom"/>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2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34"/>
        </w:trPr>
        <w:tc>
          <w:tcPr>
            <w:tcW w:w="1000" w:type="dxa"/>
            <w:vAlign w:val="bottom"/>
          </w:tcPr>
          <w:p>
            <w:pPr>
              <w:spacing w:after="0"/>
              <w:rPr>
                <w:sz w:val="11"/>
                <w:szCs w:val="11"/>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60" w:type="dxa"/>
            <w:vAlign w:val="bottom"/>
          </w:tcPr>
          <w:p>
            <w:pPr>
              <w:spacing w:after="0"/>
              <w:rPr>
                <w:sz w:val="11"/>
                <w:szCs w:val="11"/>
                <w:color w:val="auto"/>
              </w:rPr>
            </w:pP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34"/>
        </w:trPr>
        <w:tc>
          <w:tcPr>
            <w:tcW w:w="10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13,843,944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35,820,912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11,169</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4,788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15,329</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84,940,888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94,053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109,382</w:t>
            </w: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(5,349)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(5,349)</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of Class B</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 Class A common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2,700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(2,700)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(2,700)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661,156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Repurchases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(102,460)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B shares issued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upon vesting of LLC</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21,191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21,191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units</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2,342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2,342</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2,369</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(466)</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(2,801)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(3,267)</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controlling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(2,114)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(2,114)</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2,114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interests</w:t>
            </w: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March 31,</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14,405,340</w:t>
            </w:r>
          </w:p>
        </w:tc>
        <w:tc>
          <w:tcPr>
            <w:tcW w:w="80" w:type="dxa"/>
            <w:vAlign w:val="bottom"/>
          </w:tcPr>
          <w:p>
            <w:pPr>
              <w:spacing w:after="0"/>
              <w:rPr>
                <w:sz w:val="11"/>
                <w:szCs w:val="1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35,839,403</w:t>
            </w:r>
          </w:p>
        </w:tc>
        <w:tc>
          <w:tcPr>
            <w:tcW w:w="80" w:type="dxa"/>
            <w:vAlign w:val="bottom"/>
          </w:tcPr>
          <w:p>
            <w:pPr>
              <w:spacing w:after="0"/>
              <w:rPr>
                <w:sz w:val="11"/>
                <w:szCs w:val="1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Pr>
          <w:p>
            <w:pPr>
              <w:spacing w:after="0"/>
              <w:rPr>
                <w:sz w:val="11"/>
                <w:szCs w:val="1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11,397</w:t>
            </w:r>
          </w:p>
        </w:tc>
        <w:tc>
          <w:tcPr>
            <w:tcW w:w="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(801)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4,322</w:t>
            </w:r>
          </w:p>
        </w:tc>
        <w:tc>
          <w:tcPr>
            <w:tcW w:w="8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14,928</w:t>
            </w:r>
          </w:p>
        </w:tc>
        <w:tc>
          <w:tcPr>
            <w:tcW w:w="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84,959,379</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88,044</w:t>
            </w:r>
          </w:p>
        </w:tc>
        <w:tc>
          <w:tcPr>
            <w:tcW w:w="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102,972</w:t>
            </w:r>
          </w:p>
        </w:tc>
        <w:tc>
          <w:tcPr>
            <w:tcW w:w="0" w:type="dxa"/>
            <w:vAlign w:val="bottom"/>
          </w:tcPr>
          <w:p>
            <w:pPr>
              <w:spacing w:after="0"/>
              <w:rPr>
                <w:sz w:val="1"/>
                <w:szCs w:val="1"/>
                <w:color w:val="auto"/>
              </w:rPr>
            </w:pPr>
          </w:p>
        </w:tc>
      </w:tr>
      <w:tr>
        <w:trPr>
          <w:trHeight w:val="34"/>
        </w:trPr>
        <w:tc>
          <w:tcPr>
            <w:tcW w:w="10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(1,308)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(1,308)</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581,177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Repurchases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(132,124)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(197)</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B shares issued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upon vesting of LLC</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3,712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3,712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units</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2,318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2,318</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2,328</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(166)</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(1,113)</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controlling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(1,602)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(1,602)</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1,602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interests</w:t>
            </w: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June 30,</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14,854,393</w:t>
            </w:r>
          </w:p>
        </w:tc>
        <w:tc>
          <w:tcPr>
            <w:tcW w:w="80" w:type="dxa"/>
            <w:vAlign w:val="bottom"/>
          </w:tcPr>
          <w:p>
            <w:pPr>
              <w:spacing w:after="0"/>
              <w:rPr>
                <w:sz w:val="11"/>
                <w:szCs w:val="1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35,843,115</w:t>
            </w:r>
          </w:p>
        </w:tc>
        <w:tc>
          <w:tcPr>
            <w:tcW w:w="80" w:type="dxa"/>
            <w:vAlign w:val="bottom"/>
          </w:tcPr>
          <w:p>
            <w:pPr>
              <w:spacing w:after="0"/>
              <w:rPr>
                <w:sz w:val="11"/>
                <w:szCs w:val="1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Pr>
          <w:p>
            <w:pPr>
              <w:spacing w:after="0"/>
              <w:rPr>
                <w:sz w:val="11"/>
                <w:szCs w:val="1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12,113</w:t>
            </w:r>
          </w:p>
        </w:tc>
        <w:tc>
          <w:tcPr>
            <w:tcW w:w="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(998)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4,156</w:t>
            </w:r>
          </w:p>
        </w:tc>
        <w:tc>
          <w:tcPr>
            <w:tcW w:w="8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15,281</w:t>
            </w:r>
          </w:p>
        </w:tc>
        <w:tc>
          <w:tcPr>
            <w:tcW w:w="80" w:type="dxa"/>
            <w:vAlign w:val="bottom"/>
          </w:tcPr>
          <w:p>
            <w:pPr>
              <w:spacing w:after="0"/>
              <w:rPr>
                <w:sz w:val="11"/>
                <w:szCs w:val="11"/>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84,963,091</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87,401</w:t>
            </w:r>
          </w:p>
        </w:tc>
        <w:tc>
          <w:tcPr>
            <w:tcW w:w="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102,682</w:t>
            </w:r>
          </w:p>
        </w:tc>
        <w:tc>
          <w:tcPr>
            <w:tcW w:w="0" w:type="dxa"/>
            <w:vAlign w:val="bottom"/>
          </w:tcPr>
          <w:p>
            <w:pPr>
              <w:spacing w:after="0"/>
              <w:rPr>
                <w:sz w:val="1"/>
                <w:szCs w:val="1"/>
                <w:color w:val="auto"/>
              </w:rPr>
            </w:pPr>
          </w:p>
        </w:tc>
      </w:tr>
      <w:tr>
        <w:trPr>
          <w:trHeight w:val="34"/>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Dividends and</w:t>
            </w: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0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(21,323)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(21,323)</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members</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of Class B</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 Class A common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20,773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(20,773)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(20,773)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RSU vesting during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353,159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period</w:t>
            </w: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Repurchases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(58,112)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w:t>
            </w:r>
          </w:p>
        </w:tc>
        <w:tc>
          <w:tcPr>
            <w:tcW w:w="0" w:type="dxa"/>
            <w:vAlign w:val="bottom"/>
          </w:tcPr>
          <w:p>
            <w:pPr>
              <w:spacing w:after="0"/>
              <w:rPr>
                <w:sz w:val="1"/>
                <w:szCs w:val="1"/>
                <w:color w:val="auto"/>
              </w:rPr>
            </w:pPr>
          </w:p>
        </w:tc>
      </w:tr>
      <w:tr>
        <w:trPr>
          <w:trHeight w:val="14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stock</w:t>
            </w: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Equity-based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2,256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2,256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2,256</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compensation</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(565)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(672)</w:t>
            </w: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Dividends paid 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(3,793)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(3,793)</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(3,793)</w:t>
            </w:r>
          </w:p>
        </w:tc>
        <w:tc>
          <w:tcPr>
            <w:tcW w:w="0" w:type="dxa"/>
            <w:vAlign w:val="bottom"/>
          </w:tcPr>
          <w:p>
            <w:pPr>
              <w:spacing w:after="0"/>
              <w:rPr>
                <w:sz w:val="1"/>
                <w:szCs w:val="1"/>
                <w:color w:val="auto"/>
              </w:rPr>
            </w:pPr>
          </w:p>
        </w:tc>
      </w:tr>
      <w:tr>
        <w:trPr>
          <w:trHeight w:val="132"/>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w:t>
            </w: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Rebalancing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controlling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(1,562)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(1,562)</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1,562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interests</w:t>
            </w: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15,170,213</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35,822,342</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12,806</w:t>
            </w:r>
          </w:p>
        </w:tc>
        <w:tc>
          <w:tcPr>
            <w:tcW w:w="6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(1,094)</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256</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11,979</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84,942,318</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67,075</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79,054</w:t>
            </w:r>
          </w:p>
        </w:tc>
        <w:tc>
          <w:tcPr>
            <w:tcW w:w="0" w:type="dxa"/>
            <w:vAlign w:val="bottom"/>
          </w:tcPr>
          <w:p>
            <w:pPr>
              <w:spacing w:after="0"/>
              <w:rPr>
                <w:sz w:val="1"/>
                <w:szCs w:val="1"/>
                <w:color w:val="auto"/>
              </w:rPr>
            </w:pPr>
          </w:p>
        </w:tc>
      </w:tr>
      <w:tr>
        <w:trPr>
          <w:trHeight w:val="143"/>
        </w:trPr>
        <w:tc>
          <w:tcPr>
            <w:tcW w:w="1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ectPr>
          <w:pgSz w:w="11900" w:h="16838" w:orient="portrait"/>
          <w:cols w:equalWidth="0" w:num="1">
            <w:col w:w="10840"/>
          </w:cols>
          <w:pgMar w:left="320" w:top="132" w:right="7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132" w:right="7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CASH FLOWS</w:t>
      </w:r>
    </w:p>
    <w:p>
      <w:pPr>
        <w:spacing w:after="0" w:line="2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(Dollars in thousands)</w:t>
      </w:r>
    </w:p>
    <w:p>
      <w:pPr>
        <w:spacing w:after="0" w:line="6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33020</wp:posOffset>
            </wp:positionV>
            <wp:extent cx="216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16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5"/>
                <w:szCs w:val="15"/>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1"/>
        </w:trPr>
        <w:tc>
          <w:tcPr>
            <w:tcW w:w="7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0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cloud computing implementation costs</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expense</w:t>
            </w:r>
          </w:p>
        </w:tc>
        <w:tc>
          <w:tcPr>
            <w:tcW w:w="1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(11,063)</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2,551</w:t>
            </w: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w:t>
            </w:r>
          </w:p>
        </w:tc>
      </w:tr>
      <w:tr>
        <w:trPr>
          <w:trHeight w:val="190"/>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(2,646)</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(2,493)</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 on Class A common stock</w:t>
            </w:r>
          </w:p>
        </w:tc>
        <w:tc>
          <w:tcPr>
            <w:tcW w:w="1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(3,793)</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SVB Term Loan</w:t>
            </w:r>
          </w:p>
        </w:tc>
        <w:tc>
          <w:tcPr>
            <w:tcW w:w="1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(56,063)</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and TRA payments to members</w:t>
            </w:r>
          </w:p>
        </w:tc>
        <w:tc>
          <w:tcPr>
            <w:tcW w:w="1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(27,980)</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(4,248)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(88,423)</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(3,135)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(88,365)</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162,141</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12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76,303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73,776</w:t>
            </w:r>
          </w:p>
        </w:tc>
      </w:tr>
      <w:tr>
        <w:trPr>
          <w:trHeight w:val="22"/>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6"/>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76,176</w:t>
            </w:r>
          </w:p>
        </w:tc>
        <w:tc>
          <w:tcPr>
            <w:tcW w:w="10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73,429</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12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76,303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73,776</w:t>
            </w:r>
          </w:p>
        </w:tc>
      </w:tr>
      <w:tr>
        <w:trPr>
          <w:trHeight w:val="22"/>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7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12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deferred tax assets associated with redemption of LLC Units</w:t>
            </w:r>
          </w:p>
        </w:tc>
        <w:tc>
          <w:tcPr>
            <w:tcW w:w="1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 Obligation associated with redemption of LLC Units</w:t>
            </w:r>
          </w:p>
        </w:tc>
        <w:tc>
          <w:tcPr>
            <w:tcW w:w="1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22"/>
        </w:trPr>
        <w:tc>
          <w:tcPr>
            <w:tcW w:w="7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i w:val="1"/>
          <w:iCs w:val="1"/>
          <w:color w:val="auto"/>
        </w:rPr>
        <w:t xml:space="preserve">The accompanying notes are an integral part of these unaudited </w:t>
      </w:r>
      <w:r>
        <w:rPr>
          <w:rFonts w:ascii="Times New Roman" w:cs="Times New Roman" w:eastAsia="Times New Roman" w:hAnsi="Times New Roman"/>
          <w:sz w:val="15"/>
          <w:szCs w:val="15"/>
          <w:i w:val="1"/>
          <w:iCs w:val="1"/>
          <w:color w:val="auto"/>
        </w:rPr>
        <w:t>condensed consolidated financial statements.</w:t>
      </w:r>
    </w:p>
    <w:p>
      <w:pPr>
        <w:sectPr>
          <w:pgSz w:w="11900" w:h="16838" w:orient="portrait"/>
          <w:cols w:equalWidth="0" w:num="1">
            <w:col w:w="10740"/>
          </w:cols>
          <w:pgMar w:left="320" w:top="132" w:right="839" w:bottom="1440" w:gutter="0" w:footer="0" w:header="0"/>
        </w:sectPr>
      </w:pP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32" w:right="8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Brilliant Earth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UNAUDITED CONDENSED CONSOLIDATED FINANCIAL STATEMENTS</w:t>
      </w:r>
    </w:p>
    <w:p>
      <w:pPr>
        <w:spacing w:after="0" w:line="242" w:lineRule="exact"/>
        <w:rPr>
          <w:sz w:val="20"/>
          <w:szCs w:val="20"/>
          <w:color w:val="auto"/>
        </w:rPr>
      </w:pPr>
    </w:p>
    <w:p>
      <w:pPr>
        <w:ind w:left="200" w:hanging="197"/>
        <w:spacing w:after="0"/>
        <w:tabs>
          <w:tab w:leader="none" w:pos="2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DESCRIPTION OF BUSINESS AND SUMMARY OF SIGNIFICANT ACCOUNTING POLICIES</w:t>
      </w:r>
    </w:p>
    <w:p>
      <w:pPr>
        <w:spacing w:after="0" w:line="16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During the year ended December 31, 2025, Brilliant Earth Group, Inc.'s state of incorporation changed from the State of Delaware to the State of Nevada.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4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Company designs, procures and sells ethically sourced diamonds, gemstones and jewelry online and through showrooms operating within the United States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8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unaudited condensed consolidated financial statements have been prepared in accordance with U.S. generally accepted accounting principles (“GAAP”) and the requirements of the Securities and Exchange Commission (the “SEC”) for interim reporting. As permitted under those rules, certain footnotes or other financial information that are normally required by GAAP can be condensed or omitted. These interim results are not necessarily indicative of the results to be expected for the fiscal year ending December 31, 2026, or for any other interim period or for any other future year.</w:t>
      </w:r>
    </w:p>
    <w:p>
      <w:pPr>
        <w:spacing w:after="0" w:line="14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has been derived from the audited consolidated financial statements of the Company, which are included in the Company's Annual Report on Form 10-K for the year ended December 31, 2025 (the “2025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GAAP applicable to interim periods. These unaudited condensed consolidated financial statements should be read in conjunction with the audited consolidated financial statements and the related notes thereto as of and for the year ended December 31, 2025, as disclosed in the 2025 Form 10-K.</w:t>
      </w:r>
    </w:p>
    <w:p>
      <w:pPr>
        <w:spacing w:after="0" w:line="19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There have been no material changes or updates to the Company's significant accounting policies from those described in the audited consolidated financial statements included in the 2025 Form 10-K except for any updates noted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 and Non-Controlling Interest</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unaudited condensed consolidated financial statements include the accounts of the Company and its controlled subsidiary, Brilliant Earth, LLC. All intercompany balances and transactions have been eliminated in consolidation.</w:t>
      </w:r>
    </w:p>
    <w:p>
      <w:pPr>
        <w:spacing w:after="0" w:line="12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non-controlling interest on the unaudited condensed consolidated statements of operations represents the portion of income or loss attributable to the economic interest in Brilliant Earth, LLC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As of September 30, 2026, the non-controlling interest was 83.1%.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25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useful lives and depreciation of long-lived assets, estimates of current and deferred income taxes, and deferred income tax valuation allowances. Actual results could differ materially from those estimates. On an ongoing basis, the Company reviews its estimates to ensure that they appropriately reflect changes in its business or new information available.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8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Company is required to disclose its estimate of the fair value of material financial instruments, including those recorded as assets or liabilities in its financial statements, in accordance with GAAP.</w:t>
      </w:r>
    </w:p>
    <w:p>
      <w:pPr>
        <w:spacing w:after="0" w:line="14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At September 30, 2026 and December 31, 2025, there were no material financial instruments (assets or liabilities) measured at fair value on a recurring basis.</w:t>
      </w:r>
    </w:p>
    <w:p>
      <w:pPr>
        <w:spacing w:after="0" w:line="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The carrying amounts of cash and cash equivalents, restricted cash, accounts payable and accrued expenses and other current liabilities approximate fair value due to their short-term maturities.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As of September 30, 2026 and December 31, 2025, money market fund accounts included in cash equivalents were $57.6 million and $33.9 million, respectively, and classified as Level 1 financial instruments as defined in the fair value hierarchy. The Company recognized interest income of $0.5 million and $1.3 million for the three and nine months ended September 30, 2026, respectively, and $0.8 million and $3.2 million for the three and nine months ended September 30, 2025, respectively. Interest income is included in other income, net in the unaudited condensed consolidated statements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23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The Company operates in one operating and reporting segment, which is the retail sale of diamonds, gemstones and jewelry. See Note 3, </w:t>
      </w:r>
      <w:r>
        <w:rPr>
          <w:rFonts w:ascii="Times New Roman" w:cs="Times New Roman" w:eastAsia="Times New Roman" w:hAnsi="Times New Roman"/>
          <w:sz w:val="19"/>
          <w:szCs w:val="19"/>
          <w:i w:val="1"/>
          <w:iCs w:val="1"/>
          <w:color w:val="auto"/>
        </w:rPr>
        <w:t>Revenue</w:t>
      </w:r>
      <w:r>
        <w:rPr>
          <w:rFonts w:ascii="Times New Roman" w:cs="Times New Roman" w:eastAsia="Times New Roman" w:hAnsi="Times New Roman"/>
          <w:sz w:val="19"/>
          <w:szCs w:val="19"/>
          <w:color w:val="auto"/>
        </w:rPr>
        <w:t>, for disclosure of total net sales by geography. The Company’s chief operating decision maker (“CODM”), the Chief Executive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(“CEO”), has chosen to review financial information presented on a consolidated basis for purposes of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operating decisions and assessing financial performance. The CODM utilizes net (loss) income to assess financial performance and allocate resources.</w:t>
      </w:r>
    </w:p>
    <w:p>
      <w:pPr>
        <w:spacing w:after="0" w:line="16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CODM is provided with and uses the consolidated balance sheet information as is presented in the unaudited condensed consolidated balance sheets.</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CODM is provided with and uses the consolidated statement of operations information as is presented in the unaudited condensed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Pronouncements Issued but Not Yet Adopted</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In November 2024, the FASB issued authoritative guidance related to disclosure of additional information about specific expense categories related to cost of sales and operating expenses in the notes to financial statements at interim and annual reporting periods. This guidance will be effective for fiscal years beginning after December 15, 2026, and interim periods within fiscal years beginning after December 15, 2027. Early adoption is permitted and should be applied on a prospective basis. We do not expect this standard to have a material impact on our consolidated financial statements, but will require increased disclosures within the notes to our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EARNINGS PER SHARE</w:t>
      </w:r>
    </w:p>
    <w:p>
      <w:pPr>
        <w:spacing w:after="0" w:line="200" w:lineRule="exact"/>
        <w:rPr>
          <w:sz w:val="20"/>
          <w:szCs w:val="20"/>
          <w:color w:val="auto"/>
        </w:rPr>
      </w:pPr>
    </w:p>
    <w:p>
      <w:pPr>
        <w:spacing w:after="0" w:line="21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Basic earnings per share is computed by dividing net income (loss) applicable to Brilliant Earth Group, Inc. by the weighted average shares of Class A common stock outstanding (and Class D common stock, if outstanding) during the period. Diluted earnings per share is computed by adjusting the net loss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19"/>
        <w:spacing w:after="0" w:line="276" w:lineRule="auto"/>
        <w:rPr>
          <w:sz w:val="20"/>
          <w:szCs w:val="20"/>
          <w:color w:val="auto"/>
        </w:rPr>
      </w:pPr>
      <w:r>
        <w:rPr>
          <w:rFonts w:ascii="Times New Roman" w:cs="Times New Roman" w:eastAsia="Times New Roman" w:hAnsi="Times New Roman"/>
          <w:sz w:val="19"/>
          <w:szCs w:val="19"/>
          <w:color w:val="auto"/>
        </w:rPr>
        <w:t>Basic and diluted earnings per share of Class A common stock have been computed as follows (in thousands, except share and per share amounts):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income (loss) attributable to Brilliant Earth Group, Inc.,</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60" w:right="140" w:hanging="76"/>
        <w:spacing w:after="0" w:line="292" w:lineRule="auto"/>
        <w:rPr>
          <w:sz w:val="20"/>
          <w:szCs w:val="20"/>
          <w:color w:val="auto"/>
        </w:rPr>
      </w:pPr>
      <w:r>
        <w:rPr>
          <w:rFonts w:ascii="Times New Roman" w:cs="Times New Roman" w:eastAsia="Times New Roman" w:hAnsi="Times New Roman"/>
          <w:sz w:val="17"/>
          <w:szCs w:val="17"/>
          <w:color w:val="auto"/>
        </w:rPr>
        <w:t>Add: Net income (loss) impact from assumed redemption of all LLC Units to common stock</w:t>
      </w:r>
    </w:p>
    <w:p>
      <w:pPr>
        <w:spacing w:after="0" w:line="1" w:lineRule="exact"/>
        <w:rPr>
          <w:sz w:val="20"/>
          <w:szCs w:val="20"/>
          <w:color w:val="auto"/>
        </w:rPr>
      </w:pPr>
    </w:p>
    <w:p>
      <w:pPr>
        <w:ind w:left="480" w:right="200" w:hanging="154"/>
        <w:spacing w:after="0" w:line="292" w:lineRule="auto"/>
        <w:rPr>
          <w:sz w:val="20"/>
          <w:szCs w:val="20"/>
          <w:color w:val="auto"/>
        </w:rPr>
      </w:pPr>
      <w:r>
        <w:rPr>
          <w:rFonts w:ascii="Times New Roman" w:cs="Times New Roman" w:eastAsia="Times New Roman" w:hAnsi="Times New Roman"/>
          <w:sz w:val="17"/>
          <w:szCs w:val="17"/>
          <w:color w:val="auto"/>
        </w:rPr>
        <w:t>Add (less): Income tax benefit (expense) on net (loss) income attributable to NCI</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5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 (loss) attributable to Brilliant Earth Group, Inc.,</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after adjustment for assumed conversion, DILUTED</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4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Dilutive effects of:</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Vested LLC Units that are exchangeable for common</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stock</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RSUs</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4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4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70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7"/>
        </w:trPr>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1040" w:type="dxa"/>
            <w:vAlign w:val="bottom"/>
            <w:vMerge w:val="restart"/>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3"/>
              </w:rPr>
              <w:t>2026</w:t>
            </w:r>
          </w:p>
        </w:tc>
        <w:tc>
          <w:tcPr>
            <w:tcW w:w="540" w:type="dxa"/>
            <w:vAlign w:val="bottom"/>
          </w:tcPr>
          <w:p>
            <w:pPr>
              <w:spacing w:after="0"/>
              <w:rPr>
                <w:sz w:val="3"/>
                <w:szCs w:val="3"/>
                <w:color w:val="auto"/>
              </w:rPr>
            </w:pPr>
          </w:p>
        </w:tc>
        <w:tc>
          <w:tcPr>
            <w:tcW w:w="102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9"/>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176</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Pr>
          <w:p>
            <w:pPr>
              <w:spacing w:after="0"/>
              <w:rPr>
                <w:sz w:val="24"/>
                <w:szCs w:val="24"/>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477"/>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2,225</w:t>
            </w:r>
          </w:p>
        </w:tc>
        <w:tc>
          <w:tcPr>
            <w:tcW w:w="5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7"/>
        </w:trPr>
        <w:tc>
          <w:tcPr>
            <w:tcW w:w="10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(560)</w:t>
            </w:r>
          </w:p>
        </w:tc>
        <w:tc>
          <w:tcPr>
            <w:tcW w:w="5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1,841</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Pr>
          <w:p>
            <w:pPr>
              <w:spacing w:after="0"/>
              <w:rPr>
                <w:sz w:val="24"/>
                <w:szCs w:val="24"/>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17,082,831</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14,993,768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16,453,713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14,555,854</w:t>
            </w:r>
          </w:p>
        </w:tc>
        <w:tc>
          <w:tcPr>
            <w:tcW w:w="0" w:type="dxa"/>
            <w:vAlign w:val="bottom"/>
          </w:tcPr>
          <w:p>
            <w:pPr>
              <w:spacing w:after="0"/>
              <w:rPr>
                <w:sz w:val="1"/>
                <w:szCs w:val="1"/>
                <w:color w:val="auto"/>
              </w:rPr>
            </w:pPr>
          </w:p>
        </w:tc>
      </w:tr>
      <w:tr>
        <w:trPr>
          <w:trHeight w:val="748"/>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84,887,480</w:t>
            </w:r>
          </w:p>
        </w:tc>
        <w:tc>
          <w:tcPr>
            <w:tcW w:w="5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125,376</w:t>
            </w:r>
          </w:p>
        </w:tc>
        <w:tc>
          <w:tcPr>
            <w:tcW w:w="5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102,095,687</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14,993,768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16,453,713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14,555,854</w:t>
            </w:r>
          </w:p>
        </w:tc>
        <w:tc>
          <w:tcPr>
            <w:tcW w:w="0" w:type="dxa"/>
            <w:vAlign w:val="bottom"/>
          </w:tcPr>
          <w:p>
            <w:pPr>
              <w:spacing w:after="0"/>
              <w:rPr>
                <w:sz w:val="1"/>
                <w:szCs w:val="1"/>
                <w:color w:val="auto"/>
              </w:rPr>
            </w:pPr>
          </w:p>
        </w:tc>
      </w:tr>
      <w:tr>
        <w:trPr>
          <w:trHeight w:val="38"/>
        </w:trPr>
        <w:tc>
          <w:tcPr>
            <w:tcW w:w="1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0.01</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4"/>
                <w:szCs w:val="24"/>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24"/>
                <w:szCs w:val="24"/>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71"/>
        </w:trPr>
        <w:tc>
          <w:tcPr>
            <w:tcW w:w="10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0.02</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3"/>
                <w:szCs w:val="23"/>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23"/>
                <w:szCs w:val="23"/>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-2676525</wp:posOffset>
            </wp:positionV>
            <wp:extent cx="7138670" cy="2529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52984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-3282315</wp:posOffset>
            </wp:positionV>
            <wp:extent cx="7138670" cy="302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30289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-3462655</wp:posOffset>
            </wp:positionV>
            <wp:extent cx="2046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520"/>
            <w:col w:w="5940"/>
          </w:cols>
          <w:pgMar w:left="320" w:top="132" w:right="3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For the three months ended September 30, 2026, net income attributable to the non-controlling interest is added back to net income in the fully dilutive computation and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158"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For the three and nine months ended September 30, 2025 and the nine months ended September 30, 2026, the dilutive earnings per share calculation excludes the loss impact from assumed redemption of all LLC Units and any income tax impact on the net loss attributable to the non-controlling interest since the Company is in a net loss position and these adjustments would be antidilutive.</w:t>
      </w:r>
    </w:p>
    <w:p>
      <w:pPr>
        <w:spacing w:after="0" w:line="187"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For the three and nine months ended September 30, 2025 and the nine months ended September 30, 2026, the dilutive impact of LLC Units, unvested LLC Units, and RSUs was not included in the computation of diluted earnings per share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three months ended September 30, 2026, the dilutive impact of LLC Units convertible into common stock was included in the computation of diluted earnings per share under the if-converted method, except where the effect would be anti-dilutive. The dilutive impact of RSUs was included using the treasury stock method, except when the effect would be anti-dilutive.</w:t>
      </w:r>
    </w:p>
    <w:p>
      <w:pPr>
        <w:spacing w:after="0" w:line="14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presents the securities for the three and nine months ended September 30, 2026 and 2025, that have been excluded from the computations of earnings per share because such impact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540" w:type="dxa"/>
            <w:vAlign w:val="bottom"/>
            <w:gridSpan w:val="3"/>
          </w:tcPr>
          <w:p>
            <w:pPr>
              <w:jc w:val="center"/>
              <w:ind w:left="9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60" w:type="dxa"/>
            <w:vAlign w:val="bottom"/>
          </w:tcPr>
          <w:p>
            <w:pPr>
              <w:spacing w:after="0"/>
              <w:rPr>
                <w:sz w:val="19"/>
                <w:szCs w:val="19"/>
                <w:color w:val="auto"/>
              </w:rPr>
            </w:pPr>
          </w:p>
        </w:tc>
      </w:tr>
      <w:tr>
        <w:trPr>
          <w:trHeight w:val="227"/>
        </w:trPr>
        <w:tc>
          <w:tcPr>
            <w:tcW w:w="4500" w:type="dxa"/>
            <w:vAlign w:val="bottom"/>
          </w:tcPr>
          <w:p>
            <w:pPr>
              <w:spacing w:after="0"/>
              <w:rPr>
                <w:sz w:val="19"/>
                <w:szCs w:val="19"/>
                <w:color w:val="auto"/>
              </w:rPr>
            </w:pPr>
          </w:p>
        </w:tc>
        <w:tc>
          <w:tcPr>
            <w:tcW w:w="2100" w:type="dxa"/>
            <w:vAlign w:val="bottom"/>
            <w:gridSpan w:val="3"/>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3"/>
          </w:tcPr>
          <w:p>
            <w:pPr>
              <w:jc w:val="center"/>
              <w:ind w:left="9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Pr>
          <w:p>
            <w:pPr>
              <w:spacing w:after="0"/>
              <w:rPr>
                <w:sz w:val="19"/>
                <w:szCs w:val="19"/>
                <w:color w:val="auto"/>
              </w:rPr>
            </w:pPr>
          </w:p>
        </w:tc>
      </w:tr>
      <w:tr>
        <w:trPr>
          <w:trHeight w:val="38"/>
        </w:trPr>
        <w:tc>
          <w:tcPr>
            <w:tcW w:w="45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5"/>
        </w:trPr>
        <w:tc>
          <w:tcPr>
            <w:tcW w:w="4500" w:type="dxa"/>
            <w:vAlign w:val="bottom"/>
          </w:tcPr>
          <w:p>
            <w:pPr>
              <w:spacing w:after="0"/>
              <w:rPr>
                <w:sz w:val="19"/>
                <w:szCs w:val="19"/>
                <w:color w:val="auto"/>
              </w:rPr>
            </w:pPr>
          </w:p>
        </w:tc>
        <w:tc>
          <w:tcPr>
            <w:tcW w:w="14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76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38"/>
        </w:trPr>
        <w:tc>
          <w:tcPr>
            <w:tcW w:w="45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4"/>
        </w:trPr>
        <w:tc>
          <w:tcPr>
            <w:tcW w:w="4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 LLC Units</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84,944,802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84,923,838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84,951,274</w:t>
            </w:r>
          </w:p>
        </w:tc>
      </w:tr>
      <w:tr>
        <w:trPr>
          <w:trHeight w:val="232"/>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1,893,030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4,097,173</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2,337,672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4,006,162</w:t>
            </w:r>
          </w:p>
        </w:tc>
      </w:tr>
      <w:tr>
        <w:trPr>
          <w:trHeight w:val="38"/>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1"/>
        </w:trPr>
        <w:tc>
          <w:tcPr>
            <w:tcW w:w="4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655,873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665,905</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656,502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665,905</w:t>
            </w:r>
          </w:p>
        </w:tc>
      </w:tr>
      <w:tr>
        <w:trPr>
          <w:trHeight w:val="232"/>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Unvested LLC Units</w:t>
            </w:r>
          </w:p>
        </w:tc>
        <w:tc>
          <w:tcPr>
            <w:tcW w:w="210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540" w:type="dxa"/>
            <w:vAlign w:val="bottom"/>
            <w:gridSpan w:val="3"/>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REVENUE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Revenue</w:t>
      </w:r>
    </w:p>
    <w:p>
      <w:pPr>
        <w:spacing w:after="0" w:line="185" w:lineRule="exact"/>
        <w:rPr>
          <w:sz w:val="20"/>
          <w:szCs w:val="20"/>
          <w:color w:val="auto"/>
        </w:rPr>
      </w:pPr>
    </w:p>
    <w:p>
      <w:pPr>
        <w:ind w:right="920" w:firstLine="619"/>
        <w:spacing w:after="0" w:line="269" w:lineRule="auto"/>
        <w:rPr>
          <w:sz w:val="20"/>
          <w:szCs w:val="20"/>
          <w:color w:val="auto"/>
        </w:rPr>
      </w:pPr>
      <w:r>
        <w:rPr>
          <w:rFonts w:ascii="Times New Roman" w:cs="Times New Roman" w:eastAsia="Times New Roman" w:hAnsi="Times New Roman"/>
          <w:sz w:val="19"/>
          <w:szCs w:val="19"/>
          <w:color w:val="auto"/>
        </w:rPr>
        <w:t>The following table discloses total net sales by geography for the three and nine months ended September 30, 2026 and 2025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c>
          <w:tcPr>
            <w:tcW w:w="1040" w:type="dxa"/>
            <w:vAlign w:val="bottom"/>
          </w:tcPr>
          <w:p>
            <w:pPr>
              <w:spacing w:after="0"/>
              <w:rPr>
                <w:sz w:val="17"/>
                <w:szCs w:val="17"/>
                <w:color w:val="auto"/>
              </w:rPr>
            </w:pPr>
          </w:p>
        </w:tc>
      </w:tr>
      <w:tr>
        <w:trPr>
          <w:trHeight w:val="227"/>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Pr>
          <w:p>
            <w:pPr>
              <w:spacing w:after="0"/>
              <w:rPr>
                <w:sz w:val="19"/>
                <w:szCs w:val="19"/>
                <w:color w:val="auto"/>
              </w:rPr>
            </w:pPr>
          </w:p>
        </w:tc>
      </w:tr>
      <w:tr>
        <w:trPr>
          <w:trHeight w:val="51"/>
        </w:trPr>
        <w:tc>
          <w:tcPr>
            <w:tcW w:w="44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5"/>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38"/>
        </w:trPr>
        <w:tc>
          <w:tcPr>
            <w:tcW w:w="4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108,990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318,028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301,715</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11,357</w:t>
            </w:r>
          </w:p>
        </w:tc>
      </w:tr>
      <w:tr>
        <w:trPr>
          <w:trHeight w:val="38"/>
        </w:trPr>
        <w:tc>
          <w:tcPr>
            <w:tcW w:w="4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8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112,808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110,252</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327,423</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313,072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Balances</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Transactions where payment has been received from customers, but control has not transferred, are recorded as customer deposits in deferred revenue and revenue recognition is deferred until delivery has occurred.</w:t>
      </w:r>
    </w:p>
    <w:p>
      <w:pPr>
        <w:spacing w:after="0" w:line="10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September 30, 2026, December 31, 2025, and December 31, 2024, total deferred revenue that includes our contract balances was $24.1 million, $22.7 million, and $18.9 million, respectively.</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During the three months ended September 30, 2026 and 2025, the Company recognized $25.1 million and $19.9 million, respectively, of revenue that was deferred as of June 30, 2026 and June 30, 2025, respectively.</w:t>
      </w:r>
    </w:p>
    <w:p>
      <w:pPr>
        <w:spacing w:after="0" w:line="19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During the nine months ended September 30, 2026 and 2025, the Company recognized $21.9 million and $18.4 million, respectively, of revenue that was deferred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Sales Returns and Allowances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As of September 30, 2026 and December 31, 2025, refund liabilities balances were $1.6 million and $3.5 million, respectively, and are included as a provision for sales returns and allowances within accrued expenses and other current liabilities in the unaudited condensed consolidated balance sheets.</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September 30, 2026 and December 31, 2025, returns asset balances were $0.6 million and $1.5 million, respectively, and are included within prepaid expenses and other current assets in the unaudited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INVENTORIES, NET</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Inventories, net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7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Loose diamonds</w:t>
            </w:r>
          </w:p>
        </w:tc>
        <w:tc>
          <w:tcPr>
            <w:tcW w:w="178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11,834</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Fine jewelry and other</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42,187</w:t>
            </w:r>
          </w:p>
        </w:tc>
      </w:tr>
      <w:tr>
        <w:trPr>
          <w:trHeight w:val="38"/>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inventory obsolescence</w:t>
            </w:r>
          </w:p>
        </w:tc>
        <w:tc>
          <w:tcPr>
            <w:tcW w:w="17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inventories, net</w:t>
            </w:r>
          </w:p>
        </w:tc>
        <w:tc>
          <w:tcPr>
            <w:tcW w:w="1780" w:type="dxa"/>
            <w:vAlign w:val="bottom"/>
            <w:tcBorders>
              <w:top w:val="single" w:sz="8" w:color="auto"/>
              <w:bottom w:val="single" w:sz="8" w:color="auto"/>
            </w:tcBorders>
          </w:tcPr>
          <w:p>
            <w:pPr>
              <w:jc w:val="right"/>
              <w:ind w:right="15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50,332</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53,238</w:t>
            </w:r>
          </w:p>
        </w:tc>
      </w:tr>
      <w:tr>
        <w:trPr>
          <w:trHeight w:val="25"/>
        </w:trPr>
        <w:tc>
          <w:tcPr>
            <w:tcW w:w="63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allowance for inventory obsolescence consists of the following (in thousands):</w:t>
      </w:r>
    </w:p>
    <w:p>
      <w:pPr>
        <w:spacing w:after="0" w:line="298"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39370</wp:posOffset>
            </wp:positionV>
            <wp:extent cx="3102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8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allowance for inventory obsolescence</w:t>
            </w:r>
          </w:p>
        </w:tc>
        <w:tc>
          <w:tcPr>
            <w:tcW w:w="1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(980)</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September 30, 2026 and December 31, 2025, the Company had $16.5 million and $12.6 million, respectively, in consigned inventory held on behalf of suppliers which is not recorded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ACCRUED EXPENSES AND OTHER CURRENT LIABILITIES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Accrued expenses and other current liabilities consist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78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expenses</w:t>
            </w:r>
          </w:p>
        </w:tc>
        <w:tc>
          <w:tcPr>
            <w:tcW w:w="178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13,681</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expenses</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7,571</w:t>
            </w:r>
          </w:p>
        </w:tc>
      </w:tr>
      <w:tr>
        <w:trPr>
          <w:trHeight w:val="38"/>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other tax payable accrual</w:t>
            </w:r>
          </w:p>
        </w:tc>
        <w:tc>
          <w:tcPr>
            <w:tcW w:w="17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sales returns and allowances</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r>
      <w:tr>
        <w:trPr>
          <w:trHeight w:val="38"/>
        </w:trPr>
        <w:tc>
          <w:tcPr>
            <w:tcW w:w="6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TRA</w:t>
            </w:r>
          </w:p>
        </w:tc>
        <w:tc>
          <w:tcPr>
            <w:tcW w:w="1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6,220</w:t>
            </w:r>
          </w:p>
        </w:tc>
      </w:tr>
      <w:tr>
        <w:trPr>
          <w:trHeight w:val="38"/>
        </w:trPr>
        <w:tc>
          <w:tcPr>
            <w:tcW w:w="63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1780" w:type="dxa"/>
            <w:vAlign w:val="bottom"/>
            <w:tcBorders>
              <w:bottom w:val="single" w:sz="8" w:color="auto"/>
            </w:tcBorders>
            <w:shd w:val="clear" w:color="auto" w:fill="CCEEFF"/>
          </w:tcPr>
          <w:p>
            <w:pPr>
              <w:jc w:val="right"/>
              <w:ind w:right="15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28,078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Included in accrued expenses and other current liabilities is a provision for sales returns and allowances. Returns are estimated based on past experience and current expectations and are recorded as an adjustment to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provision for sales returns and allowances consists of the following (in thousands):</w:t>
      </w:r>
    </w:p>
    <w:p>
      <w:pPr>
        <w:spacing w:after="0" w:line="28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39370</wp:posOffset>
            </wp:positionV>
            <wp:extent cx="3102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580" w:type="dxa"/>
            <w:vAlign w:val="bottom"/>
            <w:tcBorders>
              <w:bottom w:val="single" w:sz="8" w:color="CCEEFF"/>
            </w:tcBorders>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20,572</w:t>
            </w:r>
          </w:p>
        </w:tc>
      </w:tr>
      <w:tr>
        <w:trPr>
          <w:trHeight w:val="38"/>
        </w:trPr>
        <w:tc>
          <w:tcPr>
            <w:tcW w:w="6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Returns and allowances</w:t>
            </w:r>
          </w:p>
        </w:tc>
        <w:tc>
          <w:tcPr>
            <w:tcW w:w="15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(24,198)</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(21,921)</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580" w:type="dxa"/>
            <w:vAlign w:val="bottom"/>
            <w:tcBorders>
              <w:top w:val="single" w:sz="8" w:color="auto"/>
              <w:bottom w:val="single" w:sz="8" w:color="auto"/>
            </w:tcBorders>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1,557</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1,520</w:t>
            </w:r>
          </w:p>
        </w:tc>
      </w:tr>
      <w:tr>
        <w:trPr>
          <w:trHeight w:val="25"/>
        </w:trPr>
        <w:tc>
          <w:tcPr>
            <w:tcW w:w="6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LEASES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Total operating lease costs were as follows (in thousands):</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9"/>
        </w:trPr>
        <w:tc>
          <w:tcPr>
            <w:tcW w:w="1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81"/>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19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81"/>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38"/>
        </w:trPr>
        <w:tc>
          <w:tcPr>
            <w:tcW w:w="1940" w:type="dxa"/>
            <w:vAlign w:val="bottom"/>
          </w:tcPr>
          <w:p>
            <w:pPr>
              <w:spacing w:after="0"/>
              <w:rPr>
                <w:sz w:val="3"/>
                <w:szCs w:val="3"/>
                <w:color w:val="auto"/>
              </w:rPr>
            </w:pPr>
          </w:p>
        </w:tc>
        <w:tc>
          <w:tcPr>
            <w:tcW w:w="412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2"/>
        </w:trPr>
        <w:tc>
          <w:tcPr>
            <w:tcW w:w="1940" w:type="dxa"/>
            <w:vAlign w:val="bottom"/>
          </w:tcPr>
          <w:p>
            <w:pPr>
              <w:spacing w:after="0"/>
              <w:rPr>
                <w:sz w:val="20"/>
                <w:szCs w:val="20"/>
                <w:color w:val="auto"/>
              </w:rPr>
            </w:pPr>
          </w:p>
        </w:tc>
        <w:tc>
          <w:tcPr>
            <w:tcW w:w="4120" w:type="dxa"/>
            <w:vAlign w:val="bottom"/>
            <w:gridSpan w:val="2"/>
          </w:tcPr>
          <w:p>
            <w:pPr>
              <w:ind w:left="156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40" w:type="dxa"/>
            <w:vAlign w:val="bottom"/>
          </w:tcPr>
          <w:p>
            <w:pPr>
              <w:spacing w:after="0"/>
              <w:rPr>
                <w:sz w:val="20"/>
                <w:szCs w:val="20"/>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1"/>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6,571</w:t>
            </w:r>
          </w:p>
        </w:tc>
      </w:tr>
      <w:tr>
        <w:trPr>
          <w:trHeight w:val="214"/>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4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205</w:t>
            </w:r>
          </w:p>
        </w:tc>
      </w:tr>
      <w:tr>
        <w:trPr>
          <w:trHeight w:val="31"/>
        </w:trPr>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1,429</w:t>
            </w:r>
          </w:p>
        </w:tc>
      </w:tr>
      <w:tr>
        <w:trPr>
          <w:trHeight w:val="214"/>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4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142</w:t>
            </w:r>
          </w:p>
        </w:tc>
      </w:tr>
      <w:tr>
        <w:trPr>
          <w:trHeight w:val="31"/>
        </w:trPr>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Sublease income</w:t>
            </w: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35"/>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costs</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2,945</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2,759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8,729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8,188</w:t>
            </w:r>
          </w:p>
        </w:tc>
      </w:tr>
      <w:tr>
        <w:trPr>
          <w:trHeight w:val="21"/>
        </w:trPr>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680" w:firstLine="619"/>
        <w:spacing w:after="0" w:line="283" w:lineRule="auto"/>
        <w:rPr>
          <w:sz w:val="20"/>
          <w:szCs w:val="20"/>
          <w:color w:val="auto"/>
        </w:rPr>
      </w:pPr>
      <w:r>
        <w:rPr>
          <w:rFonts w:ascii="Times New Roman" w:cs="Times New Roman" w:eastAsia="Times New Roman" w:hAnsi="Times New Roman"/>
          <w:sz w:val="19"/>
          <w:szCs w:val="19"/>
          <w:color w:val="auto"/>
        </w:rPr>
        <w:t>Cash paid for amounts included in the measurement of lease liabilities was $7.6 million and $7.2 million for the nine months ended September 30, 2026 and 2025, respectively.</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maturity analysis of the operating lease liabilities as of September 30, 2026 was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 the remainder of the year ending December 31, 2026</w:t>
            </w:r>
          </w:p>
        </w:tc>
        <w:tc>
          <w:tcPr>
            <w:tcW w:w="52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1,800</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2027</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10,971</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2028</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10,119</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2029</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8,924</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2030</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7,237</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2031</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5,647</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Thereafter</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6,223</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minimum lease payments</w:t>
            </w:r>
          </w:p>
        </w:tc>
        <w:tc>
          <w:tcPr>
            <w:tcW w:w="5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50,921</w:t>
            </w:r>
          </w:p>
        </w:tc>
      </w:tr>
      <w:tr>
        <w:trPr>
          <w:trHeight w:val="214"/>
        </w:trPr>
        <w:tc>
          <w:tcPr>
            <w:tcW w:w="8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imputed interest</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(8,246)</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present value of operating lease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42,675</w:t>
            </w:r>
          </w:p>
        </w:tc>
      </w:tr>
      <w:tr>
        <w:trPr>
          <w:trHeight w:val="214"/>
        </w:trPr>
        <w:tc>
          <w:tcPr>
            <w:tcW w:w="8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current portion</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(7,517)</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0"/>
        </w:trPr>
        <w:tc>
          <w:tcPr>
            <w:tcW w:w="8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Long-term portion</w:t>
            </w:r>
          </w:p>
        </w:tc>
        <w:tc>
          <w:tcPr>
            <w:tcW w:w="52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35,158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weighted-average remaining lease term and weighted-average discount rate on long-term leases were as follows:</w:t>
      </w:r>
    </w:p>
    <w:p>
      <w:pPr>
        <w:spacing w:after="0" w:line="6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39370</wp:posOffset>
            </wp:positionV>
            <wp:extent cx="28816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760" w:type="dxa"/>
            <w:vAlign w:val="bottom"/>
          </w:tcPr>
          <w:p>
            <w:pPr>
              <w:spacing w:after="0"/>
              <w:rPr>
                <w:sz w:val="19"/>
                <w:szCs w:val="19"/>
                <w:color w:val="auto"/>
              </w:rPr>
            </w:pPr>
          </w:p>
        </w:tc>
        <w:tc>
          <w:tcPr>
            <w:tcW w:w="2320" w:type="dxa"/>
            <w:vAlign w:val="bottom"/>
            <w:gridSpan w:val="2"/>
          </w:tcPr>
          <w:p>
            <w:pPr>
              <w:jc w:val="right"/>
              <w:ind w:right="86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70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1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 - operating leases</w:t>
            </w:r>
          </w:p>
        </w:tc>
        <w:tc>
          <w:tcPr>
            <w:tcW w:w="80" w:type="dxa"/>
            <w:vAlign w:val="bottom"/>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years</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years</w:t>
            </w:r>
          </w:p>
        </w:tc>
      </w:tr>
      <w:tr>
        <w:trPr>
          <w:trHeight w:val="214"/>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 - operating leases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EQUITY-BASED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Grants of Restricted Stock Units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the activity related to the Company's restricted stock units (“RSUs”) for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30, 2026: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278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 average grant date fair</w:t>
            </w:r>
          </w:p>
        </w:tc>
        <w:tc>
          <w:tcPr>
            <w:tcW w:w="0" w:type="dxa"/>
            <w:vAlign w:val="bottom"/>
          </w:tcPr>
          <w:p>
            <w:pPr>
              <w:spacing w:after="0"/>
              <w:rPr>
                <w:sz w:val="1"/>
                <w:szCs w:val="1"/>
                <w:color w:val="auto"/>
              </w:rPr>
            </w:pPr>
          </w:p>
        </w:tc>
      </w:tr>
      <w:tr>
        <w:trPr>
          <w:trHeight w:val="227"/>
        </w:trPr>
        <w:tc>
          <w:tcPr>
            <w:tcW w:w="5580" w:type="dxa"/>
            <w:vAlign w:val="bottom"/>
          </w:tcPr>
          <w:p>
            <w:pPr>
              <w:spacing w:after="0"/>
              <w:rPr>
                <w:sz w:val="19"/>
                <w:szCs w:val="19"/>
                <w:color w:val="auto"/>
              </w:rPr>
            </w:pPr>
          </w:p>
        </w:tc>
        <w:tc>
          <w:tcPr>
            <w:tcW w:w="2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111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5"/>
        </w:trPr>
        <w:tc>
          <w:tcPr>
            <w:tcW w:w="558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 unvested</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3,611,467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1,455,963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(1,670,894)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3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(247,374)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38"/>
        </w:trPr>
        <w:tc>
          <w:tcPr>
            <w:tcW w:w="5580" w:type="dxa"/>
            <w:vAlign w:val="bottom"/>
            <w:tcBorders>
              <w:bottom w:val="single" w:sz="8" w:color="CCEEFF"/>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 unvested</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3,149,162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Total compensation expense for RSUs was $1.1 million and $3.9 million for the three and nine months ended September 30, 2026, respectively, and $2.3 million and $6.8 million for the three and nine months ended September 30, 2025, respectively, and is included in general and administrative expenses in the unaudited condensed consolidated statements of operations.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September 30, 2026, total compensation cost related to unvested RSUs not yet recognized is $5.4 million and is expected to be recognized over a weighted-average period of approximately 2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INCOME TAXES AND TAX RECEIVABLE AGREEMENT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 of Income Taxes</w:t>
      </w:r>
    </w:p>
    <w:p>
      <w:pPr>
        <w:spacing w:after="0" w:line="23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income taxed to the non-controlling interest holders is not reported by the Company in its unaudited condensed consolidated financial statements under GAAP.</w:t>
      </w:r>
    </w:p>
    <w:p>
      <w:pPr>
        <w:spacing w:after="0" w:line="19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Provision and Deferred Tax Asset</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At the end of each interim period, Brilliant Earth Group, Inc. estimates the effective tax rate expected to be applicable for the full fiscal year. This differs from the method utilized at the end of an annual period. The Company's effective tax rates of 0% and (1.12)% for the nine months ended September 30, 2026 and 2025, respectively, differ from the U.S. federal statutory tax rate of 21% primarily due to income associated with the non-controlling interest, state tax expense and other permanent items.</w:t>
      </w:r>
    </w:p>
    <w:p>
      <w:pPr>
        <w:spacing w:after="0" w:line="20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Company recognized a net change to its deferred tax asset and the related deferred tax asset valuation allowance of $0.2 million during the nine months ended September 30, 2026. The decrease primarily related to changes in the outside basis difference of Brilliant Earth Group, Inc.'s investment in Brilliant Earth, LLC.</w:t>
      </w:r>
    </w:p>
    <w:p>
      <w:pPr>
        <w:spacing w:after="0" w:line="20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 assessing the realizability of deferred tax assets for the nine months ended September 30, 2026, management determined that it was more likely than not that the deferred tax assets will not be realized, and accordingly, has continued to record a full valuation allowance.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23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As each of the Continuing Equity Owners elects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Internal Revenue Code of 1986, as amended. The Company will only recognize a deferred tax asset for financial reporting purposes when it is more likely than not that the tax benefit will be realized.</w:t>
      </w:r>
    </w:p>
    <w:p>
      <w:pPr>
        <w:spacing w:after="0" w:line="19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 addition, as part of the IPO, the Company entered into the TRA with the Continuing Equity Owners to pay 85% of the tax savings from the tax basis adjustment to them as such savings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stockholders' equity, and the effects of changes in any of our estimates after this date will be included in net loss. Similarly, the effect of subsequent changes in the enacted tax rates will be included in net loss. In connection with the Company concluding it was more likely than not that its deferred tax assets would not be realized and a full valuation allowance for its deferred tax assets was required, it was also determined a TRA liability was not probable at the current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In the ordinary course of business, the Company may be subject from time to time to various proceedings, lawsuits, disputes or claims. In addition, the Company is regularly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Cusimano v. Brilliant Earth</w:t>
      </w: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and rest breaks, reimbursement of business expenses, wage statements and records, and other similar allegations. </w:t>
      </w:r>
      <w:r>
        <w:rPr>
          <w:rFonts w:ascii="Arial" w:cs="Arial" w:eastAsia="Arial" w:hAnsi="Arial"/>
          <w:sz w:val="20"/>
          <w:szCs w:val="20"/>
          <w:color w:val="auto"/>
        </w:rPr>
        <w:t>T</w:t>
      </w:r>
      <w:r>
        <w:rPr>
          <w:rFonts w:ascii="Times New Roman" w:cs="Times New Roman" w:eastAsia="Times New Roman" w:hAnsi="Times New Roman"/>
          <w:sz w:val="19"/>
          <w:szCs w:val="19"/>
          <w:color w:val="auto"/>
        </w:rPr>
        <w:t>he parties reached an agreement to resolve the matter and, as of March 26, 2026, executed a stipulation of settlement and release of claims</w:t>
      </w:r>
      <w:r>
        <w:rPr>
          <w:rFonts w:ascii="Times New Roman" w:cs="Times New Roman" w:eastAsia="Times New Roman" w:hAnsi="Times New Roman"/>
          <w:sz w:val="19"/>
          <w:szCs w:val="19"/>
          <w:color w:val="51A7F9"/>
        </w:rPr>
        <w:t>.</w:t>
      </w:r>
      <w:r>
        <w:rPr>
          <w:rFonts w:ascii="Times New Roman" w:cs="Times New Roman" w:eastAsia="Times New Roman" w:hAnsi="Times New Roman"/>
          <w:sz w:val="19"/>
          <w:szCs w:val="19"/>
          <w:color w:val="auto"/>
        </w:rPr>
        <w:t xml:space="preserve"> On July 28, 2026, the court preliminarily approved the stipulation of settlement and scheduled a hearing on final approval for December 2, 2026. There can be no assurance that the settlement will receive final approval from the court. If the settlement receives final approval,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Eguiarte v. Brilliant Earth, LLC</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September 9, 2026, plaintiff Elisa Eguiarte filed a putative class action against Brilliant Earth, LLC, a subsidiary of the Company, in the U.S. District Court for the Northern District of California. The plaintiff is a California resident who alleges she purchased products on the Company’s website, and that third-party advertising and analytics technologies on the Company’s website, including those provided by Meta, Google, TikTok, and OpenAI, intercepted and disclosed to those parties certain information without consent and in violation of California and federal law. The complaint purports to assert claims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behalf of putative classes of U.S. and California residents who accessed the website, for violations of the Electronic Communications Privacy Act and the California Invasion of Privacy Act, the California Comprehensive Computer Data Access and Fraud Act, and the California Constitution. The complaint purports to seek, among other things, statutory, compensatory, and punitive damages; equitable, declaratory, and injunctive relief; as well as interest, attorneys’ fees, and costs. As of the date of this filing, the Company’s response to the complaint is not yet due. The Company intends to vigorously defend the claims. Litigation is inherently uncertain, however, and at this time the Company is unable to predict the outcome of this matter or to estimate the amount or range of any potential loss.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33"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2025, as disclosed in our 2025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Cautionary Note Regarding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in this Quarterly Report on Form 10-Q and Part I, Item 1A.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in our 2025 Form 10-K. We assume no obligation to update any of these forward-looking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Overview</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20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0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Below is a summary of our performance for the three months ended September 30, 2026:</w:t>
      </w:r>
    </w:p>
    <w:p>
      <w:pPr>
        <w:spacing w:after="0" w:line="246"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sales of $112.8 million, up 2.3% compared to $110.3 million for the three months ended September 30, 2025;</w:t>
      </w:r>
    </w:p>
    <w:p>
      <w:pPr>
        <w:spacing w:after="0" w:line="2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of $2.4 million, up 457.3% compared to net loss of $0.7 million for the three months ended September 30, 2025;</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margin of 2.1%, compared to net loss margin of 0.6% for the three months ended September 30, 2025;</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$5.1 million, up 43.7% compared to $3.6 million for the three months ended September 30, 2025; and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margin of 4.5%, compared to 3.2% for the three months ended September 30, 2025.</w:t>
      </w: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Below is a summary of our performance for the nine months ended September 30, 2026:</w:t>
      </w:r>
    </w:p>
    <w:p>
      <w:pPr>
        <w:spacing w:after="0" w:line="23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sales of $327.4 million, up 4.6% compared to $313.1 million for the nine months ended September 30, 2025;</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$5.2 million, an increase in net loss of 3.1% compared to net loss of $5.1 million for the nine months ended September 30, 2025;</w:t>
      </w:r>
    </w:p>
    <w:p>
      <w:pPr>
        <w:spacing w:after="0" w:line="19" w:lineRule="exact"/>
        <w:rPr>
          <w:rFonts w:ascii="Times New Roman" w:cs="Times New Roman" w:eastAsia="Times New Roman" w:hAnsi="Times New Roman"/>
          <w:sz w:val="18"/>
          <w:szCs w:val="18"/>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margin of 1.6%, compared to net loss margin of 1.6% for the nine months ended September 30, 2025;</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$6.2 million, down 20.9% compared to $7.8 million for the nine months ended September 30, 2025; and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margin of 1.9%, compared to 2.5% for the nine months ended September 30, 2025.</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We operate in one operating and reporting segment, the retail sale of diamonds, gemstones and jewelry.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Factors Affecting Our Performance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Increase Brand Awareness</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Cost-Effective Acquisition of New Customers and Retention of Existing Customers</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on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Continue Successfully Growing and Managing our Omnichannel Presence</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drive future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Successfully Introduce New Products</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partnerships and brand collaborations will also expand our reach, broaden our existing assortment, and reinforce our brand ethos.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International Expansion</w:t>
      </w:r>
    </w:p>
    <w:p>
      <w:pPr>
        <w:spacing w:after="0" w:line="23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are in the early stages of selling globally, and a larger geographic footprint will help drive future growth. Our proof-points from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and Marketing Efficiency</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non-restricted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capital-efficient operating model and driving continued operational improvement as we expand to new locations.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Macroeconomic Trends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believe we are well 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Increases in prices of gold, platinum and other precious metals have also had an impact on our materials costs and have the potential to further impact our business. In addition, many of the materials that go into our products are sourced and manufactured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Any deterioration in macroeconomic conditions resulting from uncertainties and effects from tariffs, increases in the costs of materials, especially of gold, platinum and other precious metals, increased congestion and/or new import/export restrictions at ports that we rely on for our business, delays or disruptions in the delivery of materials, or increases in costs of the delivery of materials could adversely impact our business, financial condition, and operating results.</w:t>
      </w:r>
    </w:p>
    <w:p>
      <w:pPr>
        <w:spacing w:after="0" w:line="212"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U.S. federal government has in the past experienced, and may in the future experience, shutdowns, funding gaps, or other fiscal disruptions. Such disruptions may result in broader economic uncertainty that could affect demand for our products, disrupt supply chains, or result in reduced discretionary spending by our customers.</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current inflationary environment and changes in macro-level consumer spending trends, due to volatile macroeconomic conditions, have had a negative impact on sales and could further negatively impact our operating results.</w:t>
      </w:r>
    </w:p>
    <w:p>
      <w:pPr>
        <w:spacing w:after="0" w:line="19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In addition, changes in the interest rate environment have impacted the Company's interest income earned on its cash balances. To the extent we need to raise additional capital in the future, prevailing interest rates and capital market conditions, including any tightening of credit availability, could affect the terms on which financing may be available,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Seasonality</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 larger share of our annual revenues and profits traditionally occurs in the fourth quarter because it includes the November and December holiday sales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Results of Operations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For a description of the components of our results of operations, refer to Part II, Item 7, “Management’s Discussion and Analysis of Financial Condition and Results of Operations” of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results of operations data in the following table for the periods presented have been derived from the unaudited condensed consolidated financial statements included elsewhere in this Quarterly Report on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Three Months Ended September 30, 2026 and 2025</w:t>
      </w:r>
    </w:p>
    <w:p>
      <w:pPr>
        <w:spacing w:after="0" w:line="26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for the three months ended September 30, 2026 and 2025, including amounts and percentages of net sales for each period and the period-to-period change in dollars and percent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60" w:type="dxa"/>
            <w:vAlign w:val="bottom"/>
            <w:gridSpan w:val="9"/>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Period change</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67,371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63,451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advertising</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25"/>
        </w:trPr>
        <w:tc>
          <w:tcPr>
            <w:tcW w:w="3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64,071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410.2 %</w:t>
            </w: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482.3 %</w:t>
            </w: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457.3 %</w:t>
            </w: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allocable to non-controlling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493.8 %</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income (loss) allocable to Brilliant Earth</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264.5 %</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Group, Inc.</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Net sales for the three months ended September 30, 2026 increased by $2.6 million, or 2.3%, compared to the three months ended September 30, 2025. The increase in net sales was due to an increase of 5.6% in order volumes partially offset by a decrease of 3.1% in AOV.</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5.6% increase in order volumes was due to comparatively stronger performance in fine jewelry and wedding and anniversary bands.</w:t>
      </w:r>
    </w:p>
    <w:p>
      <w:pPr>
        <w:spacing w:after="0" w:line="246"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decrease in AOV was driven by a larger sales mix of lower-priced items across our product offerings, including fine jewelry and lower year-over-year average selling prices in engagement rings, partially offset by selective price increases as a result of the higher cost of precious metals.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Gross profit for the three months ended September 30, 2026 increased by $3.9 million, or 6.2%, compared to the three months ended September 30, 2025. Gross margin, expressed as a percentage and calculated as gross profit divided by net sales, increased by 210 basis points for the three months ended September 30, 2026 compared to the three months ended September 30, 2025. The increase in gross margin was largely driven by the continued optimization of our pricing engine, procurement efficiencies, and other efforts to mitigate the impact of tariffs and higher metal costs, partially offset by costs related to higher gold and platinum prices and a comparatively higher mix of lower gross margin products.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3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Operating expenses for the three months ended September 30, 2026 increased by $1.4 million, or 2.1%, compared to the three months ended September 30, 2025. Operating expenses as a percentage of net sales decreased by 10 basis points for the three months ended September 30, 2026 compared to the three months ended September 30, 2025. The increase in operating expenses was primarily driven by an increase in other general and administrative expenses of $1.4 million.</w:t>
      </w:r>
    </w:p>
    <w:p>
      <w:pPr>
        <w:spacing w:after="0" w:line="20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increase in other general and administrative expenses was primarily driven by an increase in information technology and other software-related costs, an increase in rent and lease-related expenses and increases in sales-related variable expenses. These increases were partially offset by a decrease in professional fees as compared to the three months ended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Expense</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Interest expense for the three months ended September 30, 2026 decreased by $0.3 million, or 100.0%, compared to the three months ended September 30, 2025, due to the prepayment of all principal amounts outstanding of $34.8 million under the SVB Term Loan in August 2025. As a result of the prepayment, the Company recognized a loss on debt extinguishment of $0.6 million associated with the write-off of unamortized debt issuance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23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Other income, net for the three months ended September 30, 2026 decreased by $0.4 million, or 42.9%, compared to the three months ended September 30, 2025, primarily due to decreased interest income earned on our cash balances. Additionally, this amount includes immaterial losses on exchange rates on consumer payments and other miscellaneous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 Expense</w:t>
      </w:r>
    </w:p>
    <w:p>
      <w:pPr>
        <w:spacing w:after="0" w:line="25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decrease in Brilliant Earth Group, Inc.'s income tax expense of $44 thousand for the three months ended September 30, 2026 compared to the three months ended September 30, 2025 was primarily due to changes in deferred taxes related to the outside basis difference of Brilliant Earth Group, Inc.'s investment in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Nine Months Ended September 30, 2026 and 2025</w:t>
      </w:r>
    </w:p>
    <w:p>
      <w:pPr>
        <w:spacing w:after="0" w:line="265"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for the nine months ended September 30, 2026 and 2025, including amounts and percentages of net sales for each period and the period-to-period change in dollars and percent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0" w:type="dxa"/>
            <w:vAlign w:val="bottom"/>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Period change</w:t>
            </w: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8"/>
        </w:trPr>
        <w:tc>
          <w:tcPr>
            <w:tcW w:w="3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181,997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6,086</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advertising</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6,531</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225"/>
        </w:trPr>
        <w:tc>
          <w:tcPr>
            <w:tcW w:w="3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187,353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39"/>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31"/>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20"/>
                <w:szCs w:val="20"/>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allocable to non-controlling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77"/>
        </w:trPr>
        <w:tc>
          <w:tcPr>
            <w:tcW w:w="3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 allocable to Brilliant Earth Group,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23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Net sales for the nine months ended September 30, 2026 increased by $14.4 million, or 4.6%, compared to the nine months ended September 30, 2025. The increase in net sales was due to an increase of 2.6% in AOV and an increase of 1.9% in order volumes.</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increase in AOV was driven by selective price increases as a result of the rising cost of precious metals, partially offset by a larger sales mix of lower-priced items across our product offerings, including fine jewelry.</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1.9% increase in order volumes was due to comparatively stronger performance in fine jewelry and wedding and anniversary bands.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23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Gross profit for the nine months ended September 30, 2026 increased by $6.1 million, or 3.3%, compared to the nine months ended September 30, 2025. Gross margin, expressed as a percentage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calculated as gross profit divided by net sales, decreased by 70 basis points for the nine months ended September 30, 2026 compared to the nine months ended September 30, 2025, primarily driven by costs related to higher gold and platinum prices and a comparatively higher mix of lower gross margin products. Those were partially offset by the continued optimization of our pricing engine, procurement efficiencies, and other efforts to mitigate the impact of tariffs and higher metal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Operating expenses for the nine months ended September 30, 2026 increased by $7.2 million, or 3.9%, compared to the nine months ended September 30, 2025. Operating expenses as a percentage of net sales decreased by 40 basis points for the nine months ended September 30, 2026 compared to the nine months ended September 30, 2025. The increase in operating expenses was primarily driven by an increase in other general and administrative expenses of $5.2 million, an increase in employment expenses of $1.3 million, and an increase in marketing expenses of $0.7 million for the period.</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increase in other general and administrative expenses was primarily driven by an increase in information technology and other software-related costs, which included a $1.8 million charge for write-off of information technology projects, an increase in donation expense, and an increase in rent and lease-related expenses. The increase in employment expenses was primarily driven by an increase in salaries and wages and other benefits expense primarily due to the addition of sales staffing to support our growth. The increase in employment expenses was partially offset by a decrease in equity-based compensation. These increases were partially offset by a decrease in professional fees and showroom pre-opening expenses as compared to the nine months ended September 30,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Expense</w:t>
      </w:r>
    </w:p>
    <w:p>
      <w:pPr>
        <w:spacing w:after="0" w:line="26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Interest expense for the nine months ended September 30, 2026 decreased by $2.3 million, or 100.0%, compared to the nine months ended September 30, 2025, due to the prepayment of all principal amounts outstanding of $34.8 million under the SVB Term Loan in August 2025. As a result of the prepayment, the Company recognized a loss on debt extinguishment of $0.6 million associated with the write-off of unamortized debt issuance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25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Other income, net for the nine months ended September 30, 2026 decreased by $1.9 million, or 59.5%, compared to the nine months ended September 30, 2025, primarily due to decreased interest income earned on our cash balances. Additionally, this amount includes immaterial losses on exchange rates on consumer payments and other miscellaneous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 Expense</w:t>
      </w:r>
    </w:p>
    <w:p>
      <w:pPr>
        <w:spacing w:after="0" w:line="23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decrease in Brilliant Earth Group, Inc.'s income tax expense of $56 thousand for the nine months ended September 30, 2026 compared to the nine months ended September 30, 2025 was primarily due to changes in deferred taxes related to the outside basis difference of Brilliant Earth Group, Inc.'s investment in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Metrics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our key performance metrics for the periods presented (dollars in thousands, except for AOV):</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20" w:type="dxa"/>
            <w:vAlign w:val="bottom"/>
          </w:tcPr>
          <w:p>
            <w:pPr>
              <w:spacing w:after="0"/>
              <w:rPr>
                <w:sz w:val="19"/>
                <w:szCs w:val="19"/>
                <w:color w:val="auto"/>
              </w:rPr>
            </w:pPr>
          </w:p>
        </w:tc>
      </w:tr>
      <w:tr>
        <w:trPr>
          <w:trHeight w:val="227"/>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Pr>
          <w:p>
            <w:pPr>
              <w:spacing w:after="0"/>
              <w:rPr>
                <w:sz w:val="19"/>
                <w:szCs w:val="19"/>
                <w:color w:val="auto"/>
              </w:rPr>
            </w:pPr>
          </w:p>
        </w:tc>
      </w:tr>
      <w:tr>
        <w:trPr>
          <w:trHeight w:val="25"/>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40" w:type="dxa"/>
            <w:vAlign w:val="bottom"/>
          </w:tcPr>
          <w:p>
            <w:pPr>
              <w:spacing w:after="0"/>
              <w:rPr>
                <w:sz w:val="20"/>
                <w:szCs w:val="20"/>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31"/>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112,808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110,252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2,556</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327,423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313,072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r>
      <w:tr>
        <w:trPr>
          <w:trHeight w:val="214"/>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Orders</w:t>
            </w:r>
          </w:p>
        </w:tc>
        <w:tc>
          <w:tcPr>
            <w:tcW w:w="20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52,720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31"/>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AOV</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31"/>
        </w:trPr>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Total Orders</w:t>
      </w:r>
    </w:p>
    <w:p>
      <w:pPr>
        <w:spacing w:after="0" w:line="26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Average Order Value</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23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Adjusted EBITDA and Adjusted EBITDA Margin</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Adjusted EBITDA and Adjusted EBITDA margin, which are non-GAAP financial measures, are included in this Quarterly Report on Form 10-Q because they are used by management and our board of directors to assess our financial performance. We define Adjusted EBITDA as net income (loss)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(loss) that may vary substantially in frequency and magnitude from period to period. These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Adjusted EBITDA and Adjusted EBITDA margin to its most directly comparable GAAP financial measure, net income (loss) and net income (loss)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2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presents a reconciliation of net income (loss) and net income (loss) margin, the most comparable GAAP financial measures, to Adjusted EBITDA and Adjusted EBITDA margin, respectively, for the periods presented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00" w:type="dxa"/>
            <w:vAlign w:val="bottom"/>
          </w:tcPr>
          <w:p>
            <w:pPr>
              <w:spacing w:after="0"/>
              <w:rPr>
                <w:sz w:val="19"/>
                <w:szCs w:val="19"/>
                <w:color w:val="auto"/>
              </w:rPr>
            </w:pPr>
          </w:p>
        </w:tc>
        <w:tc>
          <w:tcPr>
            <w:tcW w:w="2860" w:type="dxa"/>
            <w:vAlign w:val="bottom"/>
            <w:gridSpan w:val="4"/>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38"/>
        </w:trPr>
        <w:tc>
          <w:tcPr>
            <w:tcW w:w="39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2,401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(5,052)</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0"/>
                <w:szCs w:val="20"/>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0"/>
                <w:szCs w:val="20"/>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1060" w:type="dxa"/>
            <w:vAlign w:val="bottom"/>
          </w:tcPr>
          <w:p>
            <w:pPr>
              <w:spacing w:after="0"/>
              <w:rPr>
                <w:sz w:val="20"/>
                <w:szCs w:val="20"/>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1,710</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9"/>
              </w:rPr>
              <w:t>1,549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4,979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4,581</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cloud-based software implementation</w:t>
            </w:r>
          </w:p>
        </w:tc>
        <w:tc>
          <w:tcPr>
            <w:tcW w:w="10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0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 pre-opening expense</w:t>
            </w:r>
          </w:p>
        </w:tc>
        <w:tc>
          <w:tcPr>
            <w:tcW w:w="1060" w:type="dxa"/>
            <w:vAlign w:val="bottom"/>
          </w:tcPr>
          <w:p>
            <w:pPr>
              <w:spacing w:after="0"/>
              <w:rPr>
                <w:sz w:val="20"/>
                <w:szCs w:val="20"/>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1,144</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9"/>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6,953</w:t>
            </w:r>
          </w:p>
        </w:tc>
        <w:tc>
          <w:tcPr>
            <w:tcW w:w="0" w:type="dxa"/>
            <w:vAlign w:val="bottom"/>
          </w:tcPr>
          <w:p>
            <w:pPr>
              <w:spacing w:after="0"/>
              <w:rPr>
                <w:sz w:val="1"/>
                <w:szCs w:val="1"/>
                <w:color w:val="auto"/>
              </w:rPr>
            </w:pPr>
          </w:p>
        </w:tc>
      </w:tr>
      <w:tr>
        <w:trPr>
          <w:trHeight w:val="271"/>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(1)</w:t>
            </w:r>
          </w:p>
        </w:tc>
        <w:tc>
          <w:tcPr>
            <w:tcW w:w="1060" w:type="dxa"/>
            <w:vAlign w:val="bottom"/>
          </w:tcPr>
          <w:p>
            <w:pPr>
              <w:spacing w:after="0"/>
              <w:rPr>
                <w:sz w:val="23"/>
                <w:szCs w:val="23"/>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(3,215)</w:t>
            </w:r>
          </w:p>
        </w:tc>
        <w:tc>
          <w:tcPr>
            <w:tcW w:w="0" w:type="dxa"/>
            <w:vAlign w:val="bottom"/>
          </w:tcPr>
          <w:p>
            <w:pPr>
              <w:spacing w:after="0"/>
              <w:rPr>
                <w:sz w:val="1"/>
                <w:szCs w:val="1"/>
                <w:color w:val="auto"/>
              </w:rPr>
            </w:pPr>
          </w:p>
        </w:tc>
      </w:tr>
      <w:tr>
        <w:trPr>
          <w:trHeight w:val="25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573</w:t>
            </w:r>
          </w:p>
        </w:tc>
        <w:tc>
          <w:tcPr>
            <w:tcW w:w="0" w:type="dxa"/>
            <w:vAlign w:val="bottom"/>
          </w:tcPr>
          <w:p>
            <w:pPr>
              <w:spacing w:after="0"/>
              <w:rPr>
                <w:sz w:val="1"/>
                <w:szCs w:val="1"/>
                <w:color w:val="auto"/>
              </w:rPr>
            </w:pPr>
          </w:p>
        </w:tc>
      </w:tr>
      <w:tr>
        <w:trPr>
          <w:trHeight w:val="271"/>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2"/>
                <w:szCs w:val="22"/>
                <w:color w:val="auto"/>
                <w:vertAlign w:val="superscript"/>
              </w:rPr>
              <w:t>(2)</w:t>
            </w:r>
          </w:p>
        </w:tc>
        <w:tc>
          <w:tcPr>
            <w:tcW w:w="1060" w:type="dxa"/>
            <w:vAlign w:val="bottom"/>
          </w:tcPr>
          <w:p>
            <w:pPr>
              <w:spacing w:after="0"/>
              <w:rPr>
                <w:sz w:val="23"/>
                <w:szCs w:val="23"/>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3"/>
                <w:szCs w:val="23"/>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3"/>
                <w:szCs w:val="23"/>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2,420</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06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5,118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9"/>
              </w:rPr>
              <w:t>3,561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6,183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7,821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margin</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2.1 %</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margin</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4.5 %</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2.5 %</w:t>
            </w:r>
          </w:p>
        </w:tc>
        <w:tc>
          <w:tcPr>
            <w:tcW w:w="0" w:type="dxa"/>
            <w:vAlign w:val="bottom"/>
          </w:tcPr>
          <w:p>
            <w:pPr>
              <w:spacing w:after="0"/>
              <w:rPr>
                <w:sz w:val="1"/>
                <w:szCs w:val="1"/>
                <w:color w:val="auto"/>
              </w:rPr>
            </w:pPr>
          </w:p>
        </w:tc>
      </w:tr>
      <w:tr>
        <w:trPr>
          <w:trHeight w:val="38"/>
        </w:trPr>
        <w:tc>
          <w:tcPr>
            <w:tcW w:w="39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hanging="197"/>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and other miscellaneous income, partially offset by expenses such as losses on exchange rates on consumer payments.</w:t>
      </w:r>
    </w:p>
    <w:p>
      <w:pPr>
        <w:spacing w:after="0" w:line="148" w:lineRule="exact"/>
        <w:rPr>
          <w:rFonts w:ascii="Times New Roman" w:cs="Times New Roman" w:eastAsia="Times New Roman" w:hAnsi="Times New Roman"/>
          <w:sz w:val="14"/>
          <w:szCs w:val="14"/>
          <w:color w:val="auto"/>
        </w:rPr>
      </w:pPr>
    </w:p>
    <w:p>
      <w:pPr>
        <w:ind w:right="620" w:firstLine="3"/>
        <w:spacing w:after="0" w:line="275" w:lineRule="auto"/>
        <w:tabs>
          <w:tab w:leader="none" w:pos="19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expenses are those that we did not incur in the normal course of business. For the nine months ended September 30, 2026, these expenses include a $1.8 million charge for write-off of information technology projects and a $0.6 million charitable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Our primary requirements for liquidity and capital are for purchases of inventory, payment of operating expenses, tax distributions to Continuing Equity Owners,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payments from customers prior to payment of suppliers. As of September 30, 2026, we had a cash balance, excluding restricted cash, of $76.2 million, and negative working capital, excluding unrestricted cash, of $24.3 million.</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the nine months ended September 30, 2026, the Company declared and paid $4.2 million of distributions to, or on behalf of, members associated with their estimated income tax obligations pursuant to the LLC Agreement. We are committed to continue to make quarterly distributions in connection with member estimated income tax obligations which we expect to fund with cash flow from operations.</w:t>
      </w:r>
    </w:p>
    <w:p>
      <w:pPr>
        <w:spacing w:after="0" w:line="18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believe, based on our current projections, that we have sufficient sources of liquidity to meet our projected operating and tax distribution requirements for at least the next 12 months following the filing of this Quarterly Report on Form 10-Q.</w:t>
      </w:r>
    </w:p>
    <w:p>
      <w:pPr>
        <w:spacing w:after="0" w:line="18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Additional future liquidity needs may also include payments under the TRA, and state and federal taxes to the extent not offset by our deferred income tax assets, including those arising as a result of purchases or exchanges of common units for Class A and Class D common stock. As of September 30, 2026 and December 31, 2025, there was no long-term TRA liability reflected on the Company's consolidated balance sheet. For similar reasons that led the Company to record a full valuation allowance on the deferred tax assets during the fourth quarter of 2025, we evaluated the probability of amounts being owed pursuant to the TRA and determined the likelihood of a future liability was not probable at that time. We are currently unable to determine the total future amounts of these payments due to the unpredictable nature of factors such as timing of future exchanges, the market price of the Class A common stock at the time of the exchanges, the extent to which the exchanges are taxable and the amount and timing of future taxable income sufficient to utilize tax savings that give rise to the payments under the TRA.</w:t>
      </w:r>
    </w:p>
    <w:p>
      <w:pPr>
        <w:spacing w:after="0" w:line="20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new debt financing would result in debt service obligations, and any future instruments governing such debt could provide for operating and financing covenants that could restrict our operations. We cannot ensure that we could obtain new debt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 Analysis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our cash flows for the nine months ended September 30, 2026 and 2025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3540" w:type="dxa"/>
            <w:vAlign w:val="bottom"/>
            <w:gridSpan w:val="5"/>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38"/>
        </w:trPr>
        <w:tc>
          <w:tcPr>
            <w:tcW w:w="76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5"/>
        </w:trPr>
        <w:tc>
          <w:tcPr>
            <w:tcW w:w="7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76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w:t>
            </w:r>
          </w:p>
        </w:tc>
      </w:tr>
      <w:tr>
        <w:trPr>
          <w:trHeight w:val="38"/>
        </w:trPr>
        <w:tc>
          <w:tcPr>
            <w:tcW w:w="7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(88,423)</w:t>
            </w:r>
          </w:p>
        </w:tc>
      </w:tr>
      <w:tr>
        <w:trPr>
          <w:trHeight w:val="20"/>
        </w:trPr>
        <w:tc>
          <w:tcPr>
            <w:tcW w:w="7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tc>
        <w:tc>
          <w:tcPr>
            <w:tcW w:w="64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(3,135)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(88,365)</w:t>
            </w:r>
          </w:p>
        </w:tc>
      </w:tr>
      <w:tr>
        <w:trPr>
          <w:trHeight w:val="38"/>
        </w:trPr>
        <w:tc>
          <w:tcPr>
            <w:tcW w:w="7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79,438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162,141</w:t>
            </w:r>
          </w:p>
        </w:tc>
      </w:tr>
      <w:tr>
        <w:trPr>
          <w:trHeight w:val="25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76,303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73,776</w:t>
            </w:r>
          </w:p>
        </w:tc>
      </w:tr>
      <w:tr>
        <w:trPr>
          <w:trHeight w:val="25"/>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Provided by Operating Activities</w:t>
      </w:r>
    </w:p>
    <w:p>
      <w:pPr>
        <w:spacing w:after="0" w:line="237"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$3.8 million compared to net cash provided by operating activities of $2.6 million for the nine months ended September 30, 2025, an increase in cash provided of $1.2 million. This increase was primarily driven by an increase in cash provided from changes in assets and liabilities related to working capital management activities of $2.5 million. This was partially offset by an increase in net loss adjusted for non-cash expense add backs of $1.3 million. The increase in cash provided by changes in working capital was primarily due to a decrease in cash used in inventories, prepaid expenses and other current assets and other assets of $15.3 million. The change in cash used for inventories was primarily impacted by the timing and amount of inventory purchases in the prior year. That change was partially offset by an increase in cash used of $12.8 million in accounts payable, accrued expenses and other current liabilities, deferred revenue and operating lease liabilities. The change in accounts payable and accrued expenses was primarily related to the change in inventory balances and the payment of related invoices. Deferred revenue was impacted by the calendar and timing of deliveries to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Investing Activities</w:t>
      </w:r>
    </w:p>
    <w:p>
      <w:pPr>
        <w:spacing w:after="0" w:line="23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the nine months ended September 30, 2026, net cash used in investing activities was $2.6 million compared to $2.5 million for the nine months ended September 30, 2025. The increase of $0.1 million was principally due to an increase in purchases of property and equipment related to new facilities leased during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Financing Activities</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For the nine months ended September 30, 2026, net cash used in financing activities was $4.2 million compared to $88.4 million for the nine months ended September 30, 2025. The decrease of $84.2 million was primarily due to no debt payments, dividends or stock repurchases made during the nine months ended September 30, 2026 when compared to the debt payments, dividends and stock repurchases made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Additional Liquidity Requirements</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its ability to pay such distributions.</w:t>
      </w:r>
    </w:p>
    <w:p>
      <w:pPr>
        <w:spacing w:after="0" w:line="20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In addition, if Brilliant Earth, LLC does not have sufficient funds to make distributions, our ability to declare and pay cash dividends will also be restricted or impaired.</w:t>
      </w:r>
    </w:p>
    <w:p>
      <w:pPr>
        <w:spacing w:after="0" w:line="19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On December 8, 2023, the Company announced that the Board of Directors approved a share repurchase program authorizing the Company to purchase up to an aggregate of $20.0 million of the Company's Class A common stock through the expiration of the program on December 8, 2026. 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Exchange Act.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lease our showrooms and headquarters office space under non-cancelable lease agreements whereby $1.8 million is due in the year ended December 31, 2026. Total future lease payments as of September 30, 2026 are $50.9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There have been no changes to the Company's critical accounting policies and estimates from those described under “Critical Accounting Policies and Estimates” in the Management's Discussion and Analysis of Financial Condition and Results of Operations of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information regarding recent accounting pronouncements, see Note 1 to our unaudited condensed consolidated financial statements and related notes thereto included elsewhere in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JOBS Act</w:t>
      </w:r>
    </w:p>
    <w:p>
      <w:pPr>
        <w:spacing w:after="0" w:line="23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qualify as an “emerging growth company” pursuant to the provisions of the Jumpstart Our Business Startups Act (the "JOBS Act"), enacted on April 5, 2012. Section 102 of the JOBS Act provides that, among other reporting exemptions,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21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Quantitative and Qualitative Disclosures About Market Risk</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are a smaller reporting company as defined by Rule 12b-2 of the Securities Exchange Act of 1934 and are not required to provide the information under this item.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Controls and Procedures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Evaluation of disclosure controls and procedures</w:t>
      </w:r>
    </w:p>
    <w:p>
      <w:pPr>
        <w:spacing w:after="0" w:line="23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2026, our disclosure controls and procedures were effective.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Changes in Internal Control over Financial Reporting</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There have been no changes in our internal control over financial reporting (as defined in Rules 13a-15(f) and 15d-15(f) under the Exchange Act) during the quarter ended September 30, 2026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materially affected, or are reasonably likely to materially affect, our internal control over financial reporting.</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Legal Proceedings</w:t>
      </w:r>
    </w:p>
    <w:p>
      <w:pPr>
        <w:spacing w:after="0" w:line="20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Cusimano v. Brilliant Earth</w:t>
      </w: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and rest breaks, reimbursement of business expenses, wage statements and records, and other similar allegations. </w:t>
      </w:r>
      <w:r>
        <w:rPr>
          <w:rFonts w:ascii="Arial" w:cs="Arial" w:eastAsia="Arial" w:hAnsi="Arial"/>
          <w:sz w:val="20"/>
          <w:szCs w:val="20"/>
          <w:color w:val="auto"/>
        </w:rPr>
        <w:t>T</w:t>
      </w:r>
      <w:r>
        <w:rPr>
          <w:rFonts w:ascii="Times New Roman" w:cs="Times New Roman" w:eastAsia="Times New Roman" w:hAnsi="Times New Roman"/>
          <w:sz w:val="19"/>
          <w:szCs w:val="19"/>
          <w:color w:val="auto"/>
        </w:rPr>
        <w:t>he parties reached an agreement to resolve the matter and, as of March 26, 2026, executed a stipulation of settlement and release of claims</w:t>
      </w:r>
      <w:r>
        <w:rPr>
          <w:rFonts w:ascii="Times New Roman" w:cs="Times New Roman" w:eastAsia="Times New Roman" w:hAnsi="Times New Roman"/>
          <w:sz w:val="19"/>
          <w:szCs w:val="19"/>
          <w:color w:val="51A7F9"/>
        </w:rPr>
        <w:t>.</w:t>
      </w:r>
      <w:r>
        <w:rPr>
          <w:rFonts w:ascii="Times New Roman" w:cs="Times New Roman" w:eastAsia="Times New Roman" w:hAnsi="Times New Roman"/>
          <w:sz w:val="19"/>
          <w:szCs w:val="19"/>
          <w:color w:val="auto"/>
        </w:rPr>
        <w:t xml:space="preserve"> On July 28, 2026, the court preliminarily</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approved the stipulation of settlement and scheduled a hearing on final approval for December 2, 2026. There can be no assurance that the settlement will receive final approval from the court. If the settlement receives final approval,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Eguiarte v. Brilliant Earth, LLC</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On September 9, 2026, plaintiff Elisa Eguiarte filed a putative class action against Brilliant Earth, LLC, a subsidiary of the Company, in the U.S. District Court for the Northern District of California. The plaintiff is a California resident who alleges she purchased products on the Company’s website, and that third-party advertising and analytics technologies on the Company’s website, including those provided by Meta, Google, TikTok, and OpenAI, intercepted and disclosed to those parties certain information without consent and in violation of California and federal law. The complaint purports to assert claims on behalf of putative classes of U.S. and California residents who accessed the website, for violations of the Electronic Communications Privacy Act and the California Invasion of Privacy Act, the California Comprehensive Computer Data Access and Fraud Act, and the California Constitution. The complaint purports to seek, among other things, statutory, compensatory, and punitive damages; equitable, declaratory, and injunctive relief; as well as interest, attorneys’ fees, and costs. As of the date of this filing, the Company’s response to the complaint is not yet due. The Company intends to vigorously defend the claims. Litigation is inherently uncertain, however, and at this time the Company is unable to predict the outcome of this matter or to estimate the amount or range of any potential loss.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2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Company's risk factors are described in Part I, Item 1A, “Risk Factors” of our 2025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Form 10-Q. There have been no material changes to our risk factors as previously disclosed in our 2025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Defaults Upon Senior Securities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Other Information</w:t>
      </w:r>
    </w:p>
    <w:p>
      <w:pPr>
        <w:spacing w:after="0" w:line="250" w:lineRule="exact"/>
        <w:rPr>
          <w:sz w:val="20"/>
          <w:szCs w:val="20"/>
          <w:color w:val="auto"/>
        </w:rPr>
      </w:pPr>
    </w:p>
    <w:p>
      <w:pPr>
        <w:ind w:left="880" w:hanging="258"/>
        <w:spacing w:after="0"/>
        <w:tabs>
          <w:tab w:leader="none" w:pos="8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20" w:lineRule="exact"/>
        <w:rPr>
          <w:rFonts w:ascii="Times New Roman" w:cs="Times New Roman" w:eastAsia="Times New Roman" w:hAnsi="Times New Roman"/>
          <w:sz w:val="19"/>
          <w:szCs w:val="19"/>
          <w:color w:val="auto"/>
        </w:rPr>
      </w:pPr>
    </w:p>
    <w:p>
      <w:pPr>
        <w:ind w:left="880" w:hanging="258"/>
        <w:spacing w:after="0"/>
        <w:tabs>
          <w:tab w:leader="none" w:pos="8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5" w:lineRule="exact"/>
        <w:rPr>
          <w:rFonts w:ascii="Times New Roman" w:cs="Times New Roman" w:eastAsia="Times New Roman" w:hAnsi="Times New Roman"/>
          <w:sz w:val="19"/>
          <w:szCs w:val="19"/>
          <w:color w:val="auto"/>
        </w:rPr>
      </w:pPr>
    </w:p>
    <w:p>
      <w:pPr>
        <w:jc w:val="both"/>
        <w:ind w:firstLine="622"/>
        <w:spacing w:after="0" w:line="241" w:lineRule="auto"/>
        <w:tabs>
          <w:tab w:leader="none" w:pos="88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described below, during the three months ended September 30, 2026, no directors or “officers” (as defined in Rule 16a-1(f) under the Exchange Act) of the Company adopted, modified or terminated “Rule 10b5-1 trading arrangements” and/or “non-Rule 10b5-1 trading arrangements” (each as defined in Item 408 of Regulation S-K).</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August 14, 2026, Sharon Dziesietnik, the Company's Chief Operations Officer, adopted a Rule 10b5-1 trading arrangement (the "Dziesietnik Sales Plan") that is intended to satisfy the affirmative defense of Rule 10b5-1(c) of the Exchange Act and which provides for the sale of an aggregate of up to 56,832 shares of the Company's Class A common stock (a portion of the shares of Class A common stock to be received by Ms. Dziesietnik upon the vesting of restricted stock units as set forth in the Dziesietnik Sales Plan) to cover estimated tax obligations in connection with the vesting and settlement of restricted stock units. The Dziesietnik Sales Plan will remain in effect until the earliest of (1) August 30, 2027, (2) the date on which all trades set forth in the Dziesietnik Sales Plan have been executed, or (3) such time as the Dziesietnik Sales Plan is otherwise terminated or expires according to its terms.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September 14, 2026, Jeffrey Kuo, the Company's Chief Financial Officer, adopted a Rule 10b5-1 trading arrangement (the "Kuo Sales Plan") that is intended to satisfy the affirmative defense of Rule 10b5-1(c) of the Exchange Act and which provides for the sale of an aggregate of up to 39,673 shares of the Company's Class A common stock (a portion of the shares of Class A common stock to be received by Mr. Kuo upon the vesting of restricted stock units as set forth in the Kuo Sales Plan) to cover estimated tax obligations in connection with the vesting and settlement of restricted stock units. The Kuo Sales Plan will remain in effect until the earliest of (1) May 25, 2027, (2) the date on which all trades set forth in the Kuo Sales Plan have been executed, or (3) such time as the Kuo Sales Plan is otherwise terminated or expires according to its terms.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08080"/>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Exhibit Number</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7"/>
          </w:tcPr>
          <w:p>
            <w:pPr>
              <w:ind w:left="1140"/>
              <w:spacing w:after="0"/>
              <w:rPr>
                <w:sz w:val="20"/>
                <w:szCs w:val="20"/>
                <w:color w:val="auto"/>
              </w:rPr>
            </w:pPr>
            <w:r>
              <w:rPr>
                <w:rFonts w:ascii="Times New Roman" w:cs="Times New Roman" w:eastAsia="Times New Roman" w:hAnsi="Times New Roman"/>
                <w:sz w:val="14"/>
                <w:szCs w:val="14"/>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106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6"/>
              </w:rPr>
              <w:t>Exhibit</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Filing Date</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 Furnished Herewith</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30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7"/>
              </w:rPr>
            </w:pPr>
            <w:hyperlink r:id="rId61">
              <w:r>
                <w:rPr>
                  <w:rFonts w:ascii="Times New Roman" w:cs="Times New Roman" w:eastAsia="Times New Roman" w:hAnsi="Times New Roman"/>
                  <w:sz w:val="14"/>
                  <w:szCs w:val="14"/>
                  <w:color w:val="0000FF"/>
                  <w:w w:val="97"/>
                </w:rPr>
                <w:t>Articles of Incorporation of Brilliant Earth Group, Inc.</w:t>
              </w:r>
            </w:hyperlink>
          </w:p>
        </w:tc>
        <w:tc>
          <w:tcPr>
            <w:tcW w:w="1020" w:type="dxa"/>
            <w:vAlign w:val="bottom"/>
            <w:gridSpan w:val="5"/>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12/22/2025</w:t>
            </w: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4020" w:type="dxa"/>
            <w:vAlign w:val="bottom"/>
            <w:gridSpan w:val="9"/>
          </w:tcPr>
          <w:p>
            <w:pPr>
              <w:spacing w:after="0"/>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Bylaws of Brilliant Earth Group, Inc.</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12/22/2025</w:t>
            </w:r>
          </w:p>
        </w:tc>
        <w:tc>
          <w:tcPr>
            <w:tcW w:w="16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Certification of Chief Executive Officer pursuant to Rule 13a-14(a)/15d-</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7"/>
              </w:rPr>
              <w:t>Certification of Chief Financial Officer pursuant to Rule 13a-14(a)/15d-</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8"/>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101.INS</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160" w:type="dxa"/>
            <w:vAlign w:val="bottom"/>
          </w:tcPr>
          <w:p>
            <w:pPr>
              <w:spacing w:after="0"/>
              <w:rPr>
                <w:sz w:val="14"/>
                <w:szCs w:val="14"/>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9"/>
              </w:rPr>
              <w:t>appear in the Interactive Data File because its XBRL tags are embedded</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8"/>
        </w:trPr>
        <w:tc>
          <w:tcPr>
            <w:tcW w:w="1160" w:type="dxa"/>
            <w:vAlign w:val="bottom"/>
          </w:tcPr>
          <w:p>
            <w:pPr>
              <w:spacing w:after="0"/>
              <w:rPr>
                <w:sz w:val="15"/>
                <w:szCs w:val="15"/>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101.SCH</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101.CAL</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101.DEF</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101.LAB</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60" w:type="dxa"/>
            <w:vAlign w:val="bottom"/>
          </w:tcPr>
          <w:p>
            <w:pPr>
              <w:spacing w:after="0"/>
              <w:rPr>
                <w:sz w:val="15"/>
                <w:szCs w:val="15"/>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350" w:lineRule="exact"/>
        <w:rPr>
          <w:sz w:val="20"/>
          <w:szCs w:val="20"/>
          <w:color w:val="auto"/>
        </w:rPr>
      </w:pPr>
    </w:p>
    <w:p>
      <w:pPr>
        <w:ind w:left="1160" w:hanging="624"/>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8" w:lineRule="exact"/>
        <w:rPr>
          <w:sz w:val="20"/>
          <w:szCs w:val="20"/>
          <w:color w:val="auto"/>
        </w:rPr>
      </w:pPr>
    </w:p>
    <w:p>
      <w:pPr>
        <w:ind w:left="1160" w:hanging="658"/>
        <w:spacing w:after="0"/>
        <w:tabs>
          <w:tab w:leader="none" w:pos="1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7780" w:type="dxa"/>
        <w:tblCellMar>
          <w:top w:w="0" w:type="dxa"/>
          <w:left w:w="0" w:type="dxa"/>
          <w:bottom w:w="0" w:type="dxa"/>
          <w:right w:w="0" w:type="dxa"/>
        </w:tblCellMar>
      </w:tblPr>
      <w:tr>
        <w:trPr>
          <w:trHeight w:val="244"/>
        </w:trPr>
        <w:tc>
          <w:tcPr>
            <w:tcW w:w="144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9"/>
              </w:rPr>
              <w:t>Brilliant Earth Group, Inc.</w:t>
            </w:r>
          </w:p>
        </w:tc>
      </w:tr>
      <w:tr>
        <w:trPr>
          <w:trHeight w:val="421"/>
        </w:trPr>
        <w:tc>
          <w:tcPr>
            <w:tcW w:w="1440" w:type="dxa"/>
            <w:vAlign w:val="bottom"/>
          </w:tcPr>
          <w:p>
            <w:pPr>
              <w:spacing w:after="0"/>
              <w:rPr>
                <w:sz w:val="20"/>
                <w:szCs w:val="20"/>
                <w:color w:val="auto"/>
              </w:rPr>
            </w:pPr>
            <w:r>
              <w:rPr>
                <w:rFonts w:ascii="Times New Roman" w:cs="Times New Roman" w:eastAsia="Times New Roman" w:hAnsi="Times New Roman"/>
                <w:sz w:val="19"/>
                <w:szCs w:val="19"/>
                <w:color w:val="auto"/>
              </w:rPr>
              <w:t>November 5, 2026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By: /s/ Jeffrey Kuo</w:t>
            </w:r>
          </w:p>
        </w:tc>
      </w:tr>
      <w:tr>
        <w:trPr>
          <w:trHeight w:val="230"/>
        </w:trPr>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Jeffrey Kuo</w:t>
            </w:r>
          </w:p>
        </w:tc>
      </w:tr>
      <w:tr>
        <w:trPr>
          <w:trHeight w:val="244"/>
        </w:trPr>
        <w:tc>
          <w:tcPr>
            <w:tcW w:w="144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Chief Financial Officer</w:t>
            </w:r>
          </w:p>
        </w:tc>
      </w:tr>
    </w:tbl>
    <w:p>
      <w:pPr>
        <w:jc w:val="right"/>
        <w:spacing w:after="0"/>
        <w:rPr>
          <w:sz w:val="20"/>
          <w:szCs w:val="20"/>
          <w:color w:val="auto"/>
        </w:rPr>
      </w:pPr>
      <w:r>
        <w:rPr>
          <w:rFonts w:ascii="Times New Roman" w:cs="Times New Roman" w:eastAsia="Times New Roman" w:hAnsi="Times New Roman"/>
          <w:sz w:val="19"/>
          <w:szCs w:val="19"/>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3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Beth Gerstein, certify that:</w:t>
      </w:r>
    </w:p>
    <w:p>
      <w:pPr>
        <w:spacing w:after="0" w:line="194" w:lineRule="exact"/>
        <w:rPr>
          <w:sz w:val="20"/>
          <w:szCs w:val="20"/>
          <w:color w:val="auto"/>
        </w:rPr>
      </w:pPr>
    </w:p>
    <w:p>
      <w:pPr>
        <w:ind w:left="620" w:hanging="307"/>
        <w:spacing w:after="0"/>
        <w:tabs>
          <w:tab w:leader="none" w:pos="620"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206" w:lineRule="exact"/>
        <w:rPr>
          <w:rFonts w:ascii="Times New Roman" w:cs="Times New Roman" w:eastAsia="Times New Roman" w:hAnsi="Times New Roman"/>
          <w:sz w:val="19"/>
          <w:szCs w:val="19"/>
          <w:color w:val="auto"/>
        </w:rPr>
      </w:pPr>
    </w:p>
    <w:p>
      <w:pPr>
        <w:jc w:val="both"/>
        <w:ind w:firstLine="3"/>
        <w:spacing w:after="0" w:line="226" w:lineRule="auto"/>
        <w:tabs>
          <w:tab w:leader="none" w:pos="30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9"/>
          <w:szCs w:val="19"/>
          <w:color w:val="auto"/>
        </w:rPr>
      </w:pPr>
    </w:p>
    <w:p>
      <w:pPr>
        <w:ind w:firstLine="3"/>
        <w:spacing w:after="0"/>
        <w:tabs>
          <w:tab w:leader="none" w:pos="30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9"/>
          <w:szCs w:val="19"/>
          <w:color w:val="auto"/>
        </w:rPr>
      </w:pPr>
    </w:p>
    <w:p>
      <w:pPr>
        <w:jc w:val="both"/>
        <w:ind w:firstLine="3"/>
        <w:spacing w:after="0" w:line="231" w:lineRule="auto"/>
        <w:tabs>
          <w:tab w:leader="none" w:pos="30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9"/>
          <w:szCs w:val="19"/>
          <w:color w:val="auto"/>
        </w:rPr>
      </w:pPr>
    </w:p>
    <w:p>
      <w:pPr>
        <w:jc w:val="both"/>
        <w:ind w:firstLine="622"/>
        <w:spacing w:after="0" w:line="231" w:lineRule="auto"/>
        <w:tabs>
          <w:tab w:leader="none" w:pos="920" w:val="left"/>
        </w:tabs>
        <w:numPr>
          <w:ilvl w:val="3"/>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9"/>
          <w:szCs w:val="19"/>
          <w:color w:val="auto"/>
        </w:rPr>
      </w:pPr>
    </w:p>
    <w:p>
      <w:pPr>
        <w:ind w:right="40" w:firstLine="622"/>
        <w:spacing w:after="0" w:line="231" w:lineRule="auto"/>
        <w:tabs>
          <w:tab w:leader="none" w:pos="886" w:val="left"/>
        </w:tabs>
        <w:numPr>
          <w:ilvl w:val="3"/>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9"/>
          <w:szCs w:val="19"/>
          <w:color w:val="auto"/>
        </w:rPr>
      </w:pPr>
    </w:p>
    <w:p>
      <w:pPr>
        <w:ind w:firstLine="622"/>
        <w:spacing w:after="0"/>
        <w:tabs>
          <w:tab w:leader="none" w:pos="885" w:val="left"/>
        </w:tabs>
        <w:numPr>
          <w:ilvl w:val="3"/>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9"/>
          <w:szCs w:val="19"/>
          <w:color w:val="auto"/>
        </w:rPr>
      </w:pPr>
    </w:p>
    <w:p>
      <w:pPr>
        <w:ind w:right="140" w:firstLine="622"/>
        <w:spacing w:after="0" w:line="231" w:lineRule="auto"/>
        <w:tabs>
          <w:tab w:leader="none" w:pos="886" w:val="left"/>
        </w:tabs>
        <w:numPr>
          <w:ilvl w:val="3"/>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9"/>
          <w:szCs w:val="19"/>
          <w:color w:val="auto"/>
        </w:rPr>
      </w:pPr>
    </w:p>
    <w:p>
      <w:pPr>
        <w:ind w:firstLine="3"/>
        <w:spacing w:after="0"/>
        <w:tabs>
          <w:tab w:leader="none" w:pos="19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firstLine="336"/>
        <w:spacing w:after="0" w:line="233" w:lineRule="auto"/>
        <w:tabs>
          <w:tab w:leader="none" w:pos="625" w:val="left"/>
        </w:tabs>
        <w:numPr>
          <w:ilvl w:val="2"/>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sz w:val="20"/>
          <w:szCs w:val="20"/>
          <w:color w:val="auto"/>
        </w:rPr>
      </w:pPr>
    </w:p>
    <w:p>
      <w:pPr>
        <w:ind w:firstLine="270"/>
        <w:spacing w:after="0"/>
        <w:tabs>
          <w:tab w:leader="none" w:pos="55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5, 2026</w:t>
      </w:r>
    </w:p>
    <w:p>
      <w:pPr>
        <w:ind w:left="434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-6985</wp:posOffset>
            </wp:positionV>
            <wp:extent cx="1346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4340"/>
        <w:spacing w:after="0" w:line="198" w:lineRule="auto"/>
        <w:rPr>
          <w:sz w:val="20"/>
          <w:szCs w:val="20"/>
          <w:color w:val="auto"/>
        </w:rPr>
      </w:pPr>
      <w:r>
        <w:rPr>
          <w:rFonts w:ascii="Times New Roman" w:cs="Times New Roman" w:eastAsia="Times New Roman" w:hAnsi="Times New Roman"/>
          <w:sz w:val="19"/>
          <w:szCs w:val="19"/>
          <w:color w:val="auto"/>
        </w:rPr>
        <w:t>Name: Beth Gerstein</w:t>
      </w:r>
    </w:p>
    <w:p>
      <w:pPr>
        <w:ind w:left="4340"/>
        <w:spacing w:after="0" w:line="213" w:lineRule="auto"/>
        <w:rPr>
          <w:sz w:val="20"/>
          <w:szCs w:val="20"/>
          <w:color w:val="auto"/>
        </w:rPr>
      </w:pPr>
      <w:r>
        <w:rPr>
          <w:rFonts w:ascii="Times New Roman" w:cs="Times New Roman" w:eastAsia="Times New Roman" w:hAnsi="Times New Roman"/>
          <w:sz w:val="19"/>
          <w:szCs w:val="19"/>
          <w:color w:val="auto"/>
        </w:rPr>
        <w:t>Title: Chief Executive Officer</w:t>
      </w: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Jeffrey Kuo, certify that:</w:t>
      </w:r>
    </w:p>
    <w:p>
      <w:pPr>
        <w:spacing w:after="0" w:line="207" w:lineRule="exact"/>
        <w:rPr>
          <w:sz w:val="20"/>
          <w:szCs w:val="20"/>
          <w:color w:val="auto"/>
        </w:rPr>
      </w:pPr>
    </w:p>
    <w:p>
      <w:pPr>
        <w:ind w:left="620" w:hanging="307"/>
        <w:spacing w:after="0"/>
        <w:tabs>
          <w:tab w:leader="none" w:pos="62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194" w:lineRule="exact"/>
        <w:rPr>
          <w:rFonts w:ascii="Times New Roman" w:cs="Times New Roman" w:eastAsia="Times New Roman" w:hAnsi="Times New Roman"/>
          <w:sz w:val="19"/>
          <w:szCs w:val="19"/>
          <w:color w:val="auto"/>
        </w:rPr>
      </w:pPr>
    </w:p>
    <w:p>
      <w:pPr>
        <w:jc w:val="both"/>
        <w:ind w:firstLine="3"/>
        <w:spacing w:after="0" w:line="231" w:lineRule="auto"/>
        <w:tabs>
          <w:tab w:leader="none" w:pos="3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9"/>
          <w:szCs w:val="19"/>
          <w:color w:val="auto"/>
        </w:rPr>
      </w:pPr>
    </w:p>
    <w:p>
      <w:pPr>
        <w:ind w:firstLine="3"/>
        <w:spacing w:after="0"/>
        <w:tabs>
          <w:tab w:leader="none" w:pos="3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19"/>
          <w:szCs w:val="19"/>
          <w:color w:val="auto"/>
        </w:rPr>
      </w:pPr>
    </w:p>
    <w:p>
      <w:pPr>
        <w:jc w:val="both"/>
        <w:ind w:firstLine="3"/>
        <w:spacing w:after="0" w:line="226" w:lineRule="auto"/>
        <w:tabs>
          <w:tab w:leader="none" w:pos="3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9"/>
          <w:szCs w:val="19"/>
          <w:color w:val="auto"/>
        </w:rPr>
      </w:pPr>
    </w:p>
    <w:p>
      <w:pPr>
        <w:jc w:val="both"/>
        <w:ind w:firstLine="622"/>
        <w:spacing w:after="0" w:line="226" w:lineRule="auto"/>
        <w:tabs>
          <w:tab w:leader="none" w:pos="920"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9"/>
          <w:szCs w:val="19"/>
          <w:color w:val="auto"/>
        </w:rPr>
      </w:pPr>
    </w:p>
    <w:p>
      <w:pPr>
        <w:ind w:right="40" w:firstLine="622"/>
        <w:spacing w:after="0" w:line="226" w:lineRule="auto"/>
        <w:tabs>
          <w:tab w:leader="none" w:pos="886"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9"/>
          <w:szCs w:val="19"/>
          <w:color w:val="auto"/>
        </w:rPr>
      </w:pPr>
    </w:p>
    <w:p>
      <w:pPr>
        <w:ind w:firstLine="622"/>
        <w:spacing w:after="0" w:line="233" w:lineRule="auto"/>
        <w:tabs>
          <w:tab w:leader="none" w:pos="885"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9"/>
          <w:szCs w:val="19"/>
          <w:color w:val="auto"/>
        </w:rPr>
      </w:pPr>
    </w:p>
    <w:p>
      <w:pPr>
        <w:jc w:val="both"/>
        <w:ind w:firstLine="622"/>
        <w:spacing w:after="0" w:line="226" w:lineRule="auto"/>
        <w:tabs>
          <w:tab w:leader="none" w:pos="893"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9"/>
          <w:szCs w:val="19"/>
          <w:color w:val="auto"/>
        </w:rPr>
      </w:pPr>
    </w:p>
    <w:p>
      <w:pPr>
        <w:ind w:firstLine="3"/>
        <w:spacing w:after="0" w:line="233" w:lineRule="auto"/>
        <w:tabs>
          <w:tab w:leader="none" w:pos="30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right="400" w:firstLine="622"/>
        <w:spacing w:after="0"/>
        <w:tabs>
          <w:tab w:leader="none" w:pos="876"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9"/>
          <w:szCs w:val="19"/>
          <w:color w:val="auto"/>
        </w:rPr>
      </w:pPr>
    </w:p>
    <w:p>
      <w:pPr>
        <w:ind w:right="60" w:firstLine="622"/>
        <w:spacing w:after="0"/>
        <w:tabs>
          <w:tab w:leader="none" w:pos="886"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5, 2026</w:t>
      </w:r>
    </w:p>
    <w:p>
      <w:pPr>
        <w:ind w:left="434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-6350</wp:posOffset>
            </wp:positionV>
            <wp:extent cx="8610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434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434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September 30,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5, 2026</w:t>
      </w:r>
    </w:p>
    <w:p>
      <w:pPr>
        <w:ind w:left="372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-6985</wp:posOffset>
            </wp:positionV>
            <wp:extent cx="1346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3720"/>
        <w:spacing w:after="0" w:line="212" w:lineRule="auto"/>
        <w:rPr>
          <w:sz w:val="20"/>
          <w:szCs w:val="20"/>
          <w:color w:val="auto"/>
        </w:rPr>
      </w:pPr>
      <w:r>
        <w:rPr>
          <w:rFonts w:ascii="Times New Roman" w:cs="Times New Roman" w:eastAsia="Times New Roman" w:hAnsi="Times New Roman"/>
          <w:sz w:val="19"/>
          <w:szCs w:val="19"/>
          <w:color w:val="auto"/>
        </w:rPr>
        <w:t>Name: Beth Gerstein</w:t>
      </w:r>
    </w:p>
    <w:p>
      <w:pPr>
        <w:ind w:left="3720"/>
        <w:spacing w:after="0" w:line="199" w:lineRule="auto"/>
        <w:rPr>
          <w:sz w:val="20"/>
          <w:szCs w:val="20"/>
          <w:color w:val="auto"/>
        </w:rPr>
      </w:pPr>
      <w:r>
        <w:rPr>
          <w:rFonts w:ascii="Times New Roman" w:cs="Times New Roman" w:eastAsia="Times New Roman" w:hAnsi="Times New Roman"/>
          <w:sz w:val="19"/>
          <w:szCs w:val="19"/>
          <w:color w:val="auto"/>
        </w:rPr>
        <w:t>Title: Chief Executive Officer</w:t>
      </w: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September 30,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November 5, 2026</w:t>
      </w:r>
    </w:p>
    <w:p>
      <w:pPr>
        <w:ind w:left="372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-6350</wp:posOffset>
            </wp:positionV>
            <wp:extent cx="861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372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372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
    <w:nsid w:val="7FDCC23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
    <w:nsid w:val="6B68079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1" Type="http://schemas.openxmlformats.org/officeDocument/2006/relationships/hyperlink" Target="https://www.sec.gov/Archives/edgar/data/1866757/000114036125046408/ny20061505x1_ex3-1.htm" TargetMode="External"/><Relationship Id="rId62" Type="http://schemas.openxmlformats.org/officeDocument/2006/relationships/hyperlink" Target="https://www.sec.gov/Archives/edgar/data/1866757/000114036125046408/ny20061505x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2026-11-05T15:39:58Z</dcterms:created>
  <dcterms:modified xsi:type="dcterms:W3CDTF">2026-11-05T15:39:58Z</dcterms:modified>
</cp:coreProperties>
</file>