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63500</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41275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1" w:lineRule="exact"/>
        <w:rPr>
          <w:sz w:val="24"/>
          <w:szCs w:val="24"/>
          <w:color w:val="auto"/>
        </w:rPr>
      </w:pPr>
    </w:p>
    <w:p>
      <w:pPr>
        <w:ind w:left="41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68580</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Brilliant Earth Group, Inc.</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64135</wp:posOffset>
            </wp:positionV>
            <wp:extent cx="222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19"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right"/>
              <w:ind w:right="930"/>
              <w:spacing w:after="0"/>
              <w:rPr>
                <w:sz w:val="20"/>
                <w:szCs w:val="20"/>
                <w:color w:val="auto"/>
              </w:rPr>
            </w:pPr>
            <w:r>
              <w:rPr>
                <w:rFonts w:ascii="Arial" w:cs="Arial" w:eastAsia="Arial" w:hAnsi="Arial"/>
                <w:sz w:val="18"/>
                <w:szCs w:val="18"/>
                <w:b w:val="1"/>
                <w:bCs w:val="1"/>
                <w:color w:val="auto"/>
              </w:rPr>
              <w:t>87-1015499</w:t>
            </w:r>
          </w:p>
        </w:tc>
      </w:tr>
      <w:tr>
        <w:trPr>
          <w:trHeight w:val="27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20" w:type="dxa"/>
            <w:vAlign w:val="bottom"/>
          </w:tcPr>
          <w:p>
            <w:pPr>
              <w:jc w:val="center"/>
              <w:ind w:left="1910"/>
              <w:spacing w:after="0"/>
              <w:rPr>
                <w:sz w:val="20"/>
                <w:szCs w:val="20"/>
                <w:color w:val="auto"/>
              </w:rPr>
            </w:pPr>
            <w:r>
              <w:rPr>
                <w:rFonts w:ascii="Arial" w:cs="Arial" w:eastAsia="Arial" w:hAnsi="Arial"/>
                <w:sz w:val="18"/>
                <w:szCs w:val="18"/>
                <w:color w:val="auto"/>
                <w:w w:val="93"/>
              </w:rPr>
              <w:t>(I.R.S. Employer Identification Number)</w:t>
            </w:r>
          </w:p>
        </w:tc>
      </w:tr>
      <w:tr>
        <w:trPr>
          <w:trHeight w:val="252"/>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300 Grant Avenue, Third Floor</w:t>
            </w:r>
          </w:p>
        </w:tc>
        <w:tc>
          <w:tcPr>
            <w:tcW w:w="4920" w:type="dxa"/>
            <w:vAlign w:val="bottom"/>
          </w:tcPr>
          <w:p>
            <w:pPr>
              <w:spacing w:after="0"/>
              <w:rPr>
                <w:sz w:val="21"/>
                <w:szCs w:val="21"/>
                <w:color w:val="auto"/>
              </w:rPr>
            </w:pPr>
          </w:p>
        </w:tc>
      </w:tr>
      <w:tr>
        <w:trPr>
          <w:trHeight w:val="23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San Francisco, CA</w:t>
            </w:r>
          </w:p>
        </w:tc>
        <w:tc>
          <w:tcPr>
            <w:tcW w:w="4920" w:type="dxa"/>
            <w:vAlign w:val="bottom"/>
          </w:tcPr>
          <w:p>
            <w:pPr>
              <w:jc w:val="right"/>
              <w:ind w:right="1150"/>
              <w:spacing w:after="0"/>
              <w:rPr>
                <w:sz w:val="20"/>
                <w:szCs w:val="20"/>
                <w:color w:val="auto"/>
              </w:rPr>
            </w:pPr>
            <w:r>
              <w:rPr>
                <w:rFonts w:ascii="Arial" w:cs="Arial" w:eastAsia="Arial" w:hAnsi="Arial"/>
                <w:sz w:val="18"/>
                <w:szCs w:val="18"/>
                <w:b w:val="1"/>
                <w:bCs w:val="1"/>
                <w:color w:val="auto"/>
              </w:rPr>
              <w:t>94108</w:t>
            </w:r>
          </w:p>
        </w:tc>
      </w:tr>
      <w:tr>
        <w:trPr>
          <w:trHeight w:val="27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920" w:type="dxa"/>
            <w:vAlign w:val="bottom"/>
          </w:tcPr>
          <w:p>
            <w:pPr>
              <w:jc w:val="center"/>
              <w:ind w:left="1910"/>
              <w:spacing w:after="0"/>
              <w:rPr>
                <w:sz w:val="20"/>
                <w:szCs w:val="20"/>
                <w:color w:val="auto"/>
              </w:rPr>
            </w:pPr>
            <w:r>
              <w:rPr>
                <w:rFonts w:ascii="Arial" w:cs="Arial" w:eastAsia="Arial" w:hAnsi="Arial"/>
                <w:sz w:val="18"/>
                <w:szCs w:val="18"/>
                <w:color w:val="auto"/>
                <w:w w:val="94"/>
              </w:rPr>
              <w:t>(Zip Code)</w:t>
            </w:r>
          </w:p>
        </w:tc>
      </w:tr>
      <w:tr>
        <w:trPr>
          <w:trHeight w:val="378"/>
        </w:trPr>
        <w:tc>
          <w:tcPr>
            <w:tcW w:w="4360" w:type="dxa"/>
            <w:vAlign w:val="bottom"/>
          </w:tcPr>
          <w:p>
            <w:pPr>
              <w:spacing w:after="0"/>
              <w:rPr>
                <w:sz w:val="24"/>
                <w:szCs w:val="24"/>
                <w:color w:val="auto"/>
              </w:rPr>
            </w:pPr>
          </w:p>
        </w:tc>
        <w:tc>
          <w:tcPr>
            <w:tcW w:w="4920" w:type="dxa"/>
            <w:vAlign w:val="bottom"/>
          </w:tcPr>
          <w:p>
            <w:pPr>
              <w:jc w:val="right"/>
              <w:ind w:right="3650"/>
              <w:spacing w:after="0"/>
              <w:rPr>
                <w:sz w:val="20"/>
                <w:szCs w:val="20"/>
                <w:color w:val="auto"/>
              </w:rPr>
            </w:pPr>
            <w:r>
              <w:rPr>
                <w:rFonts w:ascii="Arial" w:cs="Arial" w:eastAsia="Arial" w:hAnsi="Arial"/>
                <w:sz w:val="18"/>
                <w:szCs w:val="18"/>
                <w:b w:val="1"/>
                <w:bCs w:val="1"/>
                <w:color w:val="auto"/>
                <w:w w:val="94"/>
              </w:rPr>
              <w:t>(800) 691-0952</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17780</wp:posOffset>
            </wp:positionV>
            <wp:extent cx="2228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9"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tcPr>
          <w:p>
            <w:pPr>
              <w:spacing w:after="0"/>
              <w:rPr>
                <w:sz w:val="14"/>
                <w:szCs w:val="14"/>
                <w:color w:val="auto"/>
              </w:rPr>
            </w:pPr>
          </w:p>
        </w:tc>
        <w:tc>
          <w:tcPr>
            <w:tcW w:w="38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38"/>
        </w:trPr>
        <w:tc>
          <w:tcPr>
            <w:tcW w:w="3840" w:type="dxa"/>
            <w:vAlign w:val="bottom"/>
            <w:gridSpan w:val="3"/>
          </w:tcPr>
          <w:p>
            <w:pPr>
              <w:jc w:val="center"/>
              <w:ind w:right="840"/>
              <w:spacing w:after="0"/>
              <w:rPr>
                <w:sz w:val="20"/>
                <w:szCs w:val="20"/>
                <w:color w:val="auto"/>
              </w:rPr>
            </w:pPr>
            <w:r>
              <w:rPr>
                <w:rFonts w:ascii="Arial" w:cs="Arial" w:eastAsia="Arial" w:hAnsi="Arial"/>
                <w:sz w:val="14"/>
                <w:szCs w:val="14"/>
                <w:color w:val="auto"/>
                <w:w w:val="92"/>
              </w:rPr>
              <w:t>Class A common stock, $0.0001 par value per share</w:t>
            </w:r>
          </w:p>
        </w:tc>
        <w:tc>
          <w:tcPr>
            <w:tcW w:w="860" w:type="dxa"/>
            <w:vAlign w:val="bottom"/>
          </w:tcPr>
          <w:p>
            <w:pPr>
              <w:spacing w:after="0"/>
              <w:rPr>
                <w:sz w:val="20"/>
                <w:szCs w:val="20"/>
                <w:color w:val="auto"/>
              </w:rPr>
            </w:pPr>
          </w:p>
        </w:tc>
        <w:tc>
          <w:tcPr>
            <w:tcW w:w="3020" w:type="dxa"/>
            <w:vAlign w:val="bottom"/>
            <w:gridSpan w:val="2"/>
          </w:tcPr>
          <w:p>
            <w:pPr>
              <w:jc w:val="center"/>
              <w:ind w:right="1880"/>
              <w:spacing w:after="0"/>
              <w:rPr>
                <w:sz w:val="20"/>
                <w:szCs w:val="20"/>
                <w:color w:val="auto"/>
              </w:rPr>
            </w:pPr>
            <w:r>
              <w:rPr>
                <w:rFonts w:ascii="Arial" w:cs="Arial" w:eastAsia="Arial" w:hAnsi="Arial"/>
                <w:sz w:val="14"/>
                <w:szCs w:val="14"/>
                <w:color w:val="auto"/>
                <w:w w:val="94"/>
              </w:rPr>
              <w:t>BRLT</w:t>
            </w:r>
          </w:p>
        </w:tc>
        <w:tc>
          <w:tcPr>
            <w:tcW w:w="268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50" w:lineRule="exact"/>
        <w:rPr>
          <w:sz w:val="24"/>
          <w:szCs w:val="24"/>
          <w:color w:val="auto"/>
        </w:rPr>
      </w:pPr>
    </w:p>
    <w:p>
      <w:pPr>
        <w:jc w:val="right"/>
        <w:spacing w:after="0" w:line="219" w:lineRule="exact"/>
        <w:rPr>
          <w:sz w:val="20"/>
          <w:szCs w:val="20"/>
          <w:color w:val="auto"/>
        </w:rPr>
      </w:pPr>
      <w:r>
        <w:rPr>
          <w:rFonts w:ascii="Arial" w:cs="Arial" w:eastAsia="Arial" w:hAnsi="Arial"/>
          <w:sz w:val="18"/>
          <w:szCs w:val="18"/>
          <w:color w:val="auto"/>
        </w:rPr>
        <w:t xml:space="preserve">Yes No </w:t>
      </w:r>
      <w:r>
        <w:rPr>
          <w:rFonts w:ascii="MS PGothic" w:cs="MS PGothic" w:eastAsia="MS PGothic" w:hAnsi="MS PGothic"/>
          <w:sz w:val="19"/>
          <w:szCs w:val="19"/>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34" w:lineRule="exact"/>
        <w:rPr>
          <w:sz w:val="24"/>
          <w:szCs w:val="24"/>
          <w:color w:val="auto"/>
        </w:rPr>
      </w:pPr>
    </w:p>
    <w:p>
      <w:pPr>
        <w:ind w:left="10500"/>
        <w:spacing w:after="0" w:line="196" w:lineRule="exact"/>
        <w:rPr>
          <w:sz w:val="20"/>
          <w:szCs w:val="20"/>
          <w:color w:val="auto"/>
        </w:rPr>
      </w:pPr>
      <w:r>
        <w:rPr>
          <w:rFonts w:ascii="Arial" w:cs="Arial" w:eastAsia="Arial" w:hAnsi="Arial"/>
          <w:sz w:val="16"/>
          <w:szCs w:val="16"/>
          <w:color w:val="auto"/>
        </w:rPr>
        <w:t xml:space="preserve">Yes No </w:t>
      </w:r>
      <w:r>
        <w:rPr>
          <w:rFonts w:ascii="MS PGothic" w:cs="MS PGothic" w:eastAsia="MS PGothic" w:hAnsi="MS PGothic"/>
          <w:sz w:val="17"/>
          <w:szCs w:val="17"/>
          <w:color w:val="auto"/>
        </w:rPr>
        <w:t>☒</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31" w:lineRule="exact"/>
        <w:rPr>
          <w:sz w:val="24"/>
          <w:szCs w:val="24"/>
          <w:color w:val="auto"/>
        </w:rPr>
      </w:pPr>
    </w:p>
    <w:p>
      <w:pPr>
        <w:ind w:right="180"/>
        <w:spacing w:after="0" w:line="223" w:lineRule="exact"/>
        <w:rPr>
          <w:sz w:val="20"/>
          <w:szCs w:val="20"/>
          <w:color w:val="auto"/>
        </w:rPr>
      </w:pPr>
      <w:r>
        <w:rPr>
          <w:rFonts w:ascii="Arial" w:cs="Arial" w:eastAsia="Arial" w:hAnsi="Arial"/>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1" w:lineRule="exact"/>
        <w:rPr>
          <w:sz w:val="24"/>
          <w:szCs w:val="24"/>
          <w:color w:val="auto"/>
        </w:rPr>
      </w:pPr>
    </w:p>
    <w:p>
      <w:pPr>
        <w:jc w:val="both"/>
        <w:spacing w:after="0" w:line="22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200" w:lineRule="exact"/>
        <w:rPr>
          <w:sz w:val="24"/>
          <w:szCs w:val="24"/>
          <w:color w:val="auto"/>
        </w:rPr>
      </w:pPr>
    </w:p>
    <w:p>
      <w:pPr>
        <w:sectPr>
          <w:pgSz w:w="11900" w:h="16838" w:orient="portrait"/>
          <w:cols w:equalWidth="0" w:num="1">
            <w:col w:w="11240"/>
          </w:cols>
          <w:pgMar w:left="320" w:top="476" w:right="339" w:bottom="1440" w:gutter="0" w:footer="0" w:header="0"/>
        </w:sectPr>
      </w:pPr>
    </w:p>
    <w:p>
      <w:pPr>
        <w:spacing w:after="0" w:line="246" w:lineRule="exact"/>
        <w:rPr>
          <w:sz w:val="24"/>
          <w:szCs w:val="24"/>
          <w:color w:val="auto"/>
        </w:rPr>
      </w:pPr>
    </w:p>
    <w:p>
      <w:pPr>
        <w:jc w:val="center"/>
        <w:ind w:left="36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4"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 w:lineRule="exact"/>
        <w:rPr>
          <w:sz w:val="20"/>
          <w:szCs w:val="20"/>
          <w:color w:val="auto"/>
        </w:rPr>
      </w:pPr>
    </w:p>
    <w:p>
      <w:pPr>
        <w:ind w:right="2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7"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28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98" w:lineRule="exact"/>
        <w:rPr>
          <w:sz w:val="20"/>
          <w:szCs w:val="20"/>
          <w:color w:val="auto"/>
        </w:rPr>
      </w:pPr>
    </w:p>
    <w:p>
      <w:pPr>
        <w:ind w:right="400"/>
        <w:spacing w:after="0" w:line="243" w:lineRule="auto"/>
        <w:rPr>
          <w:sz w:val="20"/>
          <w:szCs w:val="20"/>
          <w:color w:val="auto"/>
        </w:rPr>
      </w:pPr>
      <w:r>
        <w:rPr>
          <w:rFonts w:ascii="Arial" w:cs="Arial" w:eastAsia="Arial" w:hAnsi="Arial"/>
          <w:sz w:val="16"/>
          <w:szCs w:val="16"/>
          <w:color w:val="auto"/>
        </w:rPr>
        <w:t>As of March 18, 2022, there were 10,141,592 shares of the registrant's Class A common stock, $0.0001 par value per share, outstanding, 35,749,118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Specifically identified portions of the registrant’s definitive proxy statement for the 2022 annual meeting of stockholders, which will be filed no later than 120 days after the end of the registrant’s fiscal year ended December 31,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60" w:type="dxa"/>
            <w:vAlign w:val="bottom"/>
            <w:gridSpan w:val="12"/>
          </w:tcPr>
          <w:p>
            <w:pPr>
              <w:ind w:left="1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gridSpan w:val="5"/>
          </w:tcPr>
          <w:p>
            <w:pPr>
              <w:jc w:val="right"/>
              <w:ind w:righ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7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0" w:type="dxa"/>
            <w:vAlign w:val="bottom"/>
            <w:vMerge w:val="restart"/>
          </w:tcPr>
          <w:p>
            <w:pPr>
              <w:jc w:val="center"/>
              <w:spacing w:after="0" w:line="196" w:lineRule="exact"/>
              <w:rPr>
                <w:rFonts w:ascii="Arial" w:cs="Arial" w:eastAsia="Arial" w:hAnsi="Arial"/>
                <w:sz w:val="18"/>
                <w:szCs w:val="18"/>
                <w:color w:val="1519FD"/>
                <w:w w:val="92"/>
              </w:rPr>
            </w:pPr>
            <w:hyperlink w:anchor="page8">
              <w:r>
                <w:rPr>
                  <w:rFonts w:ascii="Arial" w:cs="Arial" w:eastAsia="Arial" w:hAnsi="Arial"/>
                  <w:sz w:val="18"/>
                  <w:szCs w:val="18"/>
                  <w:color w:val="1519FD"/>
                  <w:w w:val="92"/>
                </w:rPr>
                <w:t>Part I</w:t>
              </w:r>
            </w:hyperlink>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9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178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0" w:type="dxa"/>
            <w:vAlign w:val="bottom"/>
            <w:tcBorders>
              <w:bottom w:val="single" w:sz="8" w:color="1519FD"/>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780" w:type="dxa"/>
            <w:vAlign w:val="bottom"/>
            <w:gridSpan w:val="5"/>
          </w:tcPr>
          <w:p>
            <w:pPr>
              <w:jc w:val="right"/>
              <w:ind w:right="20"/>
              <w:spacing w:after="0" w:line="169" w:lineRule="exact"/>
              <w:rPr>
                <w:rFonts w:ascii="Arial" w:cs="Arial" w:eastAsia="Arial" w:hAnsi="Arial"/>
                <w:sz w:val="18"/>
                <w:szCs w:val="18"/>
                <w:color w:val="1519FD"/>
              </w:rPr>
            </w:pPr>
            <w:hyperlink w:anchor="page8">
              <w:r>
                <w:rPr>
                  <w:rFonts w:ascii="Arial" w:cs="Arial" w:eastAsia="Arial" w:hAnsi="Arial"/>
                  <w:sz w:val="18"/>
                  <w:szCs w:val="18"/>
                  <w:color w:val="1519FD"/>
                </w:rPr>
                <w:t>9</w:t>
              </w:r>
            </w:hyperlink>
          </w:p>
        </w:tc>
        <w:tc>
          <w:tcPr>
            <w:tcW w:w="0" w:type="dxa"/>
            <w:vAlign w:val="bottom"/>
          </w:tcPr>
          <w:p>
            <w:pPr>
              <w:spacing w:after="0"/>
              <w:rPr>
                <w:sz w:val="1"/>
                <w:szCs w:val="1"/>
                <w:color w:val="auto"/>
              </w:rPr>
            </w:pPr>
          </w:p>
        </w:tc>
      </w:tr>
      <w:tr>
        <w:trPr>
          <w:trHeight w:val="20"/>
        </w:trPr>
        <w:tc>
          <w:tcPr>
            <w:tcW w:w="10440" w:type="dxa"/>
            <w:vAlign w:val="bottom"/>
            <w:gridSpan w:val="25"/>
            <w:vMerge w:val="restart"/>
          </w:tcPr>
          <w:p>
            <w:pPr>
              <w:spacing w:after="0"/>
              <w:rPr>
                <w:rFonts w:ascii="Arial" w:cs="Arial" w:eastAsia="Arial" w:hAnsi="Arial"/>
                <w:sz w:val="18"/>
                <w:szCs w:val="18"/>
                <w:color w:val="1519FD"/>
              </w:rPr>
            </w:pPr>
            <w:hyperlink w:anchor="page9">
              <w:r>
                <w:rPr>
                  <w:rFonts w:ascii="Arial" w:cs="Arial" w:eastAsia="Arial" w:hAnsi="Arial"/>
                  <w:sz w:val="18"/>
                  <w:szCs w:val="18"/>
                  <w:color w:val="1519FD"/>
                </w:rPr>
                <w:t>Item 1. Business</w:t>
              </w:r>
            </w:hyperlink>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440" w:type="dxa"/>
            <w:vAlign w:val="bottom"/>
            <w:gridSpan w:val="25"/>
            <w:vMerge w:val="continue"/>
          </w:tcPr>
          <w:p>
            <w:pPr>
              <w:spacing w:after="0"/>
              <w:rPr>
                <w:sz w:val="19"/>
                <w:szCs w:val="19"/>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9">
              <w:r>
                <w:rPr>
                  <w:rFonts w:ascii="Arial" w:cs="Arial" w:eastAsia="Arial" w:hAnsi="Arial"/>
                  <w:sz w:val="18"/>
                  <w:szCs w:val="18"/>
                  <w:color w:val="1519FD"/>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1519FD"/>
          </w:tcPr>
          <w:p>
            <w:pPr>
              <w:spacing w:after="0" w:line="20" w:lineRule="exact"/>
              <w:rPr>
                <w:sz w:val="1"/>
                <w:szCs w:val="1"/>
                <w:color w:val="auto"/>
              </w:rPr>
            </w:pPr>
          </w:p>
        </w:tc>
        <w:tc>
          <w:tcPr>
            <w:tcW w:w="440" w:type="dxa"/>
            <w:vAlign w:val="bottom"/>
            <w:shd w:val="clear" w:color="auto" w:fill="1519F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1519FD"/>
            </w:tcBorders>
            <w:gridSpan w:val="4"/>
          </w:tcPr>
          <w:p>
            <w:pPr>
              <w:spacing w:after="0"/>
              <w:rPr>
                <w:rFonts w:ascii="Arial" w:cs="Arial" w:eastAsia="Arial" w:hAnsi="Arial"/>
                <w:sz w:val="18"/>
                <w:szCs w:val="18"/>
                <w:color w:val="1519FD"/>
                <w:w w:val="94"/>
              </w:rPr>
            </w:pPr>
            <w:hyperlink w:anchor="page22">
              <w:r>
                <w:rPr>
                  <w:rFonts w:ascii="Arial" w:cs="Arial" w:eastAsia="Arial" w:hAnsi="Arial"/>
                  <w:sz w:val="18"/>
                  <w:szCs w:val="18"/>
                  <w:color w:val="1519FD"/>
                  <w:w w:val="94"/>
                </w:rPr>
                <w:t>Item 1A. Risk Factors</w:t>
              </w:r>
            </w:hyperlink>
          </w:p>
        </w:tc>
        <w:tc>
          <w:tcPr>
            <w:tcW w:w="8800" w:type="dxa"/>
            <w:vAlign w:val="bottom"/>
            <w:gridSpan w:val="21"/>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22">
              <w:r>
                <w:rPr>
                  <w:rFonts w:ascii="Arial" w:cs="Arial" w:eastAsia="Arial" w:hAnsi="Arial"/>
                  <w:sz w:val="18"/>
                  <w:szCs w:val="18"/>
                  <w:color w:val="1519FD"/>
                  <w:w w:val="79"/>
                </w:rPr>
                <w:t>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1519FD"/>
            </w:tcBorders>
            <w:gridSpan w:val="10"/>
          </w:tcPr>
          <w:p>
            <w:pPr>
              <w:spacing w:after="0"/>
              <w:rPr>
                <w:rFonts w:ascii="Arial" w:cs="Arial" w:eastAsia="Arial" w:hAnsi="Arial"/>
                <w:sz w:val="18"/>
                <w:szCs w:val="18"/>
                <w:color w:val="1519FD"/>
                <w:w w:val="92"/>
              </w:rPr>
            </w:pPr>
            <w:hyperlink w:anchor="page60">
              <w:r>
                <w:rPr>
                  <w:rFonts w:ascii="Arial" w:cs="Arial" w:eastAsia="Arial" w:hAnsi="Arial"/>
                  <w:sz w:val="18"/>
                  <w:szCs w:val="18"/>
                  <w:color w:val="1519FD"/>
                  <w:w w:val="92"/>
                </w:rPr>
                <w:t>Item 1B. Unresolved Staff Comments</w:t>
              </w:r>
            </w:hyperlink>
          </w:p>
        </w:tc>
        <w:tc>
          <w:tcPr>
            <w:tcW w:w="7660" w:type="dxa"/>
            <w:vAlign w:val="bottom"/>
            <w:gridSpan w:val="15"/>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60">
              <w:r>
                <w:rPr>
                  <w:rFonts w:ascii="Arial" w:cs="Arial" w:eastAsia="Arial" w:hAnsi="Arial"/>
                  <w:sz w:val="18"/>
                  <w:szCs w:val="18"/>
                  <w:color w:val="1519FD"/>
                  <w:w w:val="79"/>
                </w:rPr>
                <w:t>60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1519FD"/>
            </w:tcBorders>
            <w:gridSpan w:val="3"/>
          </w:tcPr>
          <w:p>
            <w:pPr>
              <w:spacing w:after="0"/>
              <w:rPr>
                <w:rFonts w:ascii="Arial" w:cs="Arial" w:eastAsia="Arial" w:hAnsi="Arial"/>
                <w:sz w:val="18"/>
                <w:szCs w:val="18"/>
                <w:color w:val="1519FD"/>
                <w:w w:val="92"/>
              </w:rPr>
            </w:pPr>
            <w:hyperlink w:anchor="page60">
              <w:r>
                <w:rPr>
                  <w:rFonts w:ascii="Arial" w:cs="Arial" w:eastAsia="Arial" w:hAnsi="Arial"/>
                  <w:sz w:val="18"/>
                  <w:szCs w:val="18"/>
                  <w:color w:val="1519FD"/>
                  <w:w w:val="92"/>
                </w:rPr>
                <w:t>Item 2. Properties</w:t>
              </w:r>
            </w:hyperlink>
          </w:p>
        </w:tc>
        <w:tc>
          <w:tcPr>
            <w:tcW w:w="5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60">
              <w:r>
                <w:rPr>
                  <w:rFonts w:ascii="Arial" w:cs="Arial" w:eastAsia="Arial" w:hAnsi="Arial"/>
                  <w:sz w:val="18"/>
                  <w:szCs w:val="18"/>
                  <w:color w:val="1519FD"/>
                  <w:w w:val="79"/>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tcBorders>
              <w:bottom w:val="single" w:sz="8" w:color="1519FD"/>
            </w:tcBorders>
            <w:gridSpan w:val="5"/>
          </w:tcPr>
          <w:p>
            <w:pPr>
              <w:spacing w:after="0"/>
              <w:rPr>
                <w:rFonts w:ascii="Arial" w:cs="Arial" w:eastAsia="Arial" w:hAnsi="Arial"/>
                <w:sz w:val="18"/>
                <w:szCs w:val="18"/>
                <w:color w:val="1519FD"/>
                <w:w w:val="89"/>
              </w:rPr>
            </w:pPr>
            <w:hyperlink w:anchor="page61">
              <w:r>
                <w:rPr>
                  <w:rFonts w:ascii="Arial" w:cs="Arial" w:eastAsia="Arial" w:hAnsi="Arial"/>
                  <w:sz w:val="18"/>
                  <w:szCs w:val="18"/>
                  <w:color w:val="1519FD"/>
                  <w:w w:val="89"/>
                </w:rPr>
                <w:t>Item 3. Legal Proceedings</w:t>
              </w:r>
            </w:hyperlink>
          </w:p>
        </w:tc>
        <w:tc>
          <w:tcPr>
            <w:tcW w:w="8540" w:type="dxa"/>
            <w:vAlign w:val="bottom"/>
            <w:gridSpan w:val="20"/>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61">
              <w:r>
                <w:rPr>
                  <w:rFonts w:ascii="Arial" w:cs="Arial" w:eastAsia="Arial" w:hAnsi="Arial"/>
                  <w:sz w:val="18"/>
                  <w:szCs w:val="18"/>
                  <w:color w:val="1519FD"/>
                  <w:w w:val="79"/>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1519FD"/>
            </w:tcBorders>
            <w:gridSpan w:val="8"/>
          </w:tcPr>
          <w:p>
            <w:pPr>
              <w:spacing w:after="0"/>
              <w:rPr>
                <w:rFonts w:ascii="Arial" w:cs="Arial" w:eastAsia="Arial" w:hAnsi="Arial"/>
                <w:sz w:val="18"/>
                <w:szCs w:val="18"/>
                <w:color w:val="1519FD"/>
                <w:w w:val="93"/>
              </w:rPr>
            </w:pPr>
            <w:hyperlink w:anchor="page62">
              <w:r>
                <w:rPr>
                  <w:rFonts w:ascii="Arial" w:cs="Arial" w:eastAsia="Arial" w:hAnsi="Arial"/>
                  <w:sz w:val="18"/>
                  <w:szCs w:val="18"/>
                  <w:color w:val="1519FD"/>
                  <w:w w:val="93"/>
                </w:rPr>
                <w:t>Item 4. Mine Safety Disclosures</w:t>
              </w:r>
            </w:hyperlink>
          </w:p>
        </w:tc>
        <w:tc>
          <w:tcPr>
            <w:tcW w:w="8060" w:type="dxa"/>
            <w:vAlign w:val="bottom"/>
            <w:gridSpan w:val="17"/>
          </w:tcPr>
          <w:p>
            <w:pPr>
              <w:spacing w:after="0"/>
              <w:rPr>
                <w:sz w:val="20"/>
                <w:szCs w:val="20"/>
                <w:color w:val="auto"/>
              </w:rPr>
            </w:pPr>
          </w:p>
        </w:tc>
        <w:tc>
          <w:tcPr>
            <w:tcW w:w="580" w:type="dxa"/>
            <w:vAlign w:val="bottom"/>
            <w:gridSpan w:val="2"/>
          </w:tcPr>
          <w:p>
            <w:pPr>
              <w:spacing w:after="0"/>
              <w:rPr>
                <w:sz w:val="20"/>
                <w:szCs w:val="20"/>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62">
              <w:r>
                <w:rPr>
                  <w:rFonts w:ascii="Arial" w:cs="Arial" w:eastAsia="Arial" w:hAnsi="Arial"/>
                  <w:sz w:val="18"/>
                  <w:szCs w:val="18"/>
                  <w:color w:val="1519FD"/>
                  <w:w w:val="79"/>
                </w:rPr>
                <w:t>62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340" w:type="dxa"/>
            <w:vAlign w:val="bottom"/>
            <w:gridSpan w:val="10"/>
          </w:tcPr>
          <w:p>
            <w:pPr>
              <w:jc w:val="center"/>
              <w:ind w:right="4920"/>
              <w:spacing w:after="0"/>
              <w:rPr>
                <w:rFonts w:ascii="Arial" w:cs="Arial" w:eastAsia="Arial" w:hAnsi="Arial"/>
                <w:sz w:val="18"/>
                <w:szCs w:val="18"/>
                <w:color w:val="1519FD"/>
                <w:w w:val="87"/>
              </w:rPr>
            </w:pPr>
            <w:hyperlink w:anchor="page62">
              <w:r>
                <w:rPr>
                  <w:rFonts w:ascii="Arial" w:cs="Arial" w:eastAsia="Arial" w:hAnsi="Arial"/>
                  <w:sz w:val="18"/>
                  <w:szCs w:val="18"/>
                  <w:color w:val="1519FD"/>
                  <w:w w:val="87"/>
                </w:rPr>
                <w:t>Part II</w:t>
              </w:r>
            </w:hyperlink>
          </w:p>
        </w:tc>
        <w:tc>
          <w:tcPr>
            <w:tcW w:w="760" w:type="dxa"/>
            <w:vAlign w:val="bottom"/>
            <w:gridSpan w:val="4"/>
          </w:tcPr>
          <w:p>
            <w:pPr>
              <w:jc w:val="right"/>
              <w:spacing w:after="0"/>
              <w:rPr>
                <w:rFonts w:ascii="Arial" w:cs="Arial" w:eastAsia="Arial" w:hAnsi="Arial"/>
                <w:sz w:val="18"/>
                <w:szCs w:val="18"/>
                <w:color w:val="1519FD"/>
              </w:rPr>
            </w:pPr>
            <w:hyperlink w:anchor="page62">
              <w:r>
                <w:rPr>
                  <w:rFonts w:ascii="Arial" w:cs="Arial" w:eastAsia="Arial" w:hAnsi="Arial"/>
                  <w:sz w:val="18"/>
                  <w:szCs w:val="18"/>
                  <w:color w:val="1519FD"/>
                </w:rPr>
                <w:t>63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1519FD"/>
            </w:tcBorders>
          </w:tcPr>
          <w:p>
            <w:pPr>
              <w:spacing w:after="0" w:line="20" w:lineRule="exact"/>
              <w:rPr>
                <w:sz w:val="1"/>
                <w:szCs w:val="1"/>
                <w:color w:val="auto"/>
              </w:rPr>
            </w:pPr>
          </w:p>
        </w:tc>
        <w:tc>
          <w:tcPr>
            <w:tcW w:w="420" w:type="dxa"/>
            <w:vAlign w:val="bottom"/>
            <w:gridSpan w:val="2"/>
            <w:shd w:val="clear" w:color="auto" w:fill="1519F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1519FD"/>
            </w:tcBorders>
            <w:gridSpan w:val="24"/>
          </w:tcPr>
          <w:p>
            <w:pPr>
              <w:spacing w:after="0"/>
              <w:rPr>
                <w:rFonts w:ascii="Arial" w:cs="Arial" w:eastAsia="Arial" w:hAnsi="Arial"/>
                <w:sz w:val="18"/>
                <w:szCs w:val="18"/>
                <w:color w:val="1519FD"/>
                <w:w w:val="91"/>
              </w:rPr>
            </w:pPr>
            <w:hyperlink w:anchor="page63">
              <w:r>
                <w:rPr>
                  <w:rFonts w:ascii="Arial" w:cs="Arial" w:eastAsia="Arial" w:hAnsi="Arial"/>
                  <w:sz w:val="18"/>
                  <w:szCs w:val="18"/>
                  <w:color w:val="1519FD"/>
                  <w:w w:val="91"/>
                </w:rPr>
                <w:t>Item 5. Market for Registrant's Common Equity, Related Stockholder Matters and Issuer Purchases of Equity Securities</w:t>
              </w:r>
            </w:hyperlink>
          </w:p>
        </w:tc>
        <w:tc>
          <w:tcPr>
            <w:tcW w:w="178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63">
              <w:r>
                <w:rPr>
                  <w:rFonts w:ascii="Arial" w:cs="Arial" w:eastAsia="Arial" w:hAnsi="Arial"/>
                  <w:sz w:val="18"/>
                  <w:szCs w:val="18"/>
                  <w:color w:val="1519FD"/>
                  <w:w w:val="79"/>
                </w:rPr>
                <w:t>63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40" w:type="dxa"/>
            <w:vAlign w:val="bottom"/>
            <w:gridSpan w:val="25"/>
          </w:tcPr>
          <w:p>
            <w:pPr>
              <w:spacing w:after="0"/>
              <w:rPr>
                <w:rFonts w:ascii="Arial" w:cs="Arial" w:eastAsia="Arial" w:hAnsi="Arial"/>
                <w:sz w:val="18"/>
                <w:szCs w:val="18"/>
                <w:color w:val="1519FD"/>
              </w:rPr>
            </w:pPr>
            <w:hyperlink w:anchor="page64">
              <w:r>
                <w:rPr>
                  <w:rFonts w:ascii="Arial" w:cs="Arial" w:eastAsia="Arial" w:hAnsi="Arial"/>
                  <w:sz w:val="18"/>
                  <w:szCs w:val="18"/>
                  <w:color w:val="1519FD"/>
                </w:rPr>
                <w:t xml:space="preserve">Item 6. </w:t>
              </w:r>
            </w:hyperlink>
            <w:r>
              <w:rPr>
                <w:rFonts w:ascii="Arial" w:cs="Arial" w:eastAsia="Arial" w:hAnsi="Arial"/>
                <w:sz w:val="18"/>
                <w:szCs w:val="18"/>
                <w:color w:val="1519FD"/>
              </w:rPr>
              <w:t>[Reserved]</w:t>
            </w:r>
          </w:p>
        </w:tc>
        <w:tc>
          <w:tcPr>
            <w:tcW w:w="760" w:type="dxa"/>
            <w:vAlign w:val="bottom"/>
            <w:gridSpan w:val="4"/>
          </w:tcPr>
          <w:p>
            <w:pPr>
              <w:jc w:val="right"/>
              <w:spacing w:after="0"/>
              <w:rPr>
                <w:rFonts w:ascii="Arial" w:cs="Arial" w:eastAsia="Arial" w:hAnsi="Arial"/>
                <w:sz w:val="18"/>
                <w:szCs w:val="18"/>
                <w:color w:val="1519FD"/>
              </w:rPr>
            </w:pPr>
            <w:hyperlink w:anchor="page64">
              <w:r>
                <w:rPr>
                  <w:rFonts w:ascii="Arial" w:cs="Arial" w:eastAsia="Arial" w:hAnsi="Arial"/>
                  <w:sz w:val="18"/>
                  <w:szCs w:val="18"/>
                  <w:color w:val="1519FD"/>
                </w:rPr>
                <w:t>64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1519FD"/>
          </w:tcPr>
          <w:p>
            <w:pPr>
              <w:spacing w:after="0" w:line="20" w:lineRule="exact"/>
              <w:rPr>
                <w:sz w:val="1"/>
                <w:szCs w:val="1"/>
                <w:color w:val="auto"/>
              </w:rPr>
            </w:pPr>
          </w:p>
        </w:tc>
        <w:tc>
          <w:tcPr>
            <w:tcW w:w="580" w:type="dxa"/>
            <w:vAlign w:val="bottom"/>
            <w:gridSpan w:val="2"/>
            <w:shd w:val="clear" w:color="auto" w:fill="1519FD"/>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1519FD"/>
            </w:tcBorders>
            <w:gridSpan w:val="21"/>
          </w:tcPr>
          <w:p>
            <w:pPr>
              <w:spacing w:after="0"/>
              <w:rPr>
                <w:rFonts w:ascii="Arial" w:cs="Arial" w:eastAsia="Arial" w:hAnsi="Arial"/>
                <w:sz w:val="18"/>
                <w:szCs w:val="18"/>
                <w:color w:val="1519FD"/>
                <w:w w:val="91"/>
              </w:rPr>
            </w:pPr>
            <w:hyperlink w:anchor="page64">
              <w:r>
                <w:rPr>
                  <w:rFonts w:ascii="Arial" w:cs="Arial" w:eastAsia="Arial" w:hAnsi="Arial"/>
                  <w:sz w:val="18"/>
                  <w:szCs w:val="18"/>
                  <w:color w:val="1519FD"/>
                  <w:w w:val="91"/>
                </w:rPr>
                <w:t>Item 7. Management's Discussion and Analysis of Financial Condition and Results of Operations</w:t>
              </w:r>
            </w:hyperlink>
          </w:p>
        </w:tc>
        <w:tc>
          <w:tcPr>
            <w:tcW w:w="3400" w:type="dxa"/>
            <w:vAlign w:val="bottom"/>
            <w:gridSpan w:val="4"/>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64">
              <w:r>
                <w:rPr>
                  <w:rFonts w:ascii="Arial" w:cs="Arial" w:eastAsia="Arial" w:hAnsi="Arial"/>
                  <w:sz w:val="18"/>
                  <w:szCs w:val="18"/>
                  <w:color w:val="1519FD"/>
                  <w:w w:val="79"/>
                </w:rPr>
                <w:t>65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1519FD"/>
            </w:tcBorders>
            <w:gridSpan w:val="15"/>
          </w:tcPr>
          <w:p>
            <w:pPr>
              <w:spacing w:after="0"/>
              <w:rPr>
                <w:rFonts w:ascii="Arial" w:cs="Arial" w:eastAsia="Arial" w:hAnsi="Arial"/>
                <w:sz w:val="18"/>
                <w:szCs w:val="18"/>
                <w:color w:val="1519FD"/>
                <w:w w:val="93"/>
              </w:rPr>
            </w:pPr>
            <w:hyperlink w:anchor="page83">
              <w:r>
                <w:rPr>
                  <w:rFonts w:ascii="Arial" w:cs="Arial" w:eastAsia="Arial" w:hAnsi="Arial"/>
                  <w:sz w:val="18"/>
                  <w:szCs w:val="18"/>
                  <w:color w:val="1519FD"/>
                  <w:w w:val="93"/>
                </w:rPr>
                <w:t>Item 7A. Quantitative and Qualitative Disclosures About Market Risk</w:t>
              </w:r>
            </w:hyperlink>
          </w:p>
        </w:tc>
        <w:tc>
          <w:tcPr>
            <w:tcW w:w="5340" w:type="dxa"/>
            <w:vAlign w:val="bottom"/>
            <w:gridSpan w:val="10"/>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rFonts w:ascii="Arial" w:cs="Arial" w:eastAsia="Arial" w:hAnsi="Arial"/>
                <w:sz w:val="18"/>
                <w:szCs w:val="18"/>
                <w:color w:val="1519FD"/>
                <w:w w:val="79"/>
              </w:rPr>
            </w:pPr>
            <w:hyperlink w:anchor="page83">
              <w:r>
                <w:rPr>
                  <w:rFonts w:ascii="Arial" w:cs="Arial" w:eastAsia="Arial" w:hAnsi="Arial"/>
                  <w:sz w:val="18"/>
                  <w:szCs w:val="18"/>
                  <w:color w:val="1519FD"/>
                  <w:w w:val="79"/>
                </w:rPr>
                <w:t>83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40" w:type="dxa"/>
            <w:vAlign w:val="bottom"/>
            <w:gridSpan w:val="25"/>
          </w:tcPr>
          <w:p>
            <w:pPr>
              <w:spacing w:after="0"/>
              <w:rPr>
                <w:rFonts w:ascii="Arial" w:cs="Arial" w:eastAsia="Arial" w:hAnsi="Arial"/>
                <w:sz w:val="18"/>
                <w:szCs w:val="18"/>
                <w:color w:val="1519FD"/>
              </w:rPr>
            </w:pPr>
            <w:hyperlink w:anchor="page84">
              <w:r>
                <w:rPr>
                  <w:rFonts w:ascii="Arial" w:cs="Arial" w:eastAsia="Arial" w:hAnsi="Arial"/>
                  <w:sz w:val="18"/>
                  <w:szCs w:val="18"/>
                  <w:color w:val="1519FD"/>
                </w:rPr>
                <w:t>Item 8. Financial Statements and Supplementary Data</w:t>
              </w:r>
            </w:hyperlink>
          </w:p>
        </w:tc>
        <w:tc>
          <w:tcPr>
            <w:tcW w:w="760" w:type="dxa"/>
            <w:vAlign w:val="bottom"/>
            <w:gridSpan w:val="4"/>
          </w:tcPr>
          <w:p>
            <w:pPr>
              <w:jc w:val="right"/>
              <w:spacing w:after="0"/>
              <w:rPr>
                <w:rFonts w:ascii="Arial" w:cs="Arial" w:eastAsia="Arial" w:hAnsi="Arial"/>
                <w:sz w:val="18"/>
                <w:szCs w:val="18"/>
                <w:color w:val="1519FD"/>
              </w:rPr>
            </w:pPr>
            <w:hyperlink w:anchor="page84">
              <w:r>
                <w:rPr>
                  <w:rFonts w:ascii="Arial" w:cs="Arial" w:eastAsia="Arial" w:hAnsi="Arial"/>
                  <w:sz w:val="18"/>
                  <w:szCs w:val="18"/>
                  <w:color w:val="1519FD"/>
                </w:rPr>
                <w:t>85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1519FD"/>
          </w:tcPr>
          <w:p>
            <w:pPr>
              <w:spacing w:after="0" w:line="20" w:lineRule="exact"/>
              <w:rPr>
                <w:sz w:val="1"/>
                <w:szCs w:val="1"/>
                <w:color w:val="auto"/>
              </w:rPr>
            </w:pPr>
          </w:p>
        </w:tc>
        <w:tc>
          <w:tcPr>
            <w:tcW w:w="1240" w:type="dxa"/>
            <w:vAlign w:val="bottom"/>
            <w:gridSpan w:val="5"/>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260" w:type="dxa"/>
            <w:vAlign w:val="bottom"/>
            <w:gridSpan w:val="2"/>
            <w:shd w:val="clear" w:color="auto" w:fill="1519FD"/>
          </w:tcPr>
          <w:p>
            <w:pPr>
              <w:spacing w:after="0" w:line="20" w:lineRule="exact"/>
              <w:rPr>
                <w:sz w:val="1"/>
                <w:szCs w:val="1"/>
                <w:color w:val="auto"/>
              </w:rPr>
            </w:pPr>
          </w:p>
        </w:tc>
        <w:tc>
          <w:tcPr>
            <w:tcW w:w="1060" w:type="dxa"/>
            <w:vAlign w:val="bottom"/>
            <w:gridSpan w:val="2"/>
            <w:shd w:val="clear" w:color="auto" w:fill="1519FD"/>
          </w:tcPr>
          <w:p>
            <w:pPr>
              <w:spacing w:after="0" w:line="20" w:lineRule="exact"/>
              <w:rPr>
                <w:sz w:val="1"/>
                <w:szCs w:val="1"/>
                <w:color w:val="auto"/>
              </w:rPr>
            </w:pPr>
          </w:p>
        </w:tc>
        <w:tc>
          <w:tcPr>
            <w:tcW w:w="320" w:type="dxa"/>
            <w:vAlign w:val="bottom"/>
            <w:tcBorders>
              <w:right w:val="single" w:sz="8" w:color="1519FD"/>
            </w:tcBorders>
            <w:shd w:val="clear" w:color="auto" w:fill="1519FD"/>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40" w:type="dxa"/>
            <w:vAlign w:val="bottom"/>
            <w:gridSpan w:val="25"/>
          </w:tcPr>
          <w:p>
            <w:pPr>
              <w:spacing w:after="0"/>
              <w:rPr>
                <w:rFonts w:ascii="Arial" w:cs="Arial" w:eastAsia="Arial" w:hAnsi="Arial"/>
                <w:sz w:val="18"/>
                <w:szCs w:val="18"/>
                <w:color w:val="1519FD"/>
              </w:rPr>
            </w:pPr>
            <w:hyperlink w:anchor="page125">
              <w:r>
                <w:rPr>
                  <w:rFonts w:ascii="Arial" w:cs="Arial" w:eastAsia="Arial" w:hAnsi="Arial"/>
                  <w:sz w:val="18"/>
                  <w:szCs w:val="18"/>
                  <w:color w:val="1519FD"/>
                </w:rPr>
                <w:t>Item 9. Changes in and Disagreements With Accountants on Accounting and Financial Disclosure</w:t>
              </w:r>
            </w:hyperlink>
          </w:p>
        </w:tc>
        <w:tc>
          <w:tcPr>
            <w:tcW w:w="780" w:type="dxa"/>
            <w:vAlign w:val="bottom"/>
            <w:gridSpan w:val="5"/>
          </w:tcPr>
          <w:p>
            <w:pPr>
              <w:jc w:val="right"/>
              <w:ind w:right="20"/>
              <w:spacing w:after="0"/>
              <w:rPr>
                <w:rFonts w:ascii="Arial" w:cs="Arial" w:eastAsia="Arial" w:hAnsi="Arial"/>
                <w:sz w:val="18"/>
                <w:szCs w:val="18"/>
                <w:color w:val="1519FD"/>
              </w:rPr>
            </w:pPr>
            <w:hyperlink w:anchor="page125">
              <w:r>
                <w:rPr>
                  <w:rFonts w:ascii="Arial" w:cs="Arial" w:eastAsia="Arial" w:hAnsi="Arial"/>
                  <w:sz w:val="18"/>
                  <w:szCs w:val="18"/>
                  <w:color w:val="1519FD"/>
                </w:rPr>
                <w:t>125</w:t>
              </w:r>
            </w:hyperlink>
          </w:p>
        </w:tc>
        <w:tc>
          <w:tcPr>
            <w:tcW w:w="0" w:type="dxa"/>
            <w:vAlign w:val="bottom"/>
          </w:tcPr>
          <w:p>
            <w:pPr>
              <w:spacing w:after="0"/>
              <w:rPr>
                <w:sz w:val="1"/>
                <w:szCs w:val="1"/>
                <w:color w:val="auto"/>
              </w:rPr>
            </w:pPr>
          </w:p>
        </w:tc>
      </w:tr>
      <w:tr>
        <w:trPr>
          <w:trHeight w:val="20"/>
        </w:trPr>
        <w:tc>
          <w:tcPr>
            <w:tcW w:w="2500" w:type="dxa"/>
            <w:vAlign w:val="bottom"/>
            <w:tcBorders>
              <w:top w:val="single" w:sz="8" w:color="1519FD"/>
            </w:tcBorders>
            <w:gridSpan w:val="9"/>
            <w:vMerge w:val="restart"/>
          </w:tcPr>
          <w:p>
            <w:pPr>
              <w:spacing w:after="0"/>
              <w:rPr>
                <w:rFonts w:ascii="Arial" w:cs="Arial" w:eastAsia="Arial" w:hAnsi="Arial"/>
                <w:sz w:val="18"/>
                <w:szCs w:val="18"/>
                <w:color w:val="1519FD"/>
                <w:w w:val="91"/>
              </w:rPr>
            </w:pPr>
            <w:hyperlink w:anchor="page125">
              <w:r>
                <w:rPr>
                  <w:rFonts w:ascii="Arial" w:cs="Arial" w:eastAsia="Arial" w:hAnsi="Arial"/>
                  <w:sz w:val="18"/>
                  <w:szCs w:val="18"/>
                  <w:color w:val="1519FD"/>
                  <w:w w:val="91"/>
                </w:rPr>
                <w:t>Item 9A. Controls and Procedures</w:t>
              </w:r>
            </w:hyperlink>
          </w:p>
        </w:tc>
        <w:tc>
          <w:tcPr>
            <w:tcW w:w="4560" w:type="dxa"/>
            <w:vAlign w:val="bottom"/>
            <w:tcBorders>
              <w:top w:val="single" w:sz="8" w:color="1519FD"/>
            </w:tcBorders>
            <w:gridSpan w:val="13"/>
            <w:vMerge w:val="restart"/>
          </w:tcPr>
          <w:p>
            <w:pPr>
              <w:spacing w:after="0" w:line="20" w:lineRule="exact"/>
              <w:rPr>
                <w:sz w:val="1"/>
                <w:szCs w:val="1"/>
                <w:color w:val="auto"/>
              </w:rPr>
            </w:pPr>
          </w:p>
        </w:tc>
        <w:tc>
          <w:tcPr>
            <w:tcW w:w="3380" w:type="dxa"/>
            <w:vAlign w:val="bottom"/>
            <w:gridSpan w:val="3"/>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1519FD"/>
            </w:tcBorders>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500" w:type="dxa"/>
            <w:vAlign w:val="bottom"/>
            <w:tcBorders>
              <w:bottom w:val="single" w:sz="8" w:color="1519FD"/>
            </w:tcBorders>
            <w:gridSpan w:val="9"/>
            <w:vMerge w:val="continue"/>
          </w:tcPr>
          <w:p>
            <w:pPr>
              <w:spacing w:after="0"/>
              <w:rPr>
                <w:sz w:val="20"/>
                <w:szCs w:val="20"/>
                <w:color w:val="auto"/>
              </w:rPr>
            </w:pPr>
          </w:p>
        </w:tc>
        <w:tc>
          <w:tcPr>
            <w:tcW w:w="4560" w:type="dxa"/>
            <w:vAlign w:val="bottom"/>
            <w:gridSpan w:val="13"/>
            <w:vMerge w:val="continue"/>
          </w:tcPr>
          <w:p>
            <w:pPr>
              <w:spacing w:after="0"/>
              <w:rPr>
                <w:sz w:val="20"/>
                <w:szCs w:val="20"/>
                <w:color w:val="auto"/>
              </w:rPr>
            </w:pPr>
          </w:p>
        </w:tc>
        <w:tc>
          <w:tcPr>
            <w:tcW w:w="3380" w:type="dxa"/>
            <w:vAlign w:val="bottom"/>
            <w:gridSpan w:val="3"/>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5">
              <w:r>
                <w:rPr>
                  <w:rFonts w:ascii="Arial" w:cs="Arial" w:eastAsia="Arial" w:hAnsi="Arial"/>
                  <w:sz w:val="18"/>
                  <w:szCs w:val="18"/>
                  <w:color w:val="1519FD"/>
                </w:rPr>
                <w:t>125</w:t>
              </w:r>
            </w:hyperlink>
          </w:p>
        </w:tc>
        <w:tc>
          <w:tcPr>
            <w:tcW w:w="0" w:type="dxa"/>
            <w:vAlign w:val="bottom"/>
          </w:tcPr>
          <w:p>
            <w:pPr>
              <w:spacing w:after="0"/>
              <w:rPr>
                <w:sz w:val="1"/>
                <w:szCs w:val="1"/>
                <w:color w:val="auto"/>
              </w:rPr>
            </w:pPr>
          </w:p>
        </w:tc>
      </w:tr>
      <w:tr>
        <w:trPr>
          <w:trHeight w:val="20"/>
        </w:trPr>
        <w:tc>
          <w:tcPr>
            <w:tcW w:w="2000" w:type="dxa"/>
            <w:vAlign w:val="bottom"/>
            <w:gridSpan w:val="6"/>
            <w:vMerge w:val="restart"/>
          </w:tcPr>
          <w:p>
            <w:pPr>
              <w:spacing w:after="0"/>
              <w:rPr>
                <w:rFonts w:ascii="Arial" w:cs="Arial" w:eastAsia="Arial" w:hAnsi="Arial"/>
                <w:sz w:val="18"/>
                <w:szCs w:val="18"/>
                <w:color w:val="1519FD"/>
                <w:w w:val="93"/>
              </w:rPr>
            </w:pPr>
            <w:hyperlink w:anchor="page126">
              <w:r>
                <w:rPr>
                  <w:rFonts w:ascii="Arial" w:cs="Arial" w:eastAsia="Arial" w:hAnsi="Arial"/>
                  <w:sz w:val="18"/>
                  <w:szCs w:val="18"/>
                  <w:color w:val="1519FD"/>
                  <w:w w:val="93"/>
                </w:rPr>
                <w:t>Item 9B. Other Information</w:t>
              </w:r>
            </w:hyperlink>
          </w:p>
        </w:tc>
        <w:tc>
          <w:tcPr>
            <w:tcW w:w="8440" w:type="dxa"/>
            <w:vAlign w:val="bottom"/>
            <w:gridSpan w:val="19"/>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00" w:type="dxa"/>
            <w:vAlign w:val="bottom"/>
            <w:tcBorders>
              <w:bottom w:val="single" w:sz="8" w:color="1519FD"/>
            </w:tcBorders>
            <w:gridSpan w:val="6"/>
            <w:vMerge w:val="continue"/>
          </w:tcPr>
          <w:p>
            <w:pPr>
              <w:spacing w:after="0"/>
              <w:rPr>
                <w:sz w:val="20"/>
                <w:szCs w:val="20"/>
                <w:color w:val="auto"/>
              </w:rPr>
            </w:pPr>
          </w:p>
        </w:tc>
        <w:tc>
          <w:tcPr>
            <w:tcW w:w="8440" w:type="dxa"/>
            <w:vAlign w:val="bottom"/>
            <w:gridSpan w:val="19"/>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6">
              <w:r>
                <w:rPr>
                  <w:rFonts w:ascii="Arial" w:cs="Arial" w:eastAsia="Arial" w:hAnsi="Arial"/>
                  <w:sz w:val="18"/>
                  <w:szCs w:val="18"/>
                  <w:color w:val="1519FD"/>
                </w:rPr>
                <w:t>126</w:t>
              </w:r>
            </w:hyperlink>
          </w:p>
        </w:tc>
        <w:tc>
          <w:tcPr>
            <w:tcW w:w="0" w:type="dxa"/>
            <w:vAlign w:val="bottom"/>
          </w:tcPr>
          <w:p>
            <w:pPr>
              <w:spacing w:after="0"/>
              <w:rPr>
                <w:sz w:val="1"/>
                <w:szCs w:val="1"/>
                <w:color w:val="auto"/>
              </w:rPr>
            </w:pPr>
          </w:p>
        </w:tc>
      </w:tr>
      <w:tr>
        <w:trPr>
          <w:trHeight w:val="20"/>
        </w:trPr>
        <w:tc>
          <w:tcPr>
            <w:tcW w:w="5580" w:type="dxa"/>
            <w:vAlign w:val="bottom"/>
            <w:gridSpan w:val="19"/>
            <w:vMerge w:val="restart"/>
          </w:tcPr>
          <w:p>
            <w:pPr>
              <w:spacing w:after="0"/>
              <w:rPr>
                <w:rFonts w:ascii="Arial" w:cs="Arial" w:eastAsia="Arial" w:hAnsi="Arial"/>
                <w:sz w:val="18"/>
                <w:szCs w:val="18"/>
                <w:color w:val="1519FD"/>
                <w:w w:val="90"/>
              </w:rPr>
            </w:pPr>
            <w:hyperlink w:anchor="page126">
              <w:r>
                <w:rPr>
                  <w:rFonts w:ascii="Arial" w:cs="Arial" w:eastAsia="Arial" w:hAnsi="Arial"/>
                  <w:sz w:val="18"/>
                  <w:szCs w:val="18"/>
                  <w:color w:val="1519FD"/>
                  <w:w w:val="90"/>
                </w:rPr>
                <w:t>Item 9C. Disclosure Regarding Foreign Jurisdictions that Prevent Inspections</w:t>
              </w:r>
            </w:hyperlink>
          </w:p>
        </w:tc>
        <w:tc>
          <w:tcPr>
            <w:tcW w:w="4860" w:type="dxa"/>
            <w:vAlign w:val="bottom"/>
            <w:gridSpan w:val="6"/>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19"/>
            <w:vMerge w:val="continue"/>
          </w:tcPr>
          <w:p>
            <w:pPr>
              <w:spacing w:after="0"/>
              <w:rPr>
                <w:sz w:val="20"/>
                <w:szCs w:val="20"/>
                <w:color w:val="auto"/>
              </w:rPr>
            </w:pPr>
          </w:p>
        </w:tc>
        <w:tc>
          <w:tcPr>
            <w:tcW w:w="4860" w:type="dxa"/>
            <w:vAlign w:val="bottom"/>
            <w:gridSpan w:val="6"/>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6">
              <w:r>
                <w:rPr>
                  <w:rFonts w:ascii="Arial" w:cs="Arial" w:eastAsia="Arial" w:hAnsi="Arial"/>
                  <w:sz w:val="18"/>
                  <w:szCs w:val="18"/>
                  <w:color w:val="1519FD"/>
                </w:rPr>
                <w:t>126</w:t>
              </w:r>
            </w:hyperlink>
          </w:p>
        </w:tc>
        <w:tc>
          <w:tcPr>
            <w:tcW w:w="0" w:type="dxa"/>
            <w:vAlign w:val="bottom"/>
          </w:tcPr>
          <w:p>
            <w:pPr>
              <w:spacing w:after="0"/>
              <w:rPr>
                <w:sz w:val="1"/>
                <w:szCs w:val="1"/>
                <w:color w:val="auto"/>
              </w:rPr>
            </w:pPr>
          </w:p>
        </w:tc>
      </w:tr>
      <w:tr>
        <w:trPr>
          <w:trHeight w:val="20"/>
        </w:trPr>
        <w:tc>
          <w:tcPr>
            <w:tcW w:w="760" w:type="dxa"/>
            <w:vAlign w:val="bottom"/>
            <w:tcBorders>
              <w:top w:val="single" w:sz="8" w:color="1519FD"/>
            </w:tcBorders>
          </w:tcPr>
          <w:p>
            <w:pPr>
              <w:spacing w:after="0" w:line="20" w:lineRule="exact"/>
              <w:rPr>
                <w:sz w:val="1"/>
                <w:szCs w:val="1"/>
                <w:color w:val="auto"/>
              </w:rPr>
            </w:pPr>
          </w:p>
        </w:tc>
        <w:tc>
          <w:tcPr>
            <w:tcW w:w="440" w:type="dxa"/>
            <w:vAlign w:val="bottom"/>
            <w:tcBorders>
              <w:top w:val="single" w:sz="8" w:color="1519FD"/>
            </w:tcBorders>
          </w:tcPr>
          <w:p>
            <w:pPr>
              <w:spacing w:after="0" w:line="20" w:lineRule="exact"/>
              <w:rPr>
                <w:sz w:val="1"/>
                <w:szCs w:val="1"/>
                <w:color w:val="auto"/>
              </w:rPr>
            </w:pPr>
          </w:p>
        </w:tc>
        <w:tc>
          <w:tcPr>
            <w:tcW w:w="140" w:type="dxa"/>
            <w:vAlign w:val="bottom"/>
            <w:tcBorders>
              <w:top w:val="single" w:sz="8" w:color="1519FD"/>
            </w:tcBorders>
          </w:tcPr>
          <w:p>
            <w:pPr>
              <w:spacing w:after="0" w:line="20" w:lineRule="exact"/>
              <w:rPr>
                <w:sz w:val="1"/>
                <w:szCs w:val="1"/>
                <w:color w:val="auto"/>
              </w:rPr>
            </w:pPr>
          </w:p>
        </w:tc>
        <w:tc>
          <w:tcPr>
            <w:tcW w:w="300" w:type="dxa"/>
            <w:vAlign w:val="bottom"/>
            <w:tcBorders>
              <w:top w:val="single" w:sz="8" w:color="1519FD"/>
            </w:tcBorders>
          </w:tcPr>
          <w:p>
            <w:pPr>
              <w:spacing w:after="0" w:line="20" w:lineRule="exact"/>
              <w:rPr>
                <w:sz w:val="1"/>
                <w:szCs w:val="1"/>
                <w:color w:val="auto"/>
              </w:rPr>
            </w:pPr>
          </w:p>
        </w:tc>
        <w:tc>
          <w:tcPr>
            <w:tcW w:w="260" w:type="dxa"/>
            <w:vAlign w:val="bottom"/>
            <w:tcBorders>
              <w:top w:val="single" w:sz="8" w:color="1519FD"/>
            </w:tcBorders>
          </w:tcPr>
          <w:p>
            <w:pPr>
              <w:spacing w:after="0" w:line="20" w:lineRule="exact"/>
              <w:rPr>
                <w:sz w:val="1"/>
                <w:szCs w:val="1"/>
                <w:color w:val="auto"/>
              </w:rPr>
            </w:pPr>
          </w:p>
        </w:tc>
        <w:tc>
          <w:tcPr>
            <w:tcW w:w="100" w:type="dxa"/>
            <w:vAlign w:val="bottom"/>
            <w:tcBorders>
              <w:top w:val="single" w:sz="8" w:color="1519FD"/>
            </w:tcBorders>
          </w:tcPr>
          <w:p>
            <w:pPr>
              <w:spacing w:after="0" w:line="20" w:lineRule="exact"/>
              <w:rPr>
                <w:sz w:val="1"/>
                <w:szCs w:val="1"/>
                <w:color w:val="auto"/>
              </w:rPr>
            </w:pPr>
          </w:p>
        </w:tc>
        <w:tc>
          <w:tcPr>
            <w:tcW w:w="240" w:type="dxa"/>
            <w:vAlign w:val="bottom"/>
            <w:tcBorders>
              <w:top w:val="single" w:sz="8" w:color="1519FD"/>
            </w:tcBorders>
          </w:tcPr>
          <w:p>
            <w:pPr>
              <w:spacing w:after="0" w:line="20" w:lineRule="exact"/>
              <w:rPr>
                <w:sz w:val="1"/>
                <w:szCs w:val="1"/>
                <w:color w:val="auto"/>
              </w:rPr>
            </w:pPr>
          </w:p>
        </w:tc>
        <w:tc>
          <w:tcPr>
            <w:tcW w:w="140" w:type="dxa"/>
            <w:vAlign w:val="bottom"/>
            <w:tcBorders>
              <w:top w:val="single" w:sz="8" w:color="1519FD"/>
            </w:tcBorders>
          </w:tcPr>
          <w:p>
            <w:pPr>
              <w:spacing w:after="0" w:line="20" w:lineRule="exact"/>
              <w:rPr>
                <w:sz w:val="1"/>
                <w:szCs w:val="1"/>
                <w:color w:val="auto"/>
              </w:rPr>
            </w:pPr>
          </w:p>
        </w:tc>
        <w:tc>
          <w:tcPr>
            <w:tcW w:w="120" w:type="dxa"/>
            <w:vAlign w:val="bottom"/>
            <w:tcBorders>
              <w:top w:val="single" w:sz="8" w:color="1519FD"/>
            </w:tcBorders>
          </w:tcPr>
          <w:p>
            <w:pPr>
              <w:spacing w:after="0" w:line="20" w:lineRule="exact"/>
              <w:rPr>
                <w:sz w:val="1"/>
                <w:szCs w:val="1"/>
                <w:color w:val="auto"/>
              </w:rPr>
            </w:pPr>
          </w:p>
        </w:tc>
        <w:tc>
          <w:tcPr>
            <w:tcW w:w="280" w:type="dxa"/>
            <w:vAlign w:val="bottom"/>
            <w:tcBorders>
              <w:top w:val="single" w:sz="8" w:color="1519FD"/>
            </w:tcBorders>
          </w:tcPr>
          <w:p>
            <w:pPr>
              <w:spacing w:after="0" w:line="20" w:lineRule="exact"/>
              <w:rPr>
                <w:sz w:val="1"/>
                <w:szCs w:val="1"/>
                <w:color w:val="auto"/>
              </w:rPr>
            </w:pPr>
          </w:p>
        </w:tc>
        <w:tc>
          <w:tcPr>
            <w:tcW w:w="780" w:type="dxa"/>
            <w:vAlign w:val="bottom"/>
            <w:tcBorders>
              <w:top w:val="single" w:sz="8" w:color="1519FD"/>
            </w:tcBorders>
          </w:tcPr>
          <w:p>
            <w:pPr>
              <w:spacing w:after="0" w:line="20" w:lineRule="exact"/>
              <w:rPr>
                <w:sz w:val="1"/>
                <w:szCs w:val="1"/>
                <w:color w:val="auto"/>
              </w:rPr>
            </w:pPr>
          </w:p>
        </w:tc>
        <w:tc>
          <w:tcPr>
            <w:tcW w:w="320" w:type="dxa"/>
            <w:vAlign w:val="bottom"/>
            <w:tcBorders>
              <w:top w:val="single" w:sz="8" w:color="1519FD"/>
            </w:tcBorders>
          </w:tcPr>
          <w:p>
            <w:pPr>
              <w:spacing w:after="0" w:line="20" w:lineRule="exact"/>
              <w:rPr>
                <w:sz w:val="1"/>
                <w:szCs w:val="1"/>
                <w:color w:val="auto"/>
              </w:rPr>
            </w:pPr>
          </w:p>
        </w:tc>
        <w:tc>
          <w:tcPr>
            <w:tcW w:w="900" w:type="dxa"/>
            <w:vAlign w:val="bottom"/>
            <w:tcBorders>
              <w:top w:val="single" w:sz="8" w:color="1519FD"/>
            </w:tcBorders>
          </w:tcPr>
          <w:p>
            <w:pPr>
              <w:spacing w:after="0" w:line="20" w:lineRule="exact"/>
              <w:rPr>
                <w:sz w:val="1"/>
                <w:szCs w:val="1"/>
                <w:color w:val="auto"/>
              </w:rPr>
            </w:pPr>
          </w:p>
        </w:tc>
        <w:tc>
          <w:tcPr>
            <w:tcW w:w="260" w:type="dxa"/>
            <w:vAlign w:val="bottom"/>
            <w:tcBorders>
              <w:top w:val="single" w:sz="8" w:color="1519FD"/>
            </w:tcBorders>
          </w:tcPr>
          <w:p>
            <w:pPr>
              <w:spacing w:after="0" w:line="20" w:lineRule="exact"/>
              <w:rPr>
                <w:sz w:val="1"/>
                <w:szCs w:val="1"/>
                <w:color w:val="auto"/>
              </w:rPr>
            </w:pPr>
          </w:p>
        </w:tc>
        <w:tc>
          <w:tcPr>
            <w:tcW w:w="520" w:type="dxa"/>
            <w:vAlign w:val="bottom"/>
            <w:tcBorders>
              <w:top w:val="single" w:sz="8" w:color="1519FD"/>
            </w:tcBorders>
            <w:gridSpan w:val="4"/>
            <w:vMerge w:val="restart"/>
          </w:tcPr>
          <w:p>
            <w:pPr>
              <w:jc w:val="center"/>
              <w:spacing w:after="0"/>
              <w:rPr>
                <w:rFonts w:ascii="Arial" w:cs="Arial" w:eastAsia="Arial" w:hAnsi="Arial"/>
                <w:sz w:val="18"/>
                <w:szCs w:val="18"/>
                <w:color w:val="1519FD"/>
                <w:w w:val="97"/>
              </w:rPr>
            </w:pPr>
            <w:hyperlink w:anchor="page126">
              <w:r>
                <w:rPr>
                  <w:rFonts w:ascii="Arial" w:cs="Arial" w:eastAsia="Arial" w:hAnsi="Arial"/>
                  <w:sz w:val="18"/>
                  <w:szCs w:val="18"/>
                  <w:color w:val="1519FD"/>
                  <w:w w:val="97"/>
                </w:rPr>
                <w:t>Part III</w:t>
              </w:r>
            </w:hyperlink>
          </w:p>
        </w:tc>
        <w:tc>
          <w:tcPr>
            <w:tcW w:w="20" w:type="dxa"/>
            <w:vAlign w:val="bottom"/>
            <w:tcBorders>
              <w:top w:val="single" w:sz="8" w:color="1519FD"/>
            </w:tcBorders>
            <w:vMerge w:val="restart"/>
          </w:tcPr>
          <w:p>
            <w:pPr>
              <w:spacing w:after="0" w:line="20" w:lineRule="exact"/>
              <w:rPr>
                <w:sz w:val="1"/>
                <w:szCs w:val="1"/>
                <w:color w:val="auto"/>
              </w:rPr>
            </w:pPr>
          </w:p>
        </w:tc>
        <w:tc>
          <w:tcPr>
            <w:tcW w:w="4860" w:type="dxa"/>
            <w:vAlign w:val="bottom"/>
            <w:gridSpan w:val="6"/>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1519FD"/>
            </w:tcBorders>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bottom w:val="single" w:sz="8" w:color="1519FD"/>
            </w:tcBorders>
            <w:gridSpan w:val="4"/>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860" w:type="dxa"/>
            <w:vAlign w:val="bottom"/>
            <w:gridSpan w:val="6"/>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6">
              <w:r>
                <w:rPr>
                  <w:rFonts w:ascii="Arial" w:cs="Arial" w:eastAsia="Arial" w:hAnsi="Arial"/>
                  <w:sz w:val="18"/>
                  <w:szCs w:val="18"/>
                  <w:color w:val="1519FD"/>
                </w:rPr>
                <w:t>127</w:t>
              </w:r>
            </w:hyperlink>
          </w:p>
        </w:tc>
        <w:tc>
          <w:tcPr>
            <w:tcW w:w="0" w:type="dxa"/>
            <w:vAlign w:val="bottom"/>
          </w:tcPr>
          <w:p>
            <w:pPr>
              <w:spacing w:after="0"/>
              <w:rPr>
                <w:sz w:val="1"/>
                <w:szCs w:val="1"/>
                <w:color w:val="auto"/>
              </w:rPr>
            </w:pPr>
          </w:p>
        </w:tc>
      </w:tr>
      <w:tr>
        <w:trPr>
          <w:trHeight w:val="20"/>
        </w:trPr>
        <w:tc>
          <w:tcPr>
            <w:tcW w:w="4780" w:type="dxa"/>
            <w:vAlign w:val="bottom"/>
            <w:gridSpan w:val="13"/>
            <w:vMerge w:val="restart"/>
          </w:tcPr>
          <w:p>
            <w:pPr>
              <w:spacing w:after="0"/>
              <w:rPr>
                <w:rFonts w:ascii="Arial" w:cs="Arial" w:eastAsia="Arial" w:hAnsi="Arial"/>
                <w:sz w:val="18"/>
                <w:szCs w:val="18"/>
                <w:color w:val="1519FD"/>
                <w:w w:val="91"/>
              </w:rPr>
            </w:pPr>
            <w:hyperlink w:anchor="page127">
              <w:r>
                <w:rPr>
                  <w:rFonts w:ascii="Arial" w:cs="Arial" w:eastAsia="Arial" w:hAnsi="Arial"/>
                  <w:sz w:val="18"/>
                  <w:szCs w:val="18"/>
                  <w:color w:val="1519FD"/>
                  <w:w w:val="91"/>
                </w:rPr>
                <w:t>Item 10. Directors, Executive Officers and Corporate Governance</w:t>
              </w:r>
            </w:hyperlink>
          </w:p>
        </w:tc>
        <w:tc>
          <w:tcPr>
            <w:tcW w:w="5660" w:type="dxa"/>
            <w:vAlign w:val="bottom"/>
            <w:gridSpan w:val="1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gridSpan w:val="13"/>
            <w:vMerge w:val="continue"/>
          </w:tcPr>
          <w:p>
            <w:pPr>
              <w:spacing w:after="0"/>
              <w:rPr>
                <w:sz w:val="20"/>
                <w:szCs w:val="20"/>
                <w:color w:val="auto"/>
              </w:rPr>
            </w:pPr>
          </w:p>
        </w:tc>
        <w:tc>
          <w:tcPr>
            <w:tcW w:w="5660" w:type="dxa"/>
            <w:vAlign w:val="bottom"/>
            <w:gridSpan w:val="12"/>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7">
              <w:r>
                <w:rPr>
                  <w:rFonts w:ascii="Arial" w:cs="Arial" w:eastAsia="Arial" w:hAnsi="Arial"/>
                  <w:sz w:val="18"/>
                  <w:szCs w:val="18"/>
                  <w:color w:val="1519FD"/>
                </w:rPr>
                <w:t>127</w:t>
              </w:r>
            </w:hyperlink>
          </w:p>
        </w:tc>
        <w:tc>
          <w:tcPr>
            <w:tcW w:w="0" w:type="dxa"/>
            <w:vAlign w:val="bottom"/>
          </w:tcPr>
          <w:p>
            <w:pPr>
              <w:spacing w:after="0"/>
              <w:rPr>
                <w:sz w:val="1"/>
                <w:szCs w:val="1"/>
                <w:color w:val="auto"/>
              </w:rPr>
            </w:pPr>
          </w:p>
        </w:tc>
      </w:tr>
      <w:tr>
        <w:trPr>
          <w:trHeight w:val="20"/>
        </w:trPr>
        <w:tc>
          <w:tcPr>
            <w:tcW w:w="2500" w:type="dxa"/>
            <w:vAlign w:val="bottom"/>
            <w:tcBorders>
              <w:top w:val="single" w:sz="8" w:color="1519FD"/>
            </w:tcBorders>
            <w:gridSpan w:val="9"/>
            <w:vMerge w:val="restart"/>
          </w:tcPr>
          <w:p>
            <w:pPr>
              <w:spacing w:after="0"/>
              <w:rPr>
                <w:rFonts w:ascii="Arial" w:cs="Arial" w:eastAsia="Arial" w:hAnsi="Arial"/>
                <w:sz w:val="18"/>
                <w:szCs w:val="18"/>
                <w:color w:val="1519FD"/>
                <w:w w:val="92"/>
              </w:rPr>
            </w:pPr>
            <w:hyperlink w:anchor="page127">
              <w:r>
                <w:rPr>
                  <w:rFonts w:ascii="Arial" w:cs="Arial" w:eastAsia="Arial" w:hAnsi="Arial"/>
                  <w:sz w:val="18"/>
                  <w:szCs w:val="18"/>
                  <w:color w:val="1519FD"/>
                  <w:w w:val="92"/>
                </w:rPr>
                <w:t>Item 11. Executive Compensation</w:t>
              </w:r>
            </w:hyperlink>
          </w:p>
        </w:tc>
        <w:tc>
          <w:tcPr>
            <w:tcW w:w="2280" w:type="dxa"/>
            <w:vAlign w:val="bottom"/>
            <w:tcBorders>
              <w:top w:val="single" w:sz="8" w:color="1519FD"/>
            </w:tcBorders>
            <w:gridSpan w:val="4"/>
            <w:vMerge w:val="restart"/>
          </w:tcPr>
          <w:p>
            <w:pPr>
              <w:spacing w:after="0" w:line="20" w:lineRule="exact"/>
              <w:rPr>
                <w:sz w:val="1"/>
                <w:szCs w:val="1"/>
                <w:color w:val="auto"/>
              </w:rPr>
            </w:pPr>
          </w:p>
        </w:tc>
        <w:tc>
          <w:tcPr>
            <w:tcW w:w="5660" w:type="dxa"/>
            <w:vAlign w:val="bottom"/>
            <w:gridSpan w:val="1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1519FD"/>
            </w:tcBorders>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gridSpan w:val="9"/>
            <w:vMerge w:val="continue"/>
          </w:tcPr>
          <w:p>
            <w:pPr>
              <w:spacing w:after="0"/>
              <w:rPr>
                <w:sz w:val="20"/>
                <w:szCs w:val="20"/>
                <w:color w:val="auto"/>
              </w:rPr>
            </w:pPr>
          </w:p>
        </w:tc>
        <w:tc>
          <w:tcPr>
            <w:tcW w:w="2280" w:type="dxa"/>
            <w:vAlign w:val="bottom"/>
            <w:gridSpan w:val="4"/>
            <w:vMerge w:val="continue"/>
          </w:tcPr>
          <w:p>
            <w:pPr>
              <w:spacing w:after="0"/>
              <w:rPr>
                <w:sz w:val="20"/>
                <w:szCs w:val="20"/>
                <w:color w:val="auto"/>
              </w:rPr>
            </w:pPr>
          </w:p>
        </w:tc>
        <w:tc>
          <w:tcPr>
            <w:tcW w:w="5660" w:type="dxa"/>
            <w:vAlign w:val="bottom"/>
            <w:gridSpan w:val="12"/>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7">
              <w:r>
                <w:rPr>
                  <w:rFonts w:ascii="Arial" w:cs="Arial" w:eastAsia="Arial" w:hAnsi="Arial"/>
                  <w:sz w:val="18"/>
                  <w:szCs w:val="18"/>
                  <w:color w:val="1519FD"/>
                </w:rPr>
                <w:t>127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1519FD"/>
          </w:tcPr>
          <w:p>
            <w:pPr>
              <w:spacing w:after="0" w:line="20" w:lineRule="exact"/>
              <w:rPr>
                <w:sz w:val="1"/>
                <w:szCs w:val="1"/>
                <w:color w:val="auto"/>
              </w:rPr>
            </w:pPr>
          </w:p>
        </w:tc>
        <w:tc>
          <w:tcPr>
            <w:tcW w:w="440" w:type="dxa"/>
            <w:vAlign w:val="bottom"/>
            <w:shd w:val="clear" w:color="auto" w:fill="1519FD"/>
          </w:tcPr>
          <w:p>
            <w:pPr>
              <w:spacing w:after="0" w:line="20" w:lineRule="exact"/>
              <w:rPr>
                <w:sz w:val="1"/>
                <w:szCs w:val="1"/>
                <w:color w:val="auto"/>
              </w:rPr>
            </w:pPr>
          </w:p>
        </w:tc>
        <w:tc>
          <w:tcPr>
            <w:tcW w:w="140" w:type="dxa"/>
            <w:vAlign w:val="bottom"/>
            <w:shd w:val="clear" w:color="auto" w:fill="1519FD"/>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6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140" w:type="dxa"/>
            <w:vAlign w:val="bottom"/>
            <w:shd w:val="clear" w:color="auto" w:fill="1519FD"/>
          </w:tcPr>
          <w:p>
            <w:pPr>
              <w:spacing w:after="0" w:line="20" w:lineRule="exact"/>
              <w:rPr>
                <w:sz w:val="1"/>
                <w:szCs w:val="1"/>
                <w:color w:val="auto"/>
              </w:rPr>
            </w:pPr>
          </w:p>
        </w:tc>
        <w:tc>
          <w:tcPr>
            <w:tcW w:w="120" w:type="dxa"/>
            <w:vAlign w:val="bottom"/>
            <w:shd w:val="clear" w:color="auto" w:fill="1519F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1519FD"/>
            </w:tcBorders>
            <w:shd w:val="clear" w:color="auto" w:fill="1519FD"/>
          </w:tcPr>
          <w:p>
            <w:pPr>
              <w:spacing w:after="0" w:line="20" w:lineRule="exact"/>
              <w:rPr>
                <w:sz w:val="1"/>
                <w:szCs w:val="1"/>
                <w:color w:val="auto"/>
              </w:rPr>
            </w:pPr>
          </w:p>
        </w:tc>
        <w:tc>
          <w:tcPr>
            <w:tcW w:w="100" w:type="dxa"/>
            <w:vAlign w:val="bottom"/>
            <w:tcBorders>
              <w:bottom w:val="single" w:sz="8" w:color="1519FD"/>
            </w:tcBorders>
            <w:shd w:val="clear" w:color="auto" w:fill="1519FD"/>
          </w:tcPr>
          <w:p>
            <w:pPr>
              <w:spacing w:after="0" w:line="20" w:lineRule="exact"/>
              <w:rPr>
                <w:sz w:val="1"/>
                <w:szCs w:val="1"/>
                <w:color w:val="auto"/>
              </w:rPr>
            </w:pPr>
          </w:p>
        </w:tc>
        <w:tc>
          <w:tcPr>
            <w:tcW w:w="80" w:type="dxa"/>
            <w:vAlign w:val="bottom"/>
            <w:tcBorders>
              <w:bottom w:val="single" w:sz="8" w:color="1519FD"/>
            </w:tcBorders>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gridSpan w:val="23"/>
          </w:tcPr>
          <w:p>
            <w:pPr>
              <w:spacing w:after="0"/>
              <w:rPr>
                <w:rFonts w:ascii="Arial" w:cs="Arial" w:eastAsia="Arial" w:hAnsi="Arial"/>
                <w:sz w:val="18"/>
                <w:szCs w:val="18"/>
                <w:color w:val="1519FD"/>
                <w:w w:val="91"/>
              </w:rPr>
            </w:pPr>
            <w:hyperlink w:anchor="page127">
              <w:r>
                <w:rPr>
                  <w:rFonts w:ascii="Arial" w:cs="Arial" w:eastAsia="Arial" w:hAnsi="Arial"/>
                  <w:sz w:val="18"/>
                  <w:szCs w:val="18"/>
                  <w:color w:val="1519FD"/>
                  <w:w w:val="91"/>
                </w:rPr>
                <w:t>Item 12. Security Ownership of Certain Beneficial Owner and Management and Related Stockholder Matters</w:t>
              </w:r>
            </w:hyperlink>
          </w:p>
        </w:tc>
        <w:tc>
          <w:tcPr>
            <w:tcW w:w="2520" w:type="dxa"/>
            <w:vAlign w:val="bottom"/>
            <w:gridSpan w:val="2"/>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7">
              <w:r>
                <w:rPr>
                  <w:rFonts w:ascii="Arial" w:cs="Arial" w:eastAsia="Arial" w:hAnsi="Arial"/>
                  <w:sz w:val="18"/>
                  <w:szCs w:val="18"/>
                  <w:color w:val="1519FD"/>
                </w:rPr>
                <w:t>127</w:t>
              </w:r>
            </w:hyperlink>
          </w:p>
        </w:tc>
        <w:tc>
          <w:tcPr>
            <w:tcW w:w="0" w:type="dxa"/>
            <w:vAlign w:val="bottom"/>
          </w:tcPr>
          <w:p>
            <w:pPr>
              <w:spacing w:after="0"/>
              <w:rPr>
                <w:sz w:val="1"/>
                <w:szCs w:val="1"/>
                <w:color w:val="auto"/>
              </w:rPr>
            </w:pPr>
          </w:p>
        </w:tc>
      </w:tr>
      <w:tr>
        <w:trPr>
          <w:trHeight w:val="20"/>
        </w:trPr>
        <w:tc>
          <w:tcPr>
            <w:tcW w:w="7920" w:type="dxa"/>
            <w:vAlign w:val="bottom"/>
            <w:tcBorders>
              <w:top w:val="single" w:sz="8" w:color="1519FD"/>
            </w:tcBorders>
            <w:gridSpan w:val="23"/>
            <w:vMerge w:val="restart"/>
          </w:tcPr>
          <w:p>
            <w:pPr>
              <w:spacing w:after="0"/>
              <w:rPr>
                <w:rFonts w:ascii="Arial" w:cs="Arial" w:eastAsia="Arial" w:hAnsi="Arial"/>
                <w:sz w:val="18"/>
                <w:szCs w:val="18"/>
                <w:color w:val="1519FD"/>
              </w:rPr>
            </w:pPr>
            <w:hyperlink w:anchor="page127">
              <w:r>
                <w:rPr>
                  <w:rFonts w:ascii="Arial" w:cs="Arial" w:eastAsia="Arial" w:hAnsi="Arial"/>
                  <w:sz w:val="18"/>
                  <w:szCs w:val="18"/>
                  <w:color w:val="1519FD"/>
                </w:rPr>
                <w:t>Item 13. Certain Relationships and Related Transactions, and Director Independence</w:t>
              </w:r>
            </w:hyperlink>
          </w:p>
        </w:tc>
        <w:tc>
          <w:tcPr>
            <w:tcW w:w="2520" w:type="dxa"/>
            <w:vAlign w:val="bottom"/>
            <w:gridSpan w:val="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1519FD"/>
            </w:tcBorders>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gridSpan w:val="23"/>
            <w:vMerge w:val="continue"/>
          </w:tcPr>
          <w:p>
            <w:pPr>
              <w:spacing w:after="0"/>
              <w:rPr>
                <w:sz w:val="20"/>
                <w:szCs w:val="20"/>
                <w:color w:val="auto"/>
              </w:rPr>
            </w:pPr>
          </w:p>
        </w:tc>
        <w:tc>
          <w:tcPr>
            <w:tcW w:w="2520" w:type="dxa"/>
            <w:vAlign w:val="bottom"/>
            <w:gridSpan w:val="2"/>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7">
              <w:r>
                <w:rPr>
                  <w:rFonts w:ascii="Arial" w:cs="Arial" w:eastAsia="Arial" w:hAnsi="Arial"/>
                  <w:sz w:val="18"/>
                  <w:szCs w:val="18"/>
                  <w:color w:val="1519FD"/>
                </w:rPr>
                <w:t>127</w:t>
              </w:r>
            </w:hyperlink>
          </w:p>
        </w:tc>
        <w:tc>
          <w:tcPr>
            <w:tcW w:w="0" w:type="dxa"/>
            <w:vAlign w:val="bottom"/>
          </w:tcPr>
          <w:p>
            <w:pPr>
              <w:spacing w:after="0"/>
              <w:rPr>
                <w:sz w:val="1"/>
                <w:szCs w:val="1"/>
                <w:color w:val="auto"/>
              </w:rPr>
            </w:pPr>
          </w:p>
        </w:tc>
      </w:tr>
      <w:tr>
        <w:trPr>
          <w:trHeight w:val="20"/>
        </w:trPr>
        <w:tc>
          <w:tcPr>
            <w:tcW w:w="3560" w:type="dxa"/>
            <w:vAlign w:val="bottom"/>
            <w:tcBorders>
              <w:top w:val="single" w:sz="8" w:color="1519FD"/>
            </w:tcBorders>
            <w:gridSpan w:val="11"/>
            <w:vMerge w:val="restart"/>
          </w:tcPr>
          <w:p>
            <w:pPr>
              <w:spacing w:after="0"/>
              <w:rPr>
                <w:rFonts w:ascii="Arial" w:cs="Arial" w:eastAsia="Arial" w:hAnsi="Arial"/>
                <w:sz w:val="18"/>
                <w:szCs w:val="18"/>
                <w:color w:val="1519FD"/>
                <w:w w:val="91"/>
              </w:rPr>
            </w:pPr>
            <w:hyperlink w:anchor="page127">
              <w:r>
                <w:rPr>
                  <w:rFonts w:ascii="Arial" w:cs="Arial" w:eastAsia="Arial" w:hAnsi="Arial"/>
                  <w:sz w:val="18"/>
                  <w:szCs w:val="18"/>
                  <w:color w:val="1519FD"/>
                  <w:w w:val="91"/>
                </w:rPr>
                <w:t xml:space="preserve">Item 14. Principal </w:t>
              </w:r>
            </w:hyperlink>
            <w:r>
              <w:rPr>
                <w:rFonts w:ascii="Arial" w:cs="Arial" w:eastAsia="Arial" w:hAnsi="Arial"/>
                <w:sz w:val="18"/>
                <w:szCs w:val="18"/>
                <w:color w:val="1519FD"/>
                <w:w w:val="91"/>
              </w:rPr>
              <w:t xml:space="preserve">Accountant </w:t>
            </w:r>
            <w:hyperlink w:anchor="page127">
              <w:r>
                <w:rPr>
                  <w:rFonts w:ascii="Arial" w:cs="Arial" w:eastAsia="Arial" w:hAnsi="Arial"/>
                  <w:sz w:val="18"/>
                  <w:szCs w:val="18"/>
                  <w:color w:val="1519FD"/>
                  <w:w w:val="91"/>
                </w:rPr>
                <w:t>Fees and Services</w:t>
              </w:r>
            </w:hyperlink>
          </w:p>
        </w:tc>
        <w:tc>
          <w:tcPr>
            <w:tcW w:w="2540" w:type="dxa"/>
            <w:vAlign w:val="bottom"/>
            <w:tcBorders>
              <w:top w:val="single" w:sz="8" w:color="1519FD"/>
            </w:tcBorders>
            <w:gridSpan w:val="9"/>
            <w:vMerge w:val="restart"/>
          </w:tcPr>
          <w:p>
            <w:pPr>
              <w:spacing w:after="0" w:line="20" w:lineRule="exact"/>
              <w:rPr>
                <w:sz w:val="1"/>
                <w:szCs w:val="1"/>
                <w:color w:val="auto"/>
              </w:rPr>
            </w:pPr>
          </w:p>
        </w:tc>
        <w:tc>
          <w:tcPr>
            <w:tcW w:w="4340" w:type="dxa"/>
            <w:vAlign w:val="bottom"/>
            <w:gridSpan w:val="5"/>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1519FD"/>
            </w:tcBorders>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11"/>
            <w:vMerge w:val="continue"/>
          </w:tcPr>
          <w:p>
            <w:pPr>
              <w:spacing w:after="0"/>
              <w:rPr>
                <w:sz w:val="20"/>
                <w:szCs w:val="20"/>
                <w:color w:val="auto"/>
              </w:rPr>
            </w:pPr>
          </w:p>
        </w:tc>
        <w:tc>
          <w:tcPr>
            <w:tcW w:w="2540" w:type="dxa"/>
            <w:vAlign w:val="bottom"/>
            <w:gridSpan w:val="9"/>
            <w:vMerge w:val="continue"/>
          </w:tcPr>
          <w:p>
            <w:pPr>
              <w:spacing w:after="0"/>
              <w:rPr>
                <w:sz w:val="20"/>
                <w:szCs w:val="20"/>
                <w:color w:val="auto"/>
              </w:rPr>
            </w:pPr>
          </w:p>
        </w:tc>
        <w:tc>
          <w:tcPr>
            <w:tcW w:w="4340" w:type="dxa"/>
            <w:vAlign w:val="bottom"/>
            <w:gridSpan w:val="5"/>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7">
              <w:r>
                <w:rPr>
                  <w:rFonts w:ascii="Arial" w:cs="Arial" w:eastAsia="Arial" w:hAnsi="Arial"/>
                  <w:sz w:val="18"/>
                  <w:szCs w:val="18"/>
                  <w:color w:val="1519FD"/>
                </w:rPr>
                <w:t>127</w:t>
              </w:r>
            </w:hyperlink>
          </w:p>
        </w:tc>
        <w:tc>
          <w:tcPr>
            <w:tcW w:w="0" w:type="dxa"/>
            <w:vAlign w:val="bottom"/>
          </w:tcPr>
          <w:p>
            <w:pPr>
              <w:spacing w:after="0"/>
              <w:rPr>
                <w:sz w:val="1"/>
                <w:szCs w:val="1"/>
                <w:color w:val="auto"/>
              </w:rPr>
            </w:pPr>
          </w:p>
        </w:tc>
      </w:tr>
      <w:tr>
        <w:trPr>
          <w:trHeight w:val="27"/>
        </w:trPr>
        <w:tc>
          <w:tcPr>
            <w:tcW w:w="760" w:type="dxa"/>
            <w:vAlign w:val="bottom"/>
            <w:shd w:val="clear" w:color="auto" w:fill="1519FD"/>
          </w:tcPr>
          <w:p>
            <w:pPr>
              <w:spacing w:after="0"/>
              <w:rPr>
                <w:sz w:val="2"/>
                <w:szCs w:val="2"/>
                <w:color w:val="auto"/>
              </w:rPr>
            </w:pPr>
          </w:p>
        </w:tc>
        <w:tc>
          <w:tcPr>
            <w:tcW w:w="440" w:type="dxa"/>
            <w:vAlign w:val="bottom"/>
            <w:shd w:val="clear" w:color="auto" w:fill="1519FD"/>
          </w:tcPr>
          <w:p>
            <w:pPr>
              <w:spacing w:after="0"/>
              <w:rPr>
                <w:sz w:val="2"/>
                <w:szCs w:val="2"/>
                <w:color w:val="auto"/>
              </w:rPr>
            </w:pPr>
          </w:p>
        </w:tc>
        <w:tc>
          <w:tcPr>
            <w:tcW w:w="140" w:type="dxa"/>
            <w:vAlign w:val="bottom"/>
            <w:shd w:val="clear" w:color="auto" w:fill="1519FD"/>
          </w:tcPr>
          <w:p>
            <w:pPr>
              <w:spacing w:after="0"/>
              <w:rPr>
                <w:sz w:val="2"/>
                <w:szCs w:val="2"/>
                <w:color w:val="auto"/>
              </w:rPr>
            </w:pPr>
          </w:p>
        </w:tc>
        <w:tc>
          <w:tcPr>
            <w:tcW w:w="300" w:type="dxa"/>
            <w:vAlign w:val="bottom"/>
            <w:shd w:val="clear" w:color="auto" w:fill="1519FD"/>
          </w:tcPr>
          <w:p>
            <w:pPr>
              <w:spacing w:after="0"/>
              <w:rPr>
                <w:sz w:val="2"/>
                <w:szCs w:val="2"/>
                <w:color w:val="auto"/>
              </w:rPr>
            </w:pPr>
          </w:p>
        </w:tc>
        <w:tc>
          <w:tcPr>
            <w:tcW w:w="26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240" w:type="dxa"/>
            <w:vAlign w:val="bottom"/>
            <w:shd w:val="clear" w:color="auto" w:fill="1519FD"/>
          </w:tcPr>
          <w:p>
            <w:pPr>
              <w:spacing w:after="0"/>
              <w:rPr>
                <w:sz w:val="2"/>
                <w:szCs w:val="2"/>
                <w:color w:val="auto"/>
              </w:rPr>
            </w:pPr>
          </w:p>
        </w:tc>
        <w:tc>
          <w:tcPr>
            <w:tcW w:w="140" w:type="dxa"/>
            <w:vAlign w:val="bottom"/>
            <w:shd w:val="clear" w:color="auto" w:fill="1519FD"/>
          </w:tcPr>
          <w:p>
            <w:pPr>
              <w:spacing w:after="0"/>
              <w:rPr>
                <w:sz w:val="2"/>
                <w:szCs w:val="2"/>
                <w:color w:val="auto"/>
              </w:rPr>
            </w:pPr>
          </w:p>
        </w:tc>
        <w:tc>
          <w:tcPr>
            <w:tcW w:w="120" w:type="dxa"/>
            <w:vAlign w:val="bottom"/>
            <w:shd w:val="clear" w:color="auto" w:fill="1519FD"/>
          </w:tcPr>
          <w:p>
            <w:pPr>
              <w:spacing w:after="0"/>
              <w:rPr>
                <w:sz w:val="2"/>
                <w:szCs w:val="2"/>
                <w:color w:val="auto"/>
              </w:rPr>
            </w:pPr>
          </w:p>
        </w:tc>
        <w:tc>
          <w:tcPr>
            <w:tcW w:w="280" w:type="dxa"/>
            <w:vAlign w:val="bottom"/>
            <w:shd w:val="clear" w:color="auto" w:fill="1519FD"/>
          </w:tcPr>
          <w:p>
            <w:pPr>
              <w:spacing w:after="0"/>
              <w:rPr>
                <w:sz w:val="2"/>
                <w:szCs w:val="2"/>
                <w:color w:val="auto"/>
              </w:rPr>
            </w:pPr>
          </w:p>
        </w:tc>
        <w:tc>
          <w:tcPr>
            <w:tcW w:w="780" w:type="dxa"/>
            <w:vAlign w:val="bottom"/>
            <w:shd w:val="clear" w:color="auto" w:fill="1519FD"/>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0" w:type="dxa"/>
            <w:vAlign w:val="bottom"/>
            <w:gridSpan w:val="11"/>
            <w:vMerge w:val="restart"/>
          </w:tcPr>
          <w:p>
            <w:pPr>
              <w:jc w:val="center"/>
              <w:ind w:right="4880"/>
              <w:spacing w:after="0"/>
              <w:rPr>
                <w:rFonts w:ascii="Arial" w:cs="Arial" w:eastAsia="Arial" w:hAnsi="Arial"/>
                <w:sz w:val="18"/>
                <w:szCs w:val="18"/>
                <w:color w:val="1519FD"/>
                <w:w w:val="94"/>
              </w:rPr>
            </w:pPr>
            <w:hyperlink w:anchor="page127">
              <w:r>
                <w:rPr>
                  <w:rFonts w:ascii="Arial" w:cs="Arial" w:eastAsia="Arial" w:hAnsi="Arial"/>
                  <w:sz w:val="18"/>
                  <w:szCs w:val="18"/>
                  <w:color w:val="1519FD"/>
                  <w:w w:val="94"/>
                </w:rPr>
                <w:t>Part IV</w:t>
              </w:r>
            </w:hyperlink>
          </w:p>
        </w:tc>
        <w:tc>
          <w:tcPr>
            <w:tcW w:w="500" w:type="dxa"/>
            <w:vAlign w:val="bottom"/>
          </w:tcPr>
          <w:p>
            <w:pPr>
              <w:spacing w:after="0"/>
              <w:rPr>
                <w:sz w:val="2"/>
                <w:szCs w:val="2"/>
                <w:color w:val="auto"/>
              </w:rPr>
            </w:pPr>
          </w:p>
        </w:tc>
        <w:tc>
          <w:tcPr>
            <w:tcW w:w="260" w:type="dxa"/>
            <w:vAlign w:val="bottom"/>
            <w:gridSpan w:val="3"/>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0" w:type="dxa"/>
            <w:vAlign w:val="bottom"/>
            <w:gridSpan w:val="11"/>
            <w:vMerge w:val="continue"/>
          </w:tcPr>
          <w:p>
            <w:pPr>
              <w:spacing w:after="0"/>
              <w:rPr>
                <w:sz w:val="21"/>
                <w:szCs w:val="21"/>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7">
              <w:r>
                <w:rPr>
                  <w:rFonts w:ascii="Arial" w:cs="Arial" w:eastAsia="Arial" w:hAnsi="Arial"/>
                  <w:sz w:val="18"/>
                  <w:szCs w:val="18"/>
                  <w:color w:val="1519FD"/>
                </w:rPr>
                <w:t>128</w:t>
              </w:r>
            </w:hyperlink>
          </w:p>
        </w:tc>
        <w:tc>
          <w:tcPr>
            <w:tcW w:w="0" w:type="dxa"/>
            <w:vAlign w:val="bottom"/>
          </w:tcPr>
          <w:p>
            <w:pPr>
              <w:spacing w:after="0"/>
              <w:rPr>
                <w:sz w:val="1"/>
                <w:szCs w:val="1"/>
                <w:color w:val="auto"/>
              </w:rPr>
            </w:pPr>
          </w:p>
        </w:tc>
      </w:tr>
      <w:tr>
        <w:trPr>
          <w:trHeight w:val="20"/>
        </w:trPr>
        <w:tc>
          <w:tcPr>
            <w:tcW w:w="3880" w:type="dxa"/>
            <w:vAlign w:val="bottom"/>
            <w:gridSpan w:val="12"/>
            <w:vMerge w:val="restart"/>
          </w:tcPr>
          <w:p>
            <w:pPr>
              <w:spacing w:after="0"/>
              <w:rPr>
                <w:rFonts w:ascii="Arial" w:cs="Arial" w:eastAsia="Arial" w:hAnsi="Arial"/>
                <w:sz w:val="18"/>
                <w:szCs w:val="18"/>
                <w:color w:val="1519FD"/>
                <w:w w:val="91"/>
              </w:rPr>
            </w:pPr>
            <w:hyperlink w:anchor="page128">
              <w:r>
                <w:rPr>
                  <w:rFonts w:ascii="Arial" w:cs="Arial" w:eastAsia="Arial" w:hAnsi="Arial"/>
                  <w:sz w:val="18"/>
                  <w:szCs w:val="18"/>
                  <w:color w:val="1519FD"/>
                  <w:w w:val="91"/>
                </w:rPr>
                <w:t>Item 15. Exhibits and Financial Statement Schedules</w:t>
              </w:r>
            </w:hyperlink>
          </w:p>
        </w:tc>
        <w:tc>
          <w:tcPr>
            <w:tcW w:w="1160" w:type="dxa"/>
            <w:vAlign w:val="bottom"/>
            <w:gridSpan w:val="2"/>
            <w:vMerge w:val="restart"/>
          </w:tcPr>
          <w:p>
            <w:pPr>
              <w:spacing w:after="0" w:line="20" w:lineRule="exact"/>
              <w:rPr>
                <w:sz w:val="1"/>
                <w:szCs w:val="1"/>
                <w:color w:val="auto"/>
              </w:rPr>
            </w:pPr>
          </w:p>
        </w:tc>
        <w:tc>
          <w:tcPr>
            <w:tcW w:w="520" w:type="dxa"/>
            <w:vAlign w:val="bottom"/>
            <w:tcBorders>
              <w:top w:val="single" w:sz="8" w:color="1519FD"/>
            </w:tcBorders>
            <w:gridSpan w:val="4"/>
            <w:vMerge w:val="restart"/>
          </w:tcPr>
          <w:p>
            <w:pPr>
              <w:spacing w:after="0" w:line="20" w:lineRule="exact"/>
              <w:rPr>
                <w:sz w:val="1"/>
                <w:szCs w:val="1"/>
                <w:color w:val="auto"/>
              </w:rPr>
            </w:pPr>
          </w:p>
        </w:tc>
        <w:tc>
          <w:tcPr>
            <w:tcW w:w="4880" w:type="dxa"/>
            <w:vAlign w:val="bottom"/>
            <w:gridSpan w:val="7"/>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80" w:type="dxa"/>
            <w:vAlign w:val="bottom"/>
            <w:tcBorders>
              <w:bottom w:val="single" w:sz="8" w:color="1519FD"/>
            </w:tcBorders>
            <w:gridSpan w:val="1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520" w:type="dxa"/>
            <w:vAlign w:val="bottom"/>
            <w:gridSpan w:val="4"/>
            <w:vMerge w:val="continue"/>
          </w:tcPr>
          <w:p>
            <w:pPr>
              <w:spacing w:after="0"/>
              <w:rPr>
                <w:sz w:val="20"/>
                <w:szCs w:val="20"/>
                <w:color w:val="auto"/>
              </w:rPr>
            </w:pPr>
          </w:p>
        </w:tc>
        <w:tc>
          <w:tcPr>
            <w:tcW w:w="4880" w:type="dxa"/>
            <w:vAlign w:val="bottom"/>
            <w:gridSpan w:val="7"/>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8">
              <w:r>
                <w:rPr>
                  <w:rFonts w:ascii="Arial" w:cs="Arial" w:eastAsia="Arial" w:hAnsi="Arial"/>
                  <w:sz w:val="18"/>
                  <w:szCs w:val="18"/>
                  <w:color w:val="1519FD"/>
                </w:rPr>
                <w:t>128</w:t>
              </w:r>
            </w:hyperlink>
          </w:p>
        </w:tc>
        <w:tc>
          <w:tcPr>
            <w:tcW w:w="0" w:type="dxa"/>
            <w:vAlign w:val="bottom"/>
          </w:tcPr>
          <w:p>
            <w:pPr>
              <w:spacing w:after="0"/>
              <w:rPr>
                <w:sz w:val="1"/>
                <w:szCs w:val="1"/>
                <w:color w:val="auto"/>
              </w:rPr>
            </w:pPr>
          </w:p>
        </w:tc>
      </w:tr>
      <w:tr>
        <w:trPr>
          <w:trHeight w:val="20"/>
        </w:trPr>
        <w:tc>
          <w:tcPr>
            <w:tcW w:w="2240" w:type="dxa"/>
            <w:vAlign w:val="bottom"/>
            <w:gridSpan w:val="7"/>
            <w:vMerge w:val="restart"/>
          </w:tcPr>
          <w:p>
            <w:pPr>
              <w:spacing w:after="0"/>
              <w:rPr>
                <w:rFonts w:ascii="Arial" w:cs="Arial" w:eastAsia="Arial" w:hAnsi="Arial"/>
                <w:sz w:val="18"/>
                <w:szCs w:val="18"/>
                <w:color w:val="1519FD"/>
                <w:w w:val="93"/>
              </w:rPr>
            </w:pPr>
            <w:hyperlink w:anchor="page129">
              <w:r>
                <w:rPr>
                  <w:rFonts w:ascii="Arial" w:cs="Arial" w:eastAsia="Arial" w:hAnsi="Arial"/>
                  <w:sz w:val="18"/>
                  <w:szCs w:val="18"/>
                  <w:color w:val="1519FD"/>
                  <w:w w:val="93"/>
                </w:rPr>
                <w:t>Item 16. Form 10-K Summary</w:t>
              </w:r>
            </w:hyperlink>
          </w:p>
        </w:tc>
        <w:tc>
          <w:tcPr>
            <w:tcW w:w="8200" w:type="dxa"/>
            <w:vAlign w:val="bottom"/>
            <w:gridSpan w:val="18"/>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40" w:type="dxa"/>
            <w:vAlign w:val="bottom"/>
            <w:tcBorders>
              <w:bottom w:val="single" w:sz="8" w:color="1519FD"/>
            </w:tcBorders>
            <w:gridSpan w:val="7"/>
            <w:vMerge w:val="continue"/>
          </w:tcPr>
          <w:p>
            <w:pPr>
              <w:spacing w:after="0"/>
              <w:rPr>
                <w:sz w:val="20"/>
                <w:szCs w:val="20"/>
                <w:color w:val="auto"/>
              </w:rPr>
            </w:pPr>
          </w:p>
        </w:tc>
        <w:tc>
          <w:tcPr>
            <w:tcW w:w="8200" w:type="dxa"/>
            <w:vAlign w:val="bottom"/>
            <w:gridSpan w:val="18"/>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9">
              <w:r>
                <w:rPr>
                  <w:rFonts w:ascii="Arial" w:cs="Arial" w:eastAsia="Arial" w:hAnsi="Arial"/>
                  <w:sz w:val="18"/>
                  <w:szCs w:val="18"/>
                  <w:color w:val="1519FD"/>
                </w:rPr>
                <w:t>129</w:t>
              </w:r>
            </w:hyperlink>
          </w:p>
        </w:tc>
        <w:tc>
          <w:tcPr>
            <w:tcW w:w="0" w:type="dxa"/>
            <w:vAlign w:val="bottom"/>
          </w:tcPr>
          <w:p>
            <w:pPr>
              <w:spacing w:after="0"/>
              <w:rPr>
                <w:sz w:val="1"/>
                <w:szCs w:val="1"/>
                <w:color w:val="auto"/>
              </w:rPr>
            </w:pPr>
          </w:p>
        </w:tc>
      </w:tr>
      <w:tr>
        <w:trPr>
          <w:trHeight w:val="20"/>
        </w:trPr>
        <w:tc>
          <w:tcPr>
            <w:tcW w:w="10440" w:type="dxa"/>
            <w:vAlign w:val="bottom"/>
            <w:gridSpan w:val="25"/>
            <w:vMerge w:val="restart"/>
          </w:tcPr>
          <w:p>
            <w:pPr>
              <w:spacing w:after="0"/>
              <w:rPr>
                <w:rFonts w:ascii="Arial" w:cs="Arial" w:eastAsia="Arial" w:hAnsi="Arial"/>
                <w:sz w:val="18"/>
                <w:szCs w:val="18"/>
                <w:color w:val="1519FD"/>
              </w:rPr>
            </w:pPr>
            <w:hyperlink w:anchor="page129">
              <w:r>
                <w:rPr>
                  <w:rFonts w:ascii="Arial" w:cs="Arial" w:eastAsia="Arial" w:hAnsi="Arial"/>
                  <w:sz w:val="18"/>
                  <w:szCs w:val="18"/>
                  <w:color w:val="1519FD"/>
                </w:rPr>
                <w:t>Signatures</w:t>
              </w:r>
            </w:hyperlink>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40" w:type="dxa"/>
            <w:vAlign w:val="bottom"/>
            <w:gridSpan w:val="25"/>
            <w:vMerge w:val="continue"/>
          </w:tcPr>
          <w:p>
            <w:pPr>
              <w:spacing w:after="0"/>
              <w:rPr>
                <w:sz w:val="20"/>
                <w:szCs w:val="20"/>
                <w:color w:val="auto"/>
              </w:rPr>
            </w:pPr>
          </w:p>
        </w:tc>
        <w:tc>
          <w:tcPr>
            <w:tcW w:w="780" w:type="dxa"/>
            <w:vAlign w:val="bottom"/>
            <w:gridSpan w:val="5"/>
          </w:tcPr>
          <w:p>
            <w:pPr>
              <w:jc w:val="right"/>
              <w:ind w:right="20"/>
              <w:spacing w:after="0"/>
              <w:rPr>
                <w:rFonts w:ascii="Arial" w:cs="Arial" w:eastAsia="Arial" w:hAnsi="Arial"/>
                <w:sz w:val="18"/>
                <w:szCs w:val="18"/>
                <w:color w:val="1519FD"/>
              </w:rPr>
            </w:pPr>
            <w:hyperlink w:anchor="page129">
              <w:r>
                <w:rPr>
                  <w:rFonts w:ascii="Arial" w:cs="Arial" w:eastAsia="Arial" w:hAnsi="Arial"/>
                  <w:sz w:val="18"/>
                  <w:szCs w:val="18"/>
                  <w:color w:val="1519FD"/>
                </w:rPr>
                <w:t>130</w:t>
              </w:r>
            </w:hyperlink>
          </w:p>
        </w:tc>
        <w:tc>
          <w:tcPr>
            <w:tcW w:w="0" w:type="dxa"/>
            <w:vAlign w:val="bottom"/>
          </w:tcPr>
          <w:p>
            <w:pPr>
              <w:spacing w:after="0"/>
              <w:rPr>
                <w:sz w:val="1"/>
                <w:szCs w:val="1"/>
                <w:color w:val="auto"/>
              </w:rPr>
            </w:pPr>
          </w:p>
        </w:tc>
      </w:tr>
      <w:tr>
        <w:trPr>
          <w:trHeight w:val="27"/>
        </w:trPr>
        <w:tc>
          <w:tcPr>
            <w:tcW w:w="760" w:type="dxa"/>
            <w:vAlign w:val="bottom"/>
            <w:shd w:val="clear" w:color="auto" w:fill="1519FD"/>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and plans and objectives of management for future operations, including, among others, statements regarding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the important factors described in Part I, Item 1A “Risk Factors” and elsewhere in this Annual Report on Form 10-K. Other sections of this Annual Report on Form 10-K include additional factors that could adversely impact our business and financial performance.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8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You should not rely upon forward-looking statements as predictions of future events. This Annual Report on Form 10-K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 looking statements speak only as of the date of this Annual Report on Form 10-K. Except as required by applicable law, we undertake no obligation to update or revise any forward-looking statements contained in this Annual Report on Form 10-K, whether as a result of any new information, future events or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information contained in this Annual Report on Form 10-K concerning our industry,</w:t>
      </w:r>
    </w:p>
    <w:p>
      <w:pPr>
        <w:spacing w:after="0" w:line="2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future performance are necessarily subject to uncertainty and risk due to a variety of factors, including those described in “Risk Factors” and “Cautionary Note Regarding Forward-Looking Statements.” These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could cause results to differ materially from those expressed in the estimates made by the independent parties and by us.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sources of certain statistical data, estimates, and forecasts contained in this Annual Report on Form 10-K are in the following independent industry and company generated reports:</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5W Public Relations, 5WPR 2020 Consumer Culture Report, April 2020 (the “5WPR Report”).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Bain &amp; Company, The Global Diamond Industry 2020-21, February 2021 (“The Bain Report”).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Euromonitor International, Fine Jewellery, February 2022 (“Euromonitor”).</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YPulse, Millennials’ &amp; Gen Z Teens’ 2020 Spending Power, January 2020 (“YPulse”).</w:t>
      </w:r>
    </w:p>
    <w:p>
      <w:pPr>
        <w:spacing w:after="0" w:line="9" w:lineRule="exact"/>
        <w:rPr>
          <w:rFonts w:ascii="Arial" w:cs="Arial" w:eastAsia="Arial" w:hAnsi="Arial"/>
          <w:sz w:val="18"/>
          <w:szCs w:val="18"/>
          <w:color w:val="auto"/>
        </w:rPr>
      </w:pPr>
    </w:p>
    <w:p>
      <w:pPr>
        <w:ind w:left="660" w:right="200" w:hanging="328"/>
        <w:spacing w:after="0" w:line="25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Brilliant Earth Customer Survey (the “Customer Insight Survey”), which we use to measure our customer’s preferences. Our methodology of conducting the Customer Insight Survey measures responses from customers who purchase products from us and chose to respond to the survey questions from January 2020 through April 2021. Throughout this Annual Report on Form 10-K, factors that are referred to as “an important factor” in our customers decision making process include customer responses that a factor is “somewhat important,” “moderately important,” “considerably important,” and “extremely important” and exclude responses that the factor was “not at all important.” We give no weight to customers who decline to answer the survey question.</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306" w:lineRule="exact"/>
        <w:rPr>
          <w:sz w:val="20"/>
          <w:szCs w:val="20"/>
          <w:color w:val="auto"/>
        </w:rPr>
      </w:pPr>
    </w:p>
    <w:p>
      <w:pPr>
        <w:ind w:left="580" w:hanging="329"/>
        <w:spacing w:after="0" w:line="259"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 “our,” the “Company,” “Brilliant Earth,” and similar references refer: (1) following the consummation of the Reorganization Transactions (as defined below), including our initial public offering (“IPO”) which occurred on September 23, 2021, to Brilliant Earth Group, Inc., and, unless otherwise stated, all of its subsidiaries, including Brilliant Earth, LLC, and (2) prior to the completion of the Reorganization Transactions, including the IPO, to Brilliant Earth, LLC.</w:t>
      </w:r>
    </w:p>
    <w:p>
      <w:pPr>
        <w:spacing w:after="0" w:line="24" w:lineRule="exact"/>
        <w:rPr>
          <w:rFonts w:ascii="Arial" w:cs="Arial" w:eastAsia="Arial" w:hAnsi="Arial"/>
          <w:sz w:val="18"/>
          <w:szCs w:val="18"/>
          <w:color w:val="auto"/>
        </w:rPr>
      </w:pPr>
    </w:p>
    <w:p>
      <w:pPr>
        <w:ind w:left="580" w:right="58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“Brilliant Earth LLC Agreement” refers to Brilliant Earth, LLC’s amended and restated limited liability company agreement, which became effective prior to the consummation of the IPO.</w:t>
      </w:r>
    </w:p>
    <w:p>
      <w:pPr>
        <w:spacing w:after="0" w:line="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“CAGR” refers to compound annual growth rate.</w:t>
      </w:r>
    </w:p>
    <w:p>
      <w:pPr>
        <w:spacing w:after="0" w:line="63" w:lineRule="exact"/>
        <w:rPr>
          <w:rFonts w:ascii="Arial" w:cs="Arial" w:eastAsia="Arial" w:hAnsi="Arial"/>
          <w:sz w:val="18"/>
          <w:szCs w:val="18"/>
          <w:color w:val="auto"/>
        </w:rPr>
      </w:pPr>
    </w:p>
    <w:p>
      <w:pPr>
        <w:ind w:left="580" w:right="180" w:hanging="329"/>
        <w:spacing w:after="0" w:line="273" w:lineRule="auto"/>
        <w:tabs>
          <w:tab w:leader="none" w:pos="57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“Continuing Equity Owners” refers collectively to holders of LLC Interests and our Class B common stock and Class C common stock immediately following consummation of the Reorganization Transactions,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15" w:lineRule="exact"/>
        <w:rPr>
          <w:rFonts w:ascii="Arial" w:cs="Arial" w:eastAsia="Arial" w:hAnsi="Arial"/>
          <w:sz w:val="17"/>
          <w:szCs w:val="17"/>
          <w:color w:val="auto"/>
        </w:rPr>
      </w:pPr>
    </w:p>
    <w:p>
      <w:pPr>
        <w:ind w:left="580" w:right="24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“Founders” refers to Beth Gerstein, our Co-Founder and Chief Executive Officer, Eric Grossberg, our Co-Founder and Executive Chairman, and Just Rocks (as defined below).</w:t>
      </w:r>
    </w:p>
    <w:p>
      <w:pPr>
        <w:spacing w:after="0" w:line="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“Just Rocks” refers to Just Rocks, Inc., a Delaware corporation, which is jointly owned and controlled by our Founders.</w:t>
      </w:r>
    </w:p>
    <w:p>
      <w:pPr>
        <w:spacing w:after="0" w:line="63" w:lineRule="exact"/>
        <w:rPr>
          <w:rFonts w:ascii="Arial" w:cs="Arial" w:eastAsia="Arial" w:hAnsi="Arial"/>
          <w:sz w:val="18"/>
          <w:szCs w:val="18"/>
          <w:color w:val="auto"/>
        </w:rPr>
      </w:pPr>
    </w:p>
    <w:p>
      <w:pPr>
        <w:ind w:left="580" w:right="14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Interests” or “LLC Units” refers to the common units of Brilliant Earth, LLC, including those that we purchased with the net proceeds from the IPO.</w:t>
      </w:r>
    </w:p>
    <w:p>
      <w:pPr>
        <w:spacing w:after="0" w:line="8" w:lineRule="exact"/>
        <w:rPr>
          <w:rFonts w:ascii="Arial" w:cs="Arial" w:eastAsia="Arial" w:hAnsi="Arial"/>
          <w:sz w:val="18"/>
          <w:szCs w:val="18"/>
          <w:color w:val="auto"/>
        </w:rPr>
      </w:pPr>
    </w:p>
    <w:p>
      <w:pPr>
        <w:ind w:left="580" w:right="820" w:hanging="329"/>
        <w:spacing w:after="0" w:line="308" w:lineRule="auto"/>
        <w:tabs>
          <w:tab w:leader="none" w:pos="575" w:val="left"/>
        </w:tabs>
        <w:numPr>
          <w:ilvl w:val="0"/>
          <w:numId w:val="4"/>
        </w:numPr>
        <w:rPr>
          <w:rFonts w:ascii="Arial" w:cs="Arial" w:eastAsia="Arial" w:hAnsi="Arial"/>
          <w:sz w:val="17"/>
          <w:szCs w:val="17"/>
          <w:color w:val="auto"/>
        </w:rPr>
      </w:pPr>
      <w:r>
        <w:rPr>
          <w:rFonts w:ascii="Arial" w:cs="Arial" w:eastAsia="Arial" w:hAnsi="Arial"/>
          <w:sz w:val="17"/>
          <w:szCs w:val="17"/>
          <w:color w:val="auto"/>
        </w:rPr>
        <w:t>“Original Equity Owners” refers to the owners of LLC Interests in Brilliant Earth, LLC prior to the consummation of the Reorganization Transactions, collectively, which include Mainsail, Just Rocks, and certain executive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0" w:hanging="329"/>
        <w:spacing w:after="0" w:line="27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8"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“Reorganization Transactions” refers to the organizational transactions and the IPO, and the application of the net proceeds therefrom.</w:t>
      </w:r>
    </w:p>
    <w:p>
      <w:pPr>
        <w:spacing w:after="0" w:line="74" w:lineRule="exact"/>
        <w:rPr>
          <w:rFonts w:ascii="Arial" w:cs="Arial" w:eastAsia="Arial" w:hAnsi="Arial"/>
          <w:sz w:val="17"/>
          <w:szCs w:val="17"/>
          <w:color w:val="auto"/>
        </w:rPr>
      </w:pPr>
    </w:p>
    <w:p>
      <w:pPr>
        <w:ind w:left="580" w:right="80" w:hanging="329"/>
        <w:spacing w:after="0" w:line="311" w:lineRule="auto"/>
        <w:tabs>
          <w:tab w:leader="none" w:pos="575"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8" w:right="4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Investors should carefully consider these risks and uncertainties when investing in our Class A common stock. The principal risks and uncertainties affecting our business include the following:</w:t>
      </w:r>
    </w:p>
    <w:p>
      <w:pPr>
        <w:spacing w:after="0" w:line="182" w:lineRule="exact"/>
        <w:rPr>
          <w:sz w:val="20"/>
          <w:szCs w:val="20"/>
          <w:color w:val="auto"/>
        </w:rPr>
      </w:pPr>
    </w:p>
    <w:p>
      <w:pPr>
        <w:ind w:left="660" w:right="2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70"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costs of diamonds, other gemstones and precious metals, lead times, supply shortages, and supply changes could disrupt our business and have an adverse effect on our operations, financial condition, and results;</w:t>
      </w:r>
    </w:p>
    <w:p>
      <w:pPr>
        <w:spacing w:after="0" w:line="170" w:lineRule="exact"/>
        <w:rPr>
          <w:rFonts w:ascii="Arial" w:cs="Arial" w:eastAsia="Arial" w:hAnsi="Arial"/>
          <w:sz w:val="18"/>
          <w:szCs w:val="18"/>
          <w:color w:val="auto"/>
        </w:rPr>
      </w:pPr>
    </w:p>
    <w:p>
      <w:pPr>
        <w:ind w:left="660" w:right="380" w:hanging="328"/>
        <w:spacing w:after="0" w:line="262"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model relies on maintaining a low cost of production and distribution. 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earnings and cash availability;</w:t>
      </w:r>
    </w:p>
    <w:p>
      <w:pPr>
        <w:spacing w:after="0" w:line="172" w:lineRule="exact"/>
        <w:rPr>
          <w:rFonts w:ascii="Arial" w:cs="Arial" w:eastAsia="Arial" w:hAnsi="Arial"/>
          <w:sz w:val="17"/>
          <w:szCs w:val="17"/>
          <w:color w:val="auto"/>
        </w:rPr>
      </w:pPr>
    </w:p>
    <w:p>
      <w:pPr>
        <w:ind w:left="660" w:right="40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cost-effectively turn existing customers into repeat customers or to acquire new customers, our business, financial condition, and results of operations would be harmed;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plan to expand showrooms in the U.S., which may expose us to significant risks;</w:t>
      </w:r>
    </w:p>
    <w:p>
      <w:pPr>
        <w:spacing w:after="0" w:line="225" w:lineRule="exact"/>
        <w:rPr>
          <w:rFonts w:ascii="Arial" w:cs="Arial" w:eastAsia="Arial" w:hAnsi="Arial"/>
          <w:sz w:val="18"/>
          <w:szCs w:val="18"/>
          <w:color w:val="auto"/>
        </w:rPr>
      </w:pPr>
    </w:p>
    <w:p>
      <w:pPr>
        <w:ind w:left="660" w:right="260" w:hanging="328"/>
        <w:spacing w:after="0" w:line="24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overall decline in the health of the economy and other factors impacting consumer spending, such as recessionary conditions, governmental instability, war or the threat of war, and natural disasters may affect consumer purchases;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we may be unable to sustain profitability;</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fine jewelry retail industry is highly competitive, and if we do not compete successfully, our business may be adversely impacted;</w:t>
      </w:r>
    </w:p>
    <w:p>
      <w:pPr>
        <w:spacing w:after="0" w:line="22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profitability and cash flows may be negatively affected if we are not successful in managing our inventory balances and inventory shrinkage;</w:t>
      </w:r>
    </w:p>
    <w:p>
      <w:pPr>
        <w:spacing w:after="0" w:line="234" w:lineRule="exact"/>
        <w:rPr>
          <w:rFonts w:ascii="Arial" w:cs="Arial" w:eastAsia="Arial" w:hAnsi="Arial"/>
          <w:sz w:val="16"/>
          <w:szCs w:val="16"/>
          <w:color w:val="auto"/>
        </w:rPr>
      </w:pPr>
    </w:p>
    <w:p>
      <w:pPr>
        <w:ind w:left="660" w:right="2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derive a significant portion of our revenue from sales of our Create Your Own rings. A decline in sales of our Create Your Own rings would negatively affect our business, financial condition, and results of operations;</w:t>
      </w:r>
    </w:p>
    <w:p>
      <w:pPr>
        <w:spacing w:after="0" w:line="170"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maintain and enhance our brand, our ability to engage or expand our base of customers may be impaired and our business, financial condition, and results of operations may suffer;</w:t>
      </w:r>
    </w:p>
    <w:p>
      <w:pPr>
        <w:spacing w:after="0" w:line="170" w:lineRule="exact"/>
        <w:rPr>
          <w:rFonts w:ascii="Arial" w:cs="Arial" w:eastAsia="Arial" w:hAnsi="Arial"/>
          <w:sz w:val="18"/>
          <w:szCs w:val="18"/>
          <w:color w:val="auto"/>
        </w:rPr>
      </w:pPr>
    </w:p>
    <w:p>
      <w:pPr>
        <w:ind w:left="660" w:right="36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marketing efforts to help grow our business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social, and governance matters may impact our business and reputation;</w:t>
      </w:r>
    </w:p>
    <w:p>
      <w:pPr>
        <w:spacing w:after="0" w:line="21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e-commerce and omnichannel business faces distinct risks, and our failure to successfully manage those risks could have a negative impact on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220" w:hanging="328"/>
        <w:spacing w:after="0" w:line="29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33"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a number of factors to cause our results of operations and operating cash flows to fluctuate on a quarterly and annual basis, which may make it difficult to predict our future performance;</w:t>
      </w:r>
    </w:p>
    <w:p>
      <w:pPr>
        <w:spacing w:after="0" w:line="170" w:lineRule="exact"/>
        <w:rPr>
          <w:rFonts w:ascii="Arial" w:cs="Arial" w:eastAsia="Arial" w:hAnsi="Arial"/>
          <w:sz w:val="18"/>
          <w:szCs w:val="18"/>
          <w:color w:val="auto"/>
        </w:rPr>
      </w:pPr>
    </w:p>
    <w:p>
      <w:pPr>
        <w:ind w:left="660" w:right="200" w:hanging="328"/>
        <w:spacing w:after="0" w:line="24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18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 Receivable Agreement with the Continuing Equity Owners requires us to make cash payments to them in respect of certain tax benefits to which we may become entitled, and we expect that such payments will be substantial; and</w:t>
      </w:r>
    </w:p>
    <w:p>
      <w:pPr>
        <w:spacing w:after="0" w:line="170"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Brilliant Earth is an innovative, digital-first jewelry company, and a global leader in ethically sourced fine jewelry. We offer exclusive designs with superior craftsmanship and supply chain transparency, delivered to customers through a highly personalized omnichannel experience.</w:t>
      </w:r>
    </w:p>
    <w:p>
      <w:pPr>
        <w:spacing w:after="0" w:line="19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83"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 fulfillment of our flagship Create Your Own product.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made-to-order capabilities and virtual inventory model generate attractive inventory turns and negative working capital. We have achieved strong financial performance and rapid growth since our founding with minimal outside funding, and believe we are in the early stages of realizing our potential in a significant market opportunity.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performance for the year ended December 31, 2021:</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of $380.2 million, up 51.0% from $251.8 million for the year ended December 31, 2020;</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of $26.3 million, up 21.7% from $21.6 million for the year ended December 31, 2020; and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margin of 6.9%, compared to 8.6% for the year ended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performance for the year ended December 31, 2020:</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of $251.8 million, up 25.1% from $201.3 million for the year ended December 31, 2019;</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of $21.6 million, up 377.4% from $(7.8) for the year ended December 31, 2019; and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margin of 8.6%, compared to (3.9)% for the year ended December 31,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Jewelry Market</w:t>
      </w:r>
    </w:p>
    <w:p>
      <w:pPr>
        <w:spacing w:after="0" w:line="22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global fine jewelry market is estimated to be worth approximately $280 billion, according to Euromonitor. Despite its size, the jewelry industry is highly fragmented and includes players like mall jewelers, local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stores, and department stores, among others. According to The Bain Report, approximately 65% of the industry is composed of thousands of small and independent jewelers, many of which are struggling to address evolving consumer preferences for personalization and e-commerce, and are further limited by reduced purchasing power and an inventory-heavy model. Mall jewelers have also been slow to modernize an outdated retail experience, and face declining foot traffic. We believe the rapidly changing industry provides ample opportunity for Brilliant Earth to take share.</w:t>
      </w:r>
    </w:p>
    <w:p>
      <w:pPr>
        <w:spacing w:after="0" w:line="19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bridal category—where we currently derive a large portion of our business—is among the most resilient in the jewelry industry. Engagement and wedding rings are an enduring tradition. Each year, there are over two million marriages in the U.S. alone, a number that has been consistent for the past ten years according to U.S. government statistics.</w:t>
      </w:r>
    </w:p>
    <w:p>
      <w:pPr>
        <w:spacing w:after="0" w:line="20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Engagement rings also have a high average order value (“AOV”) and are a highly considered purchase, often one of the largest purchases that a consumer will make. Given the emotional significance of this purchase, customers often form strong connections with the company from which they buy bridal jewelry and return for special occasions or self-gifting fine jewelry purchases.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Changing consumer preferences</w:t>
      </w:r>
    </w:p>
    <w:p>
      <w:pPr>
        <w:spacing w:after="0" w:line="225"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Millennial and Gen Z consumers’ combined spending power neared $3 trillion in 2020, according to YPulse, and they are the largest opportunity for the jewelry industry. These consumers represent the core consumer of bridal-related products and a significant portion of the fine jewelry market. They are drawn to purpose-driven brands, are digitally savvy, and expect to shop whenever and wherever they want.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 consumers continue to shift purchases online, we believe consumers seek authentic brands with a strong digital presence and an engaged community.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They are highly active on social media, where 81% of proposees looked for engagement ring inspiration.</w:t>
      </w:r>
    </w:p>
    <w:p>
      <w:pPr>
        <w:spacing w:after="0" w:line="209"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While Millennial and Gen Z consumers appreciate digitally native brands, many also want an in-person experience where they can see, touch, and feel products, especially for a high value, considered purchase. They expect to be able to shop when and where they want with a seamless journey between brick-and-mortar and online. This requires strong digital capabilities and a true omnichannel experience. Millennial and Gen Z consumers also seek purpose-driven brands that are authentic, engaged with social and environmental issues, and help them express their individuality.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Brilliant Earth Difference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Omnichannel Customer Experience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reimagined the jewelry shopping experience with our seamless omnichannel model—allowing our customers to shop anywhere, anytime. Customers have joyful, personalized, and meaningful experiences on our website and in our reimagined showrooms. For those who shop online, we deliver a leading mobile-first digital platform with dynamic visualization that brings the product to life, and innovative technology that streamlines the customer journey. For those who want to shop in-store, we provide personalized and curated individual appointments. Customers meet with a dedicated jewelry specialist in a fun, relaxing, and educational environment that fosters lasting connections and propels strong engagement and conversion across channels.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Digitally Native, Tech-Driven and Customer-Obsessed</w:t>
      </w:r>
    </w:p>
    <w:p>
      <w:pPr>
        <w:spacing w:after="0" w:line="22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digitally native, and take a tech-driven, analytical approach to deliver our exceptional customer experience. The customer is at the forefront of our decision making, and we closely track their feedback and satisfaction across all our channels. We then use this data to create a personalized, premium experience however or wherever our customer chooses to shop.</w:t>
      </w:r>
    </w:p>
    <w:p>
      <w:pPr>
        <w:spacing w:after="0" w:line="202"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Our custom e-commerce site guides customers through an intuitive, immersive shopping experience. Our advanced Virtual Try On and product visualization technology allow customers to envision our ring designs with diamonds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and gemstones of any size, shape, and color. Dynamic product customization and an intelligent diamond recommendation engine simplify and personalize the shopping experience.</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While many customers shop with us exclusively online, others also want an in-person experience. From early in our history, we have offered personalized individual appointments in our modern showrooms, with curated selections based on data collected from the customer. Our customers enjoy a fun, relaxing, and educational environment while learning about our mission and browsing gemstones and jewelry selected just for them.</w:t>
      </w:r>
    </w:p>
    <w:p>
      <w:pPr>
        <w:spacing w:after="0" w:line="192" w:lineRule="exact"/>
        <w:rPr>
          <w:sz w:val="20"/>
          <w:szCs w:val="20"/>
          <w:color w:val="auto"/>
        </w:rPr>
      </w:pPr>
    </w:p>
    <w:p>
      <w:pPr>
        <w:jc w:val="both"/>
        <w:ind w:right="720"/>
        <w:spacing w:after="0" w:line="235" w:lineRule="auto"/>
        <w:rPr>
          <w:sz w:val="20"/>
          <w:szCs w:val="20"/>
          <w:color w:val="auto"/>
        </w:rPr>
      </w:pPr>
      <w:r>
        <w:rPr>
          <w:rFonts w:ascii="Arial" w:cs="Arial" w:eastAsia="Arial" w:hAnsi="Arial"/>
          <w:sz w:val="18"/>
          <w:szCs w:val="18"/>
          <w:color w:val="auto"/>
        </w:rPr>
        <w:t>Dedicated, non-commissioned jewelry specialists are available at every step of their journey via chat, phone, email, virtual appointment, or in our showrooms, which we believe drives strong engagement and high customer satisfaction. These specialists strive to create lasting connections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 and Award-Winning Designs</w:t>
      </w:r>
    </w:p>
    <w:p>
      <w:pPr>
        <w:spacing w:after="0" w:line="225" w:lineRule="exact"/>
        <w:rPr>
          <w:sz w:val="20"/>
          <w:szCs w:val="20"/>
          <w:color w:val="auto"/>
        </w:rPr>
      </w:pPr>
    </w:p>
    <w:p>
      <w:pPr>
        <w:ind w:right="260"/>
        <w:spacing w:after="0" w:line="228" w:lineRule="auto"/>
        <w:rPr>
          <w:sz w:val="20"/>
          <w:szCs w:val="20"/>
          <w:color w:val="auto"/>
        </w:rPr>
      </w:pPr>
      <w:r>
        <w:rPr>
          <w:rFonts w:ascii="Arial" w:cs="Arial" w:eastAsia="Arial" w:hAnsi="Arial"/>
          <w:sz w:val="18"/>
          <w:szCs w:val="18"/>
          <w:color w:val="auto"/>
        </w:rPr>
        <w:t>We believe that customers should never have to compromise between beauty, quality, and conscience. Our commitment to our core values is matched by our passion for innovative design and exceptional craftsmanship.</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award-winning in-house design studio keeps thoughtful design at the heart of everything we do and allows us to quickly adapt to consumer insights and marketplace trends. We utilize our customer dataset, strong relationships with our customers, and highly engaged social media following to continuously uncover consumer insights and trends. We track over 50 attributes associated with our products to inform our development and merchandising decisions. We create unique, exclusive styles that are expertly crafted to be beautiful from every angle and have been featured in leading publications, including Vogue, Forbes, and WWD. Over two-thirds of our ring collection is proprietary and available exclusively at Brilliant Earth, and 99% of our customers cited quality of design as an important factor in their purchase decision, according to our Customer Insight Survey.</w:t>
      </w:r>
    </w:p>
    <w:p>
      <w:pPr>
        <w:spacing w:after="0" w:line="20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engagement rings are highly personalized to reflect our customers’ individuality and unique preferences. Through our Create Your Own model, customers choose their ideal ring design, precious metal type, and ring size, and select their diamond or gemstone from our marketplace of over 150,000 diamonds. The customer’s one-of-a-kind ring is crafted with extraordinary care to fit the exact specifications of their chosen diamond and made just for them, typically in six to twelve business days. We believe the exacting standards of our made-to-order process deliver a higher quality finished product than other offerings that use pre-fabricated rings retrofitted to accommodate a new center gemstone and ring size.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Mission-Driven Ethos</w:t>
      </w:r>
    </w:p>
    <w:p>
      <w:pPr>
        <w:spacing w:after="0" w:line="225"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Our mission is to create a more transparent, sustainable, compassionate, and inclusive jewelry industry. We founded the company to provide an ethical alternative to historical jewelry industry practices, which have raised environmental and social concerns and lacked transparency.</w:t>
      </w:r>
    </w:p>
    <w:p>
      <w:pPr>
        <w:spacing w:after="0" w:line="202" w:lineRule="exact"/>
        <w:rPr>
          <w:sz w:val="20"/>
          <w:szCs w:val="20"/>
          <w:color w:val="auto"/>
        </w:rPr>
      </w:pPr>
    </w:p>
    <w:p>
      <w:pPr>
        <w:ind w:left="660" w:right="80" w:hanging="328"/>
        <w:spacing w:after="0" w:line="223"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18"/>
          <w:szCs w:val="18"/>
          <w:i w:val="1"/>
          <w:iCs w:val="1"/>
          <w:color w:val="auto"/>
        </w:rPr>
        <w:t xml:space="preserve">Transparent: </w:t>
      </w:r>
      <w:r>
        <w:rPr>
          <w:rFonts w:ascii="Arial" w:cs="Arial" w:eastAsia="Arial" w:hAnsi="Arial"/>
          <w:sz w:val="18"/>
          <w:szCs w:val="18"/>
          <w:color w:val="auto"/>
        </w:rPr>
        <w:t>We go above and beyond current industry standards to offer Beyond Conflict Free Diamonds that have been selected for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environmentally responsible origins. As part of our commitment to transparent sourcing, we expect our suppliers to adhere to our strict Supplier Code of Conduct. We also integrate blockchain technology to showcase the journey of a select collection of blockchain-enabled diamonds. We are a certified and audited member of the Responsible Jewellery Council (“RJC”), a not-for-profit standard setting organization for the jewelry industry.</w:t>
      </w:r>
    </w:p>
    <w:p>
      <w:pPr>
        <w:spacing w:after="0" w:line="3" w:lineRule="exact"/>
        <w:rPr>
          <w:rFonts w:ascii="Arial" w:cs="Arial" w:eastAsia="Arial" w:hAnsi="Arial"/>
          <w:sz w:val="20"/>
          <w:szCs w:val="20"/>
          <w:color w:val="auto"/>
        </w:rPr>
      </w:pPr>
    </w:p>
    <w:p>
      <w:pPr>
        <w:ind w:left="660" w:right="220" w:hanging="328"/>
        <w:spacing w:after="0" w:line="237" w:lineRule="auto"/>
        <w:tabs>
          <w:tab w:leader="none" w:pos="621" w:val="left"/>
        </w:tabs>
        <w:numPr>
          <w:ilvl w:val="0"/>
          <w:numId w:val="10"/>
        </w:numPr>
        <w:rPr>
          <w:rFonts w:ascii="Arial" w:cs="Arial" w:eastAsia="Arial" w:hAnsi="Arial"/>
          <w:sz w:val="17"/>
          <w:szCs w:val="17"/>
          <w:color w:val="auto"/>
        </w:rPr>
      </w:pPr>
      <w:r>
        <w:rPr>
          <w:rFonts w:ascii="Arial" w:cs="Arial" w:eastAsia="Arial" w:hAnsi="Arial"/>
          <w:sz w:val="16"/>
          <w:szCs w:val="16"/>
          <w:i w:val="1"/>
          <w:iCs w:val="1"/>
          <w:color w:val="auto"/>
        </w:rPr>
        <w:t xml:space="preserve">Sustainable: </w:t>
      </w:r>
      <w:r>
        <w:rPr>
          <w:rFonts w:ascii="Arial" w:cs="Arial" w:eastAsia="Arial" w:hAnsi="Arial"/>
          <w:sz w:val="16"/>
          <w:szCs w:val="16"/>
          <w:color w:val="auto"/>
        </w:rPr>
        <w:t>Our jewelry is crafted from primarily recycled precious metals and arrives in our iconic ring boxes crafted with wood sourced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Forest Stewardship Council (FSC) certified forests. Our paper-based shipping boxes are FSC Recycled and made from 100% post-consumer or pre-consumer recycled content. We are committed to reducing greenhouse gas emissions generated by our business activities through our Carbon</w:t>
      </w:r>
      <w:r>
        <w:rPr>
          <w:rFonts w:ascii="Arial" w:cs="Arial" w:eastAsia="Arial" w:hAnsi="Arial"/>
          <w:sz w:val="16"/>
          <w:szCs w:val="16"/>
          <w:i w:val="1"/>
          <w:iCs w:val="1"/>
          <w:color w:val="auto"/>
        </w:rPr>
        <w:t>free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Partnership by contributing to two projects, the Envira Amazonia Project and the Texas Capricorn Ridge Wind Project.</w:t>
      </w:r>
    </w:p>
    <w:p>
      <w:pPr>
        <w:spacing w:after="0" w:line="1" w:lineRule="exact"/>
        <w:rPr>
          <w:rFonts w:ascii="Arial" w:cs="Arial" w:eastAsia="Arial" w:hAnsi="Arial"/>
          <w:sz w:val="17"/>
          <w:szCs w:val="17"/>
          <w:color w:val="auto"/>
        </w:rPr>
      </w:pPr>
    </w:p>
    <w:p>
      <w:pPr>
        <w:ind w:left="660" w:right="100" w:hanging="328"/>
        <w:spacing w:after="0" w:line="250" w:lineRule="auto"/>
        <w:tabs>
          <w:tab w:leader="none" w:pos="621" w:val="left"/>
        </w:tabs>
        <w:numPr>
          <w:ilvl w:val="0"/>
          <w:numId w:val="10"/>
        </w:numPr>
        <w:rPr>
          <w:rFonts w:ascii="Arial" w:cs="Arial" w:eastAsia="Arial" w:hAnsi="Arial"/>
          <w:sz w:val="18"/>
          <w:szCs w:val="18"/>
          <w:color w:val="auto"/>
        </w:rPr>
      </w:pPr>
      <w:r>
        <w:rPr>
          <w:rFonts w:ascii="Arial" w:cs="Arial" w:eastAsia="Arial" w:hAnsi="Arial"/>
          <w:sz w:val="16"/>
          <w:szCs w:val="16"/>
          <w:i w:val="1"/>
          <w:iCs w:val="1"/>
          <w:color w:val="auto"/>
        </w:rPr>
        <w:t xml:space="preserve">Compassionate: </w:t>
      </w:r>
      <w:r>
        <w:rPr>
          <w:rFonts w:ascii="Arial" w:cs="Arial" w:eastAsia="Arial" w:hAnsi="Arial"/>
          <w:sz w:val="16"/>
          <w:szCs w:val="16"/>
          <w:color w:val="auto"/>
        </w:rPr>
        <w:t>From our beginnings, we have donated to issues we are passionate about, and volunteering and giving back are especially</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to our employees. We recently established the Brilliant Earth Foundation, a donor advised fund, to further our philanthropic mission. In 2015, we partnered with the Diamond Development Initiative to fund a primary school in a rural diamond mining community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340"/>
        <w:spacing w:after="0" w:line="262" w:lineRule="auto"/>
        <w:rPr>
          <w:sz w:val="20"/>
          <w:szCs w:val="20"/>
          <w:color w:val="auto"/>
        </w:rPr>
      </w:pPr>
      <w:r>
        <w:rPr>
          <w:rFonts w:ascii="Arial" w:cs="Arial" w:eastAsia="Arial" w:hAnsi="Arial"/>
          <w:sz w:val="16"/>
          <w:szCs w:val="16"/>
          <w:color w:val="auto"/>
        </w:rPr>
        <w:t>Democratic Republic of Congo. With our non-profit partner Pure Earth, we helped empower miners in an artisanal gold mining community in Peru in 2017 by providing training in mercury-free mining practices to help prevent destructive environmental contamination.</w:t>
      </w:r>
    </w:p>
    <w:p>
      <w:pPr>
        <w:spacing w:after="0" w:line="3" w:lineRule="exact"/>
        <w:rPr>
          <w:sz w:val="20"/>
          <w:szCs w:val="20"/>
          <w:color w:val="auto"/>
        </w:rPr>
      </w:pPr>
    </w:p>
    <w:p>
      <w:pPr>
        <w:ind w:left="660" w:right="180" w:hanging="328"/>
        <w:spacing w:after="0" w:line="223"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18"/>
          <w:szCs w:val="18"/>
          <w:i w:val="1"/>
          <w:iCs w:val="1"/>
          <w:color w:val="auto"/>
        </w:rPr>
        <w:t xml:space="preserve">Inclusive: </w:t>
      </w:r>
      <w:r>
        <w:rPr>
          <w:rFonts w:ascii="Arial" w:cs="Arial" w:eastAsia="Arial" w:hAnsi="Arial"/>
          <w:sz w:val="18"/>
          <w:szCs w:val="18"/>
          <w:color w:val="auto"/>
        </w:rPr>
        <w:t>We are deeply committed to diversity, equity, and inclusion, and we strive to embody our values through our product collections,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experience, non-profit initiatives, and internal practices. We are proud that women comprise the majority of our employees, senior executive team, and board of directors. We are also proud that our CEO and co-founder, Beth Gerstein, serves on the boards of Diamonds Do Good and the Women’s Jewelry Association. We believe that diversity makes us a stronger company, and we are proud to be a DEI leader in our industry.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Brilliant Earth Brand</w:t>
      </w:r>
    </w:p>
    <w:p>
      <w:pPr>
        <w:spacing w:after="0" w:line="22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We are a mission-driven, premium brand founded on core values of transparency, sustainability, inclusivity and giving back. These values resonate strongly with Millennial and Gen Z customers, 83% of whom say they will buy from brands whose values align with theirs, according to the 5WPR Report. Those same Millennial and Gen Z consumers collectively represented 87% of our active customers according to our Customer Insight Survey. We thoughtfully develop our brand messaging and customer experience to appeal to all genders, which is important because couples are increasingly shopping together for engagement and wedding rings. 72% of Brilliant Earth couples in 2020 and 2021 were both involved in their engagement ring purchase according to our Customer Insight Survey.</w:t>
      </w:r>
    </w:p>
    <w:p>
      <w:pPr>
        <w:spacing w:after="0" w:line="20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Alongside our mission, we believe our joyful, premium customer experience and unique, exclusive jewelry designs drive our strong brand affinity and loyalty. 76% of customers cited brand and 62% of customers cited word-of-mouth referral as an important factor in their decision to purchase from Brilliant Earth according to our Customer Insight Survey. When asked what words come to mind when they think about Brilliant Earth, the top three mentions were terms related to quality, beauty, and ethics. Since our founding, we have fostered deep connections with our highly engaged community, leading to an outsized social media presence. We believe our brand resonance, authentic content, and relentless focus on staying ahead of social trends have contributed to our leading engagement rates. As of December 2021, we have approximately 10 million Pinterest viewers, 2.1 million Facebook followers and over 750,000 Instagram followers.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Customer Experience and Differentiated Omnichannel Model Drive Growth and Conversion</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have reimagined the jewelry shopping experience. Customers have joyful, personalized, and premium experiences on both our e-commerce site and in our reimagined showrooms. We deliver a leading digital platform, dynamic product customization, innovative technology, and a seamless omnichannel experience. For customers who wish to shop in-store, we provide personalized and curated individual appointments. Customers meet with a dedicated jewelry specialist in a fun, relaxing, and educational environment that fosters lasting connections and propels strong engagement and conversion across channels. We believe our showrooms accelerate our financial performance in the markets where they are located. Moreover, our conversion rate for customers who have a showroom appointment is compelling: approximately 50% of those customers ultimately make a purchase.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 and Exclusive Products</w:t>
      </w:r>
    </w:p>
    <w:p>
      <w:pPr>
        <w:spacing w:after="0" w:line="22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Our award-winning in-house design studio creates unique, exclusive styles that are expertly crafted to be beautiful from every angle. We leverage our data to curate collections and inform new product development strategy, so our offerings are current, fresh, and reflect consumer preferences. We have a vast collection of Beyond Conflict Free natural diamonds and lab-grown diamonds that meet rigorous standards for sourcing and quality. Our collection offers extensive coverage across quality characteristics and price points. Through our Create Your Own model, customers can customize their jewelry to reflect their individuality and personal preferences, creating one-of-a-kind jewelry pieces. In 2020, we also released one of the industry’s first gender-fluid collections.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Innovative, Data-Driven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As a digitally native company, we use technology to deliver a superior customer experience, improve marketing and operational efficiencies, curate showroom inventory and merchandising, inform real estate decisions, and develop new product designs that reflect consumer preferences. Our proprietary technology includes dynamic visualization, augmented reality try-on, and automated rapid fulfillment of our flagship Create Your Own product. We utilize leading technology for key business functions, including product design and personalization, customer relationship management (“CRM”) and data analytics, inventory and supply chain management, order fulfillment, and more.</w:t>
      </w:r>
    </w:p>
    <w:p>
      <w:pPr>
        <w:spacing w:after="0" w:line="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We apply cutting-edge technology to innovate and transform our supply chain. We were among the first retail jewelers to offer blockchain diamonds at scale, defining next-generation traceability standards in the jewelry industry, and offer thousands of blockchain-enabled diamonds. This technology tracks a diamond from its origins at the mining operator, through cutting and polishing, to the customer. This provides even greater transparency into the responsible origins of these blockchain-enabled diamonds.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Efficient Operating Model</w:t>
      </w:r>
    </w:p>
    <w:p>
      <w:pPr>
        <w:spacing w:after="0" w:line="22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We have an asset-light operating model with attractive working capital dynamics, capital efficient showrooms, and a vast virtual inventory of premium natural and lab-grown diamonds. We are able to offer over 150,000 diamonds while keeping our balance sheet inventory low, which has driven our attractive inventory turns. Our limited owned-inventory and rapid cash cycle—where we are typically paid by our customers before we pay our suppliers— allow us to scale with limited capital outlays. Our showroom strategy generates highly favorable unit economics and avoids the inefficiencies of traditional jewelers that have too many physical stores, employees, and inventory. Our showrooms are appointment-driven with large catchment regions, so we are less reliant on high foot traffic locations—with their high rents—than traditional retailers. We curate showroom inventory for scheduled visits and need limited inventory for each location. When not in appointment, our tech-enabled team of jewelry specialists supports online customers, maximizing workforce utilization.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Founder-Led and Diverse Leadership Team Committed to Inclusion</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care deeply about diversity, equity, and inclusion. We are led by our CEO and co-founder Beth Gerstein, who also serves on the boards of the Women’s Jewelry Association and Diamonds Do Good. A majority of our board of directors, 73% of employees at the director level and above, and 80% of our total employees are women. 31% of our leadership team and 38% of our total employees identify as Black, Indigenous People of Color (“BIPOC”). We believe our commitment to diversity helps drive employee engagement, with 88% of our surveyed employees in 2021 saying, “I am proud to work at Brilliant Earth.” Our diverse team and commitment to inclusion are integral to our company and inform our product offerings and customer experience.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There is a significant growth opportunity ahead. We are less than one percent penetrated in the jewelry category today. With our purpose-driven brand, digitally-driven omnichannel experience, award-winning products, and loyal customers, we believe we have significant opportunities to grow in both our existing and new markets.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Brand Awareness</w:t>
      </w:r>
    </w:p>
    <w:p>
      <w:pPr>
        <w:spacing w:after="0" w:line="22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Increasing brand awareness and growing favorable brand equity have been and remain central to our growth. Based on our Customer Insight Survey conducted in May 2021, our aided brand awareness is 54%, and we believe we have significant room to increase in the U.S. and internationally. From 2018 to 2021, our aided brand awareness grew from 43% to 54% generally and from 53% to 65% among consumers who recently purchased or are in the process of purchasing an engagement ring or wedding ring. We will continue to drive brand awareness through marketing, earned media, showroom expansion, and word-of-mouth referrals.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Omnichannel Reach</w:t>
      </w:r>
    </w:p>
    <w:p>
      <w:pPr>
        <w:spacing w:after="0" w:line="22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are in the early stages of expanding our showrooms nationwide, and expect to focus in the near term on major urban markets in the U.S. where we can maximize our growth potential. Expanding our number of showrooms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uplifted our e-commerce business, accelerated growth, increased average order value, and improved conversion in the showrooms’ metro regions.</w:t>
      </w:r>
    </w:p>
    <w:p>
      <w:pPr>
        <w:spacing w:after="0" w:line="2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Currently we have 15 locations. Because our showrooms serve as destinations with some customers traveling long distances, we believe we can achieve broad national showroom coverage with far fewer locations than many traditional retailers. We expect this highly efficient showroom model to complement our digital strategy and will continue to drive growth and profitability.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Purchase Occasions with Existing and New Customers</w:t>
      </w:r>
    </w:p>
    <w:p>
      <w:pPr>
        <w:spacing w:after="0" w:line="22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Fine jewelry, which includes earrings, necklaces, bracelets, and rings (other than engagement or wedding), represented 63% of the global jewelry market in 2020, according to The Bain Report. We believe we have significant opportunity to expand our relationship with our deeply loyal customer base beyond our current core engagement and wedding ring category into special occasions and self-purchases.</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Our customer typically begins their Brilliant Earth journey with an engagement ring, so we are often the first significant jewelry purchase in our customer’s life, which we believe creates a lasting, emotional connection with the Brilliant Earth brand. While engagement ring purchases have historically been male-dominated, we thoughtfully built our brand messaging and customer experience to appeal to all genders. Our brand values of beauty, quality, and ethics resonate strongly with Brilliant Earth couples. For all of these reasons, we believe we are uniquely positioned in the industry to build on our brand loyalty to increase future purchases.</w:t>
      </w:r>
    </w:p>
    <w:p>
      <w:pPr>
        <w:spacing w:after="0" w:line="20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To capture these opportunities, we are investing in an expanded fine jewelry assortment, and we will continue to enhance our customer lifetime marketing and data-segmentation capabilities, which we believe will more effectively extend customer relationships beyond engagement and wedding purchases, whether customers are buying a gift or a piece for themselves. With our strong brand resonance with Millennials and Gen Z consumers, we also believe our expanded fine jewelry assortment and strategic customer acquisition will continue to drive fine jewelry orders from new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Internationally</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are in the early stages of expanding globally and believe there is significant opportunity for expansions. Approximately 80% of the global fine jewelry market is outside of the U.S, according to Euromonitor. Our early proof points from localizing our website for Canada, Australia, and the United Kingdom show promising growth in those markets. In addition, we have sold to customers from over 50 countries despite minimal existing language, logistics and currency support for those geographies. We believe that these are early positive signals and that there is substantial potential to launch e-commerce in new overseas markets, and new showrooms in countries where we have already established a localized digital presence.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Assortment and Merchandising</w:t>
      </w:r>
    </w:p>
    <w:p>
      <w:pPr>
        <w:spacing w:after="0" w:line="22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are passionate about beautiful and innovative product design. We are proud to offer our customers exclusive and thoughtfully curated collections of diamond engagement rings, wedding and anniversary rings, gemstone rings, and fine jewelry.</w:t>
      </w:r>
    </w:p>
    <w:p>
      <w:pPr>
        <w:spacing w:after="0" w:line="19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Our diamond engagement rings are made-to-order through our Create Your Own ring digital tool. Customers choose their ideal ring setting, precious metal type, and ring size, and select their favorite Beyond Conflict Free natural diamond or lab-grown diamond to create their one-of-a-kind ring.</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Our collection of wedding and anniversary rings includes classic precious metal bands and bands accented with diamonds or gemstones. Many of these rings are designed to complement engagement rings and may be purchased with the engagement ring to provide a perfect match. These rings can also be styled alone for everyday wear or stacked to make a distinctive statement. Our diamond bands, including eternity rings, are popular anniversary gifts. Our gemstone rings feature vibrant and distinctive center gemstones, including sapphires, emeralds, moissanites, aquamarines, and other unique colored gemstones. Through our Create Your Own ring digital tool, customers can choose their ideal ring setting, precious metal type, and ring size, and select their favorite gemstone type, shape,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color, and size. We also offer pre-set gemstone rings with our most popular gemstones for customers seeking a more curated choice.</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Our collection of fine jewelry includes earrings, necklaces, and bracelets. We offer a broad and growing assortment for gifting and self-purchase, from classic diamond stud earrings and tennis bracelets to unique pendants and distinctive gemstone styles. Our emphasis on personalization is reflected in our collection of engravable jewelry and Create Your Own earrings and necklaces set with natural or lab-grown diamonds.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Diamond Assortment</w:t>
      </w:r>
    </w:p>
    <w:p>
      <w:pPr>
        <w:spacing w:after="0" w:line="22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Customers can purchase loose diamonds or select from our vast inventory to create their own diamond ring, earrings, or necklace. Our inventory of independently graded diamonds spans a wide variety of shapes, sizes, premium qualities, and price points to cater to unique customer preferences. We offer both our Beyond Conflict Free natural diamonds with a listed origin and lab-grown diamonds to appeal to different customer preferences. Our Beyond Conflict Free natural diamonds have been selected based on their ethical and environmentally responsible origins, and we believe we are pioneers in offering diamonds with listed and transparent origins. Our lab-grown diamonds have the same physical, chemical, and optical characteristics as natural diamonds, exhibit the same sparkle and provide a mining-free alternative to naturally sourced diamonds. We were one of the first jewelers to offer lab-grown diamonds in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In-House Design Studio</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award-winning in-house design team creates distinctive new jewelry designs and updates classic styles with fresh modern appeal. Over two-thirds of our ring collection is proprietary and available exclusively at Brilliant Earth. Our head of product development has been driving innovation at Brilliant Earth for over ten years. Our team uses state-of-the-art technology and the artistry of hand-drawn sketches to create hundreds of new designs per year. Each design is perfected using computer-aided design (“CAD”) technology to ensure beauty from all angles, high quality and manufacturability.</w:t>
      </w:r>
    </w:p>
    <w:p>
      <w:pPr>
        <w:spacing w:after="0" w:line="18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also release exclusive jewelry collections throughout the year to highlight our passion for design. We believe our customers love our beautiful and unique styles—using our Virtual Try On feature, they frequently visualize rings with different diamond shapes and sizes on their own hand, then share their unique creations on social media.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Data-Driven Merchandising</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thoughtfully curate our collections to offer beautiful and differentiated designs with broad appeal. Our data-driven merchandising strategy leverages our robust dataset, strong relationships with our customers, and highly engaged social media community to continuously uncover new insights and trends. We also analyze over 50 attributes associated with our products to optimize our merchandising and inventory decisions.</w:t>
      </w:r>
    </w:p>
    <w:p>
      <w:pPr>
        <w:spacing w:after="0" w:line="192"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Our in-house expertise drives an agile product development cycle, with new products typically developed within three months. This agility enables us to rapidly launch, test, and learn based on performance feedback with minimal capital outlay. We regularly refresh our product assortment and maintain a curated online collection of fresh, trend-forward styles that resonate strongly with our customers. We merchandise our showrooms with styles that have sold well online, keeping our inventory costs 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Collections</w:t>
      </w:r>
    </w:p>
    <w:p>
      <w:pPr>
        <w:spacing w:after="0" w:line="225" w:lineRule="exact"/>
        <w:rPr>
          <w:sz w:val="20"/>
          <w:szCs w:val="20"/>
          <w:color w:val="auto"/>
        </w:rPr>
      </w:pPr>
    </w:p>
    <w:p>
      <w:pPr>
        <w:jc w:val="both"/>
        <w:ind w:right="140"/>
        <w:spacing w:after="0" w:line="225" w:lineRule="auto"/>
        <w:rPr>
          <w:sz w:val="20"/>
          <w:szCs w:val="20"/>
          <w:color w:val="auto"/>
        </w:rPr>
      </w:pPr>
      <w:r>
        <w:rPr>
          <w:rFonts w:ascii="Arial" w:cs="Arial" w:eastAsia="Arial" w:hAnsi="Arial"/>
          <w:sz w:val="18"/>
          <w:szCs w:val="18"/>
          <w:color w:val="auto"/>
        </w:rPr>
        <w:t>We partner with designers and organizations aligned with our mission and values to create exclusive product collections and support social causes we are passionate about. Collections allow us to broaden our assortment, reinforce our brand ethos, increase engagement with customers and feature like-minded designers.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Recent successful partnerships include:</w:t>
      </w:r>
    </w:p>
    <w:p>
      <w:pPr>
        <w:spacing w:after="0" w:line="236" w:lineRule="exact"/>
        <w:rPr>
          <w:sz w:val="20"/>
          <w:szCs w:val="20"/>
          <w:color w:val="auto"/>
        </w:rPr>
      </w:pPr>
    </w:p>
    <w:p>
      <w:pPr>
        <w:ind w:left="660" w:right="380" w:hanging="328"/>
        <w:spacing w:after="0" w:line="230"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i w:val="1"/>
          <w:iCs w:val="1"/>
          <w:color w:val="auto"/>
        </w:rPr>
        <w:t xml:space="preserve">Tacori at Brilliant Earth: </w:t>
      </w:r>
      <w:r>
        <w:rPr>
          <w:rFonts w:ascii="Arial" w:cs="Arial" w:eastAsia="Arial" w:hAnsi="Arial"/>
          <w:sz w:val="18"/>
          <w:szCs w:val="18"/>
          <w:color w:val="auto"/>
        </w:rPr>
        <w:t>In May 2021, we announced a partnership to offer the first fully customizable bridal collection for Tacori. Using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Create Your Own tool, customers can customize versions of Tacori’s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most popular engagement ring settings and wedding bands, including the precious metal type and diamond size and shape</w:t>
      </w:r>
    </w:p>
    <w:p>
      <w:pPr>
        <w:spacing w:after="0" w:line="9" w:lineRule="exact"/>
        <w:rPr>
          <w:sz w:val="20"/>
          <w:szCs w:val="20"/>
          <w:color w:val="auto"/>
        </w:rPr>
      </w:pPr>
    </w:p>
    <w:p>
      <w:pPr>
        <w:ind w:left="660" w:right="20" w:hanging="328"/>
        <w:spacing w:after="0" w:line="226"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18"/>
          <w:szCs w:val="18"/>
          <w:i w:val="1"/>
          <w:iCs w:val="1"/>
          <w:color w:val="auto"/>
        </w:rPr>
        <w:t xml:space="preserve">Happiest Season: </w:t>
      </w:r>
      <w:r>
        <w:rPr>
          <w:rFonts w:ascii="Arial" w:cs="Arial" w:eastAsia="Arial" w:hAnsi="Arial"/>
          <w:sz w:val="18"/>
          <w:szCs w:val="18"/>
          <w:color w:val="auto"/>
        </w:rPr>
        <w:t>In December 2020, we launched our gender-neutral ring line, MX Collection, featured in Hulu’s</w:t>
      </w:r>
      <w:r>
        <w:rPr>
          <w:rFonts w:ascii="Arial" w:cs="Arial" w:eastAsia="Arial" w:hAnsi="Arial"/>
          <w:sz w:val="18"/>
          <w:szCs w:val="18"/>
          <w:i w:val="1"/>
          <w:iCs w:val="1"/>
          <w:color w:val="auto"/>
        </w:rPr>
        <w:t xml:space="preserve"> Happiest Season</w:t>
      </w:r>
      <w:r>
        <w:rPr>
          <w:rFonts w:ascii="Arial" w:cs="Arial" w:eastAsia="Arial" w:hAnsi="Arial"/>
          <w:sz w:val="18"/>
          <w:szCs w:val="18"/>
          <w:color w:val="auto"/>
        </w:rPr>
        <w:t>, the first major</w:t>
      </w:r>
      <w:r>
        <w:rPr>
          <w:rFonts w:ascii="Arial" w:cs="Arial" w:eastAsia="Arial" w:hAnsi="Arial"/>
          <w:sz w:val="18"/>
          <w:szCs w:val="18"/>
          <w:i w:val="1"/>
          <w:iCs w:val="1"/>
          <w:color w:val="auto"/>
        </w:rPr>
        <w:t xml:space="preserve"> </w:t>
      </w:r>
      <w:r>
        <w:rPr>
          <w:rFonts w:ascii="Arial" w:cs="Arial" w:eastAsia="Arial" w:hAnsi="Arial"/>
          <w:sz w:val="18"/>
          <w:szCs w:val="18"/>
          <w:color w:val="auto"/>
        </w:rPr>
        <w:t>LGBTQ+ holiday rom-com. The line was designed with inclusivity in mind and is driven by our passion to create a more compassionate and inclusive jewelry industry.</w:t>
      </w:r>
    </w:p>
    <w:p>
      <w:pPr>
        <w:spacing w:after="0" w:line="1" w:lineRule="exact"/>
        <w:rPr>
          <w:rFonts w:ascii="Arial" w:cs="Arial" w:eastAsia="Arial" w:hAnsi="Arial"/>
          <w:sz w:val="20"/>
          <w:szCs w:val="20"/>
          <w:color w:val="auto"/>
        </w:rPr>
      </w:pPr>
    </w:p>
    <w:p>
      <w:pPr>
        <w:ind w:left="660" w:right="240" w:hanging="328"/>
        <w:spacing w:after="0" w:line="248"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6"/>
          <w:szCs w:val="16"/>
          <w:i w:val="1"/>
          <w:iCs w:val="1"/>
          <w:color w:val="auto"/>
        </w:rPr>
        <w:t xml:space="preserve">Simone I. Smith Jewelry for Brilliant Earth Collection: </w:t>
      </w:r>
      <w:r>
        <w:rPr>
          <w:rFonts w:ascii="Arial" w:cs="Arial" w:eastAsia="Arial" w:hAnsi="Arial"/>
          <w:sz w:val="16"/>
          <w:szCs w:val="16"/>
          <w:color w:val="auto"/>
        </w:rPr>
        <w:t>In 2020, we offered exclusive products from Simone’s on-trend jewelry line, and we</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social change and racial justice by donating a portion of our proceeds to groups like the NAACP Legal Defense and Education Fund.</w:t>
      </w:r>
    </w:p>
    <w:p>
      <w:pPr>
        <w:ind w:left="660" w:right="440" w:hanging="328"/>
        <w:spacing w:after="0" w:line="222"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18"/>
          <w:szCs w:val="18"/>
          <w:i w:val="1"/>
          <w:iCs w:val="1"/>
          <w:color w:val="auto"/>
        </w:rPr>
        <w:t xml:space="preserve">Amazon Rainforest Diamond Pendant: </w:t>
      </w:r>
      <w:r>
        <w:rPr>
          <w:rFonts w:ascii="Arial" w:cs="Arial" w:eastAsia="Arial" w:hAnsi="Arial"/>
          <w:sz w:val="18"/>
          <w:szCs w:val="18"/>
          <w:color w:val="auto"/>
        </w:rPr>
        <w:t>In 2019, we partnered with the Rainforest Alliance to design an exclusive necklace to raise awareness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climate change.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Data</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Since our founding, we have been a leader in incorporating technology and a data-driven approach in an industry that has historically been slow to embrace technology. Our core technologies serve as a foundation for our operating, sales, marketing, and merchandising functions. To deliver our exceptional customer experience and drive efficiencies across our company, we develop proprietary technology solutions and leverage leading third-party solutions.</w:t>
      </w:r>
    </w:p>
    <w:p>
      <w:pPr>
        <w:spacing w:after="0" w:line="17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We have a customized e-commerce architecture that enables us to efficiently develop and launch new functionality, customer experiences, and content. Our agile development sprints allow for rapid innovation and testing, and we continually release new functionality to optimize the user experience. For example, our proprietary Diamond Quiz curates recommendations unique to each customer based on an analysis of thousands of diamond demand categories.</w:t>
      </w:r>
    </w:p>
    <w:p>
      <w:pPr>
        <w:spacing w:after="0" w:line="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offer our customers a wide variety of powerful decision-making tools, including real diamond videos, and dynamic product visualization. Our advanced Virtual Try On tool allows customers to see any ring with any gemstone size, shape, and color on their own hand, then seamlessly shop, save or share their one-of-a-kind creation. Our Find My Matching Wedding Band tool offers customers an engaging way to explore and discover rings that match their engagement rings, enables the visualization of the ring set and provides us cross-selling and upselling opportunities.</w:t>
      </w:r>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technology infrastructure, including our supply chain, inventory management, order fulfillment, sales system of record, and CRM systems, is built within a highly customized, powerful ERP platform. We leverage this technology to provide a unified data source and single view of our customer, as well as ensure quality standards and a more efficient turnaround for our flagship Create Your Own product. We also use a leading data visualization platform for real-time business intelligence across our teams to drive decision making and continuous improvement.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to Consumer, Omnichannel Sales Model</w:t>
      </w:r>
    </w:p>
    <w:p>
      <w:pPr>
        <w:spacing w:after="0" w:line="229" w:lineRule="exact"/>
        <w:rPr>
          <w:sz w:val="20"/>
          <w:szCs w:val="20"/>
          <w:color w:val="auto"/>
        </w:rPr>
      </w:pPr>
    </w:p>
    <w:p>
      <w:pPr>
        <w:jc w:val="both"/>
        <w:ind w:right="300"/>
        <w:spacing w:after="0" w:line="235" w:lineRule="auto"/>
        <w:rPr>
          <w:sz w:val="20"/>
          <w:szCs w:val="20"/>
          <w:color w:val="auto"/>
        </w:rPr>
      </w:pPr>
      <w:r>
        <w:rPr>
          <w:rFonts w:ascii="Arial" w:cs="Arial" w:eastAsia="Arial" w:hAnsi="Arial"/>
          <w:sz w:val="18"/>
          <w:szCs w:val="18"/>
          <w:color w:val="auto"/>
        </w:rPr>
        <w:t>We sell directly to consumers through our omnichannel sales platform, including e-commerce and showrooms. With a customer-centric and data-driven approach, we offer an elevated, personalized, and educational experience. Our omnichannel approach enhances the customer journey, provides a deeper connection with our jewelry specialists, and drives higher conversion rates.</w:t>
      </w:r>
    </w:p>
    <w:p>
      <w:pPr>
        <w:spacing w:after="0" w:line="202" w:lineRule="exact"/>
        <w:rPr>
          <w:sz w:val="20"/>
          <w:szCs w:val="20"/>
          <w:color w:val="auto"/>
        </w:rPr>
      </w:pPr>
    </w:p>
    <w:p>
      <w:pPr>
        <w:ind w:right="520"/>
        <w:spacing w:after="0" w:line="225" w:lineRule="auto"/>
        <w:rPr>
          <w:sz w:val="20"/>
          <w:szCs w:val="20"/>
          <w:color w:val="auto"/>
        </w:rPr>
      </w:pPr>
      <w:r>
        <w:rPr>
          <w:rFonts w:ascii="Arial" w:cs="Arial" w:eastAsia="Arial" w:hAnsi="Arial"/>
          <w:sz w:val="18"/>
          <w:szCs w:val="18"/>
          <w:color w:val="auto"/>
        </w:rPr>
        <w:t>Our mobile-first design approach enables an exceptional user experience across devices. On www.brilliantearth.com, customers can engage with our experienced jewelry specialists via chat, e-mail, and virtual appointments, and can experience our products using our Virtual Try On and product visualization technology.</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We offer personalized individual appointments at our modern showrooms, where customers can experience Brilliant Earth in person, touch, and feel our products, and receive valuable diamond and gemstone education from our jewelry specialists. We make visiting our showrooms a seamless experience where customers can easily book their appointment and share their preferences online. We also use data from our customers’ digital interactions to personalize their appointments and curate the inventory they see in the showroom.</w:t>
      </w:r>
    </w:p>
    <w:p>
      <w:pPr>
        <w:spacing w:after="0" w:line="203" w:lineRule="exact"/>
        <w:rPr>
          <w:sz w:val="20"/>
          <w:szCs w:val="20"/>
          <w:color w:val="auto"/>
        </w:rPr>
      </w:pPr>
    </w:p>
    <w:p>
      <w:pPr>
        <w:jc w:val="both"/>
        <w:ind w:right="380"/>
        <w:spacing w:after="0" w:line="253" w:lineRule="auto"/>
        <w:rPr>
          <w:sz w:val="20"/>
          <w:szCs w:val="20"/>
          <w:color w:val="auto"/>
        </w:rPr>
      </w:pPr>
      <w:r>
        <w:rPr>
          <w:rFonts w:ascii="Arial" w:cs="Arial" w:eastAsia="Arial" w:hAnsi="Arial"/>
          <w:sz w:val="17"/>
          <w:szCs w:val="17"/>
          <w:color w:val="auto"/>
        </w:rPr>
        <w:t>As of December 31, 2021, we have 15 showrooms across the United States. Our showrooms are in prime destinations in major metro areas, including ground or upper floor locations in areas with premium retail adjacencies. We leverage data—including our own first-person customer data, revenue, e-commerce behavior, population and demographic data, and market growth—to inform our showroom real estate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Jewelry Specialists</w:t>
      </w:r>
    </w:p>
    <w:p>
      <w:pPr>
        <w:spacing w:after="0" w:line="229"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We have a dedicated team of jewelry specialists available to our customers through every step of their journey via chat, phone, email, virtual appointment, and in our showrooms. Our team serves customers across more than 50 countries on inquiries ranging from diamond education, style recommendations, jewelry care, and payment options.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maintain a flexible and high utilization staffing model in which specialists can seamlessly support online customers when not in customer appointments. We host thousands of individual consultations per month, where we provide diamond and jewelry guidance and education in a relaxing environment, and we provide personalized product recommendations and styling advice for our customers. Jewelry specialists leverage our unified view of the customer to ensure a personalized experience and create a fun, approachable, and educational environment that fosters lasting connections.</w:t>
      </w:r>
    </w:p>
    <w:p>
      <w:pPr>
        <w:spacing w:after="0" w:line="189"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We have tens of thousands of customer interactions per month on average. We respond to most inbound inquiries within 24 hours. In addition, outbound initiatives such as proactive live chats and marketing emails to visit showrooms increase customer engagement and conversion.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We employ a variety of dynamic brand marketing and performance marketing strategies to broaden our customer reach, build brand awareness, and maximize lifetime customer value. We use data-driven insights to produce targeted marketing content across a variety of mediums and optimize our marketing efficiency. Our customers are deeply involved with the Brilliant Earth brand, sharing thousands of images, videos, and stories of their proposals and weddings every year. They are passionate brand ambassadors, as reflected by the 62% of customers that were word-of-mouth referrals according to our Customer Insight Survey.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Marketing</w:t>
      </w:r>
    </w:p>
    <w:p>
      <w:pPr>
        <w:spacing w:after="0" w:line="22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Our in-house social media team prioritizes a mix of aspirational yet approachable product and lifestyle imagery, authentic user-generated content, unique educational content, and purpose-driven storytelling that aligns with our audience’s values. Our strong connection with our audience allows us to stay ahead of trends and adapt to reflect their interests.</w:t>
      </w:r>
    </w:p>
    <w:p>
      <w:pPr>
        <w:spacing w:after="0" w:line="20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also collaborate with key influencers who are deeply passionate about our mission and products. We partner with them to create authentic and unique content, which helps to expand our reach to new and highly relevant audiences. This amplifies the effectiveness of our strategy and contributes to our outsized number of followers and engagement with our community.</w:t>
      </w:r>
    </w:p>
    <w:p>
      <w:pPr>
        <w:spacing w:after="0" w:line="20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unique product designs, strong mission and values and new market launches drive frequent press mentions in leading publications, including Forbes, Vogue and WWD.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Marketing</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take a data-driven and digital-centric approach to performance marketing including search engine optimization, paid search and product listing advertisements, paid and earned social, retargeting, email, display, direct mail, and more. We continuously track performance and make adjustments across channels, campaigns, and creative assets to optimize performance. Our performance marketing drives attractive customer acquisition and retention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Supply Chain</w:t>
      </w:r>
    </w:p>
    <w:p>
      <w:pPr>
        <w:spacing w:after="0" w:line="22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Responsible sourcing is an important aspect of our mission and values. We work with a complex, global network of trusted suppliers and manufacturers who agree to our strict Supplier Code of Conduct and with whom we have developed deep relationships, generally over many years. As part of our commitment to social and environmental responsibility, we offer Beyond Conflict Free Diamonds, recycled precious metals and FSC-certified wood ring boxes. We strive to offer products sourced in alignment with responsible labor and environmental practices, and continually work with our suppliers to seek to improve standards and traceability.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Beyond Conflict Free Diamonds</w:t>
      </w:r>
      <w:r>
        <w:rPr>
          <w:rFonts w:ascii="Arial" w:cs="Arial" w:eastAsia="Arial" w:hAnsi="Arial"/>
          <w:sz w:val="23"/>
          <w:szCs w:val="23"/>
          <w:i w:val="1"/>
          <w:iCs w:val="1"/>
          <w:color w:val="auto"/>
          <w:vertAlign w:val="superscript"/>
        </w:rPr>
        <w:t>™</w:t>
      </w:r>
    </w:p>
    <w:p>
      <w:pPr>
        <w:spacing w:after="0" w:line="17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go above and beyond current industry standards to offer Beyond Conflict Free Diamonds that have been selected for their ethical and environmentally responsible origins. Jewelers that offer “conflict free” diamonds meet the minimum standards of the Kimberley Process’ definition, which narrowly defines conflict diamonds as “rough diamonds used to finance wars against governments.” This minimum standards definition still allows large numbers of diamonds that are tainted by violence, human rights abuses, poverty, environmental degradation, and other issues.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Practices and Standards</w:t>
      </w:r>
    </w:p>
    <w:p>
      <w:pPr>
        <w:spacing w:after="0" w:line="22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Our select group of natural diamond suppliers demonstrate a robust chain of custody protocol for their diamonds and have the ability to track and segregate diamonds by origin. These suppliers are required to source diamonds that originate from specific mine operations in specific countries that have demonstrated their commitment to follow internationally recognized labor, trade and environmental standards. Our natural diamonds are sourced from approved mines in countries ranked low to moderate risk according to the Gemstones and Jewellery Community Platform Index for Conflict-Affected High-Risk Areas.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are continuously improving our processes and working with our partners toward ever more rigorous procedures for diamond sourcing and handling.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work with our suppliers and industry partners to continue leading the diamond industry in traceability.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Blockchain-Enabled and GIA Origin Report Diamonds</w:t>
      </w:r>
    </w:p>
    <w:p>
      <w:pPr>
        <w:spacing w:after="0" w:line="22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To further our commitment to transparency and responsible sourcing, we have partnered with Everledger, a leading emerging technology enterprise that uses blockchain to securely track and trace the provenance of high-value assets, including our collection of blockchain-enabled diamonds. This technology tracks a diamond from its origins at the mining operator, through cutting and polishing, to the customer. We offer thousands of blockchain-enabled diamonds. We also offer a collection of GIA Origin Report Diamonds that trace the diamond from its source to its final polished state by uniquely leveraging advanced scientific analysis to deliver rough-to-polish diamond matching.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Lab-Grown Diamonds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Lab-grown diamonds are created in highly controlled laboratory environments using advanced technological processes that duplicate the conditions under which diamonds develop in nature. These diamonds have the same physical, chemical, and optical characteristics as natural diamonds, and exhibit the same fire, scintillation, and sparkle. Lab-grown diamonds provide a mining-free alternative to natural diamonds.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Recycled Precious Metals</w:t>
      </w:r>
    </w:p>
    <w:p>
      <w:pPr>
        <w:spacing w:after="0" w:line="22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strive to use 100% recycled precious metals for our products. Our precious metals are sourced from certified responsible refiners that have been audited for standards set by organizations such as the Responsible Jewellery Council, Responsible Minerals Initiative, and London Bullion Market Association. Currently our gold and silver fine jewelry is made primarily of recycled materials, and we continue to work with our suppliers to increase the usage of recycled metal in our products.</w:t>
      </w:r>
    </w:p>
    <w:p>
      <w:pPr>
        <w:spacing w:after="0" w:line="202" w:lineRule="exact"/>
        <w:rPr>
          <w:sz w:val="20"/>
          <w:szCs w:val="20"/>
          <w:color w:val="auto"/>
        </w:rPr>
      </w:pPr>
    </w:p>
    <w:p>
      <w:pPr>
        <w:jc w:val="both"/>
        <w:ind w:right="360"/>
        <w:spacing w:after="0" w:line="253" w:lineRule="auto"/>
        <w:rPr>
          <w:sz w:val="20"/>
          <w:szCs w:val="20"/>
          <w:color w:val="auto"/>
        </w:rPr>
      </w:pPr>
      <w:r>
        <w:rPr>
          <w:rFonts w:ascii="Arial" w:cs="Arial" w:eastAsia="Arial" w:hAnsi="Arial"/>
          <w:sz w:val="17"/>
          <w:szCs w:val="17"/>
          <w:color w:val="auto"/>
        </w:rPr>
        <w:t>Metal mining, and gold mining in particular, is one of the most environmentally destructive types of mining, and gold miners often earn low wages in dangerous working conditions. Our objective is to help diminish the negative impacts of dirty gold and other metals by reducing the demand for newly mined metals, focusing on recycled precious metals, and contributing to programs dedicated to improving mining practices.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Colored Gemstones</w:t>
      </w:r>
    </w:p>
    <w:p>
      <w:pPr>
        <w:spacing w:after="0" w:line="22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colored gemstone offerings include sapphires, emeralds, moissanites, and aquamarines. We strive to offer gemstones sourced in alignment with safe working conditions and environmentally responsible principles.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working with our colored gemstone suppliers to improve standards and traceability, we strive to promote higher standards for gemstone sourcing to improve dangerous mining conditions and encourage responsible practices. In 2021, we launched our Moyo Gems Collection, which empowers female artisanal miners in Tanzania through safer work environments, better mining practices, and improved equity in fair trade 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Recycled Diamonds</w:t>
      </w:r>
    </w:p>
    <w:p>
      <w:pPr>
        <w:spacing w:after="0" w:line="22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Recycled diamonds consist of existing polished diamonds that were previously sold, and are either in original condition or were re-polished and re-graded. Our recycled diamonds have been graded by an independent gemological lab and can be compared to newly mined diamonds for their quality characteristics. This product category is still nascent in the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Manufacturing and Fulfillment</w:t>
      </w:r>
    </w:p>
    <w:p>
      <w:pPr>
        <w:spacing w:after="0" w:line="2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manage complex global operations, manufacturing, and logistics networks to enable rapid turnaround times without compromising our commitment to quality, craftsmanship, and ethical sourcing. We have built a sophisticated technology platform to manage our supplier network, resulting in high-quality, customized jewelry produced at scale.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Management</w:t>
      </w:r>
    </w:p>
    <w:p>
      <w:pPr>
        <w:spacing w:after="0" w:line="22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are able to offer a vast virtual inventory of over 150,000 diamonds while keeping our asset inventory low. Our sophisticated inventory management system and deep integration with our suppliers allow us to rapidly bring in inventory for appointments. Using our customer data, we curate the inventory for our in-person appointments, ensuring showroom visitors see a personalized and relevant selection. Pricing with our suppliers is determined based on product specifications, market conditions, and other variables. For example, diamond prices are determined based on market conditions, competition, and other factors, including the diamond’s attributes.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have deep relationships with long-term manufacturing partners, who demonstrate their ability to meet our commitments for ethical sourcing, high quality, fast turnarounds and scalability. Pricing with our manufacturing partners is established and renegotiated based on product specifications, market conditions, and other variables. Our partners, who we consider part of the Brilliant Earth family, go through a rigorous onboarding process to ensure they meet our strict compliance and quality standards, including recycled metal content. Because we own the designs created by our in-house studio, we have flexibility to determine where the jewelry is manufactured to optimize cost, manufacturing capabilities and turnaround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Fulfillment and Logistics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majority of our products are made-to-order, and delivered in as little as six to twelve business days. For products that sell in higher, more consistent volumes, such as certain rings and finished jewelry, we batch produce and stock items to enable even faster customer delivery, typically in just two to five business days. Orders are shipped to customers directly from our fulfillment centers or from our manufacturing partners.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w:t>
      </w:r>
    </w:p>
    <w:p>
      <w:pPr>
        <w:spacing w:after="0" w:line="225" w:lineRule="exact"/>
        <w:rPr>
          <w:sz w:val="20"/>
          <w:szCs w:val="20"/>
          <w:color w:val="auto"/>
        </w:rPr>
      </w:pPr>
    </w:p>
    <w:p>
      <w:pPr>
        <w:jc w:val="both"/>
        <w:ind w:right="240"/>
        <w:spacing w:after="0" w:line="235" w:lineRule="auto"/>
        <w:rPr>
          <w:sz w:val="20"/>
          <w:szCs w:val="20"/>
          <w:color w:val="auto"/>
        </w:rPr>
      </w:pPr>
      <w:r>
        <w:rPr>
          <w:rFonts w:ascii="Arial" w:cs="Arial" w:eastAsia="Arial" w:hAnsi="Arial"/>
          <w:sz w:val="18"/>
          <w:szCs w:val="18"/>
          <w:color w:val="auto"/>
        </w:rPr>
        <w:t>Our responsibly sourced wood ring boxes are designed to be as iconic as the jewelry they hold. They are crafted with wood sourced from FSC certified forests, which are responsibly managed to protect the forests for future generations. Our paper-based shipping boxes are FSC Recycled and made from 100% post-consumer or pre-consumer recycled content.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w:t>
      </w:r>
    </w:p>
    <w:p>
      <w:pPr>
        <w:spacing w:after="0" w:line="22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are extremely proud of our team who embody our culture of diversity, equity and inclusion. As of December 31, 2021, we employed 420 full-time employees and 9 part-time employees in the U.S. We are deeply committed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diversity, equity, and inclusion, and we strive to embody our values through our internal practices. We are proud that women comprise majorities of our employees, senior executive team, and board of directors. 31% of our leadership team and 38% of our total employees identify as BIPOC. We believe that diversity makes us a stronger company, and we are proud to be a DEI leader in our industry.</w:t>
      </w:r>
    </w:p>
    <w:p>
      <w:pPr>
        <w:spacing w:after="0" w:line="20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None of our employees are represented by a labor union or are party to a collective bargaining agreement, and we have had no labor-related work stoppages. We believe that we have good relationships with our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22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A defining part of working at Brilliant Earth is our culture, and it is a key ingredient of our success. It attracts talent, and we evaluate, celebrate, and promote team members based on our Pillars of Culture. Our Pillars of Culture are:</w:t>
      </w:r>
    </w:p>
    <w:p>
      <w:pPr>
        <w:spacing w:after="0" w:line="224"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18"/>
          <w:szCs w:val="18"/>
          <w:i w:val="1"/>
          <w:iCs w:val="1"/>
          <w:color w:val="auto"/>
        </w:rPr>
        <w:t>Commitment to the Customer</w:t>
      </w:r>
      <w:r>
        <w:rPr>
          <w:rFonts w:ascii="Arial" w:cs="Arial" w:eastAsia="Arial" w:hAnsi="Arial"/>
          <w:sz w:val="18"/>
          <w:szCs w:val="18"/>
          <w:color w:val="auto"/>
        </w:rPr>
        <w:t>: Providing an exceptional customer experience is always our top priority.</w:t>
      </w:r>
    </w:p>
    <w:p>
      <w:pPr>
        <w:spacing w:after="0" w:line="2" w:lineRule="exact"/>
        <w:rPr>
          <w:rFonts w:ascii="Arial" w:cs="Arial" w:eastAsia="Arial" w:hAnsi="Arial"/>
          <w:sz w:val="20"/>
          <w:szCs w:val="20"/>
          <w:color w:val="auto"/>
        </w:rPr>
      </w:pPr>
    </w:p>
    <w:p>
      <w:pPr>
        <w:ind w:left="660" w:right="120" w:hanging="328"/>
        <w:spacing w:after="0" w:line="221"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18"/>
          <w:szCs w:val="18"/>
          <w:i w:val="1"/>
          <w:iCs w:val="1"/>
          <w:color w:val="auto"/>
        </w:rPr>
        <w:t>Partnership and Positivity</w:t>
      </w:r>
      <w:r>
        <w:rPr>
          <w:rFonts w:ascii="Arial" w:cs="Arial" w:eastAsia="Arial" w:hAnsi="Arial"/>
          <w:sz w:val="18"/>
          <w:szCs w:val="18"/>
          <w:color w:val="auto"/>
        </w:rPr>
        <w:t>: Foster a community of collaboration, inclusivity, respect, and encouragement. Celebrate each other’s differences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other's victories, big, and small.</w:t>
      </w:r>
    </w:p>
    <w:p>
      <w:pPr>
        <w:ind w:left="620" w:hanging="288"/>
        <w:spacing w:after="0" w:line="225" w:lineRule="auto"/>
        <w:tabs>
          <w:tab w:leader="none" w:pos="620" w:val="left"/>
        </w:tabs>
        <w:numPr>
          <w:ilvl w:val="0"/>
          <w:numId w:val="14"/>
        </w:numPr>
        <w:rPr>
          <w:rFonts w:ascii="Arial" w:cs="Arial" w:eastAsia="Arial" w:hAnsi="Arial"/>
          <w:sz w:val="20"/>
          <w:szCs w:val="20"/>
          <w:color w:val="auto"/>
        </w:rPr>
      </w:pPr>
      <w:r>
        <w:rPr>
          <w:rFonts w:ascii="Arial" w:cs="Arial" w:eastAsia="Arial" w:hAnsi="Arial"/>
          <w:sz w:val="18"/>
          <w:szCs w:val="18"/>
          <w:i w:val="1"/>
          <w:iCs w:val="1"/>
          <w:color w:val="auto"/>
        </w:rPr>
        <w:t>Bias toward Action</w:t>
      </w:r>
      <w:r>
        <w:rPr>
          <w:rFonts w:ascii="Arial" w:cs="Arial" w:eastAsia="Arial" w:hAnsi="Arial"/>
          <w:sz w:val="18"/>
          <w:szCs w:val="18"/>
          <w:color w:val="auto"/>
        </w:rPr>
        <w:t>: When you see a need, step up rather than stand by. Discuss, test efficiently, and take action.</w:t>
      </w:r>
    </w:p>
    <w:p>
      <w:pPr>
        <w:spacing w:after="0" w:line="2" w:lineRule="exact"/>
        <w:rPr>
          <w:rFonts w:ascii="Arial" w:cs="Arial" w:eastAsia="Arial" w:hAnsi="Arial"/>
          <w:sz w:val="20"/>
          <w:szCs w:val="20"/>
          <w:color w:val="auto"/>
        </w:rPr>
      </w:pPr>
    </w:p>
    <w:p>
      <w:pPr>
        <w:ind w:left="620" w:hanging="288"/>
        <w:spacing w:after="0" w:line="223" w:lineRule="auto"/>
        <w:tabs>
          <w:tab w:leader="none" w:pos="620" w:val="left"/>
        </w:tabs>
        <w:numPr>
          <w:ilvl w:val="0"/>
          <w:numId w:val="14"/>
        </w:numPr>
        <w:rPr>
          <w:rFonts w:ascii="Arial" w:cs="Arial" w:eastAsia="Arial" w:hAnsi="Arial"/>
          <w:sz w:val="20"/>
          <w:szCs w:val="20"/>
          <w:color w:val="auto"/>
        </w:rPr>
      </w:pPr>
      <w:r>
        <w:rPr>
          <w:rFonts w:ascii="Arial" w:cs="Arial" w:eastAsia="Arial" w:hAnsi="Arial"/>
          <w:sz w:val="18"/>
          <w:szCs w:val="18"/>
          <w:i w:val="1"/>
          <w:iCs w:val="1"/>
          <w:color w:val="auto"/>
        </w:rPr>
        <w:t>Embrace Growth and Change</w:t>
      </w:r>
      <w:r>
        <w:rPr>
          <w:rFonts w:ascii="Arial" w:cs="Arial" w:eastAsia="Arial" w:hAnsi="Arial"/>
          <w:sz w:val="18"/>
          <w:szCs w:val="18"/>
          <w:color w:val="auto"/>
        </w:rPr>
        <w:t>: Be a champion of continuous improvement. Look for new opportunities to support business goals.</w:t>
      </w:r>
    </w:p>
    <w:p>
      <w:pPr>
        <w:spacing w:after="0" w:line="2" w:lineRule="exact"/>
        <w:rPr>
          <w:rFonts w:ascii="Arial" w:cs="Arial" w:eastAsia="Arial" w:hAnsi="Arial"/>
          <w:sz w:val="20"/>
          <w:szCs w:val="20"/>
          <w:color w:val="auto"/>
        </w:rPr>
      </w:pPr>
    </w:p>
    <w:p>
      <w:pPr>
        <w:ind w:left="620" w:hanging="288"/>
        <w:spacing w:after="0" w:line="223" w:lineRule="auto"/>
        <w:tabs>
          <w:tab w:leader="none" w:pos="620" w:val="left"/>
        </w:tabs>
        <w:numPr>
          <w:ilvl w:val="0"/>
          <w:numId w:val="14"/>
        </w:numPr>
        <w:rPr>
          <w:rFonts w:ascii="Arial" w:cs="Arial" w:eastAsia="Arial" w:hAnsi="Arial"/>
          <w:sz w:val="20"/>
          <w:szCs w:val="20"/>
          <w:color w:val="auto"/>
        </w:rPr>
      </w:pPr>
      <w:r>
        <w:rPr>
          <w:rFonts w:ascii="Arial" w:cs="Arial" w:eastAsia="Arial" w:hAnsi="Arial"/>
          <w:sz w:val="18"/>
          <w:szCs w:val="18"/>
          <w:i w:val="1"/>
          <w:iCs w:val="1"/>
          <w:color w:val="auto"/>
        </w:rPr>
        <w:t>Mission Mindset</w:t>
      </w:r>
      <w:r>
        <w:rPr>
          <w:rFonts w:ascii="Arial" w:cs="Arial" w:eastAsia="Arial" w:hAnsi="Arial"/>
          <w:sz w:val="18"/>
          <w:szCs w:val="18"/>
          <w:color w:val="auto"/>
        </w:rPr>
        <w:t>: Be an educated, passionate advocate of our mission in your role and beyond.</w:t>
      </w:r>
    </w:p>
    <w:p>
      <w:pPr>
        <w:spacing w:after="0" w:line="2" w:lineRule="exact"/>
        <w:rPr>
          <w:rFonts w:ascii="Arial" w:cs="Arial" w:eastAsia="Arial" w:hAnsi="Arial"/>
          <w:sz w:val="20"/>
          <w:szCs w:val="20"/>
          <w:color w:val="auto"/>
        </w:rPr>
      </w:pPr>
    </w:p>
    <w:p>
      <w:pPr>
        <w:ind w:left="620" w:hanging="288"/>
        <w:spacing w:after="0" w:line="223" w:lineRule="auto"/>
        <w:tabs>
          <w:tab w:leader="none" w:pos="620" w:val="left"/>
        </w:tabs>
        <w:numPr>
          <w:ilvl w:val="0"/>
          <w:numId w:val="14"/>
        </w:numPr>
        <w:rPr>
          <w:rFonts w:ascii="Arial" w:cs="Arial" w:eastAsia="Arial" w:hAnsi="Arial"/>
          <w:sz w:val="20"/>
          <w:szCs w:val="20"/>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Be accountable for your actions, take pride in your work and inspire others with your example.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global jewelry industry is highly fragmented. We operate in a competitive industry with other global jewelry retailers and brands, department stores, and independent stores, many of which have an online presence. Our primary competitors include:</w:t>
      </w:r>
    </w:p>
    <w:p>
      <w:pPr>
        <w:spacing w:after="0" w:line="224"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18"/>
          <w:szCs w:val="18"/>
          <w:i w:val="1"/>
          <w:iCs w:val="1"/>
          <w:color w:val="auto"/>
        </w:rPr>
        <w:t xml:space="preserve">Jewelry retailers and brands, </w:t>
      </w:r>
      <w:r>
        <w:rPr>
          <w:rFonts w:ascii="Arial" w:cs="Arial" w:eastAsia="Arial" w:hAnsi="Arial"/>
          <w:sz w:val="18"/>
          <w:szCs w:val="18"/>
          <w:color w:val="auto"/>
        </w:rPr>
        <w:t>which sell directly to consumers through their own retail stores and online sites;</w:t>
      </w:r>
    </w:p>
    <w:p>
      <w:pPr>
        <w:spacing w:after="0" w:line="2" w:lineRule="exact"/>
        <w:rPr>
          <w:rFonts w:ascii="Arial" w:cs="Arial" w:eastAsia="Arial" w:hAnsi="Arial"/>
          <w:sz w:val="20"/>
          <w:szCs w:val="20"/>
          <w:color w:val="auto"/>
        </w:rPr>
      </w:pPr>
    </w:p>
    <w:p>
      <w:pPr>
        <w:ind w:left="620" w:hanging="288"/>
        <w:spacing w:after="0" w:line="235"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7"/>
          <w:szCs w:val="17"/>
          <w:i w:val="1"/>
          <w:iCs w:val="1"/>
          <w:color w:val="auto"/>
        </w:rPr>
        <w:t xml:space="preserve">Department stores, </w:t>
      </w:r>
      <w:r>
        <w:rPr>
          <w:rFonts w:ascii="Arial" w:cs="Arial" w:eastAsia="Arial" w:hAnsi="Arial"/>
          <w:sz w:val="17"/>
          <w:szCs w:val="17"/>
          <w:color w:val="auto"/>
        </w:rPr>
        <w:t>which sell an assortment of jewelry brands, and in some cases their own products, through stores and online sites; and</w:t>
      </w:r>
    </w:p>
    <w:p>
      <w:pPr>
        <w:spacing w:after="0" w:line="2" w:lineRule="exact"/>
        <w:rPr>
          <w:rFonts w:ascii="Arial" w:cs="Arial" w:eastAsia="Arial" w:hAnsi="Arial"/>
          <w:sz w:val="19"/>
          <w:szCs w:val="19"/>
          <w:color w:val="auto"/>
        </w:rPr>
      </w:pPr>
    </w:p>
    <w:p>
      <w:pPr>
        <w:ind w:left="620" w:hanging="288"/>
        <w:spacing w:after="0" w:line="223"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18"/>
          <w:szCs w:val="18"/>
          <w:i w:val="1"/>
          <w:iCs w:val="1"/>
          <w:color w:val="auto"/>
        </w:rPr>
        <w:t xml:space="preserve">Independent stores, </w:t>
      </w:r>
      <w:r>
        <w:rPr>
          <w:rFonts w:ascii="Arial" w:cs="Arial" w:eastAsia="Arial" w:hAnsi="Arial"/>
          <w:sz w:val="18"/>
          <w:szCs w:val="18"/>
          <w:color w:val="auto"/>
        </w:rPr>
        <w:t>including boutiques and “mom and pop” shops, who sell primarily through one or more local stores.</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addition, other retail categories and forms of expenditure, such as electronics and travel, also compete for consumers’ discretionary spending. The price of fine jewelry relative to other products also influences consumer spending on fine jewelry.</w:t>
      </w:r>
    </w:p>
    <w:p>
      <w:pPr>
        <w:spacing w:after="0" w:line="19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compete based on brand differentiation, including our mission and values, product selection and quality, customization, price, consumer experience, and turnaround time. We believe that we compete favorably in the market for bridal and other fine jewelry products by focusing on these factors as well as our core values of transparency, sustainability, inclusivity, and giving back.</w:t>
      </w:r>
    </w:p>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believe our premium omnichannel customer experience, unique and exclusive designs, and purpose-driven brand create limited overlap with other industry participants.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long-term commercial success is connected to our ability to obtain and maintain intellectual property protection for our brand, products, and technology; defend and enforce our intellectual property rights;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seek to protect our investments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40"/>
        <w:spacing w:after="0" w:line="228" w:lineRule="auto"/>
        <w:rPr>
          <w:sz w:val="20"/>
          <w:szCs w:val="20"/>
          <w:color w:val="auto"/>
        </w:rPr>
      </w:pPr>
      <w:r>
        <w:rPr>
          <w:rFonts w:ascii="Arial" w:cs="Arial" w:eastAsia="Arial" w:hAnsi="Arial"/>
          <w:sz w:val="18"/>
          <w:szCs w:val="18"/>
          <w:color w:val="auto"/>
        </w:rPr>
        <w:t>into the development of our products, technologies, brand, and design by relying on a combination of copyrights, trademarks, domain names, and trade secrets, as well as confidentiality procedures and contractual provisions.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principal trademark assets include the registered trademark “Brilliant Earth” and our tagline and logos. Our trademarks are valuable assets that support our brand and consumers’ perception of our services and merchandise.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the relevant goods or services. We expect to pursue additional trademark registrations to the extent we believe they would be beneficial and cost-effective. In addition to trademark protection, we also hold the registration to the “brilliantearth.com” Internet domain name and various related domain names.</w:t>
      </w:r>
    </w:p>
    <w:p>
      <w:pPr>
        <w:spacing w:after="0" w:line="203"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We primarily rely on copyright and trade secret laws to protect our proprietary technologies and processes, including the algorithms we use throughout our business. Trade secrets can be difficult to protect, however. Although we take steps to protect and preserve our trade secrets and our know-how, unpatented technology and other proprietary information, including by entering into intellectual property assignment agreements, non-compete agreements, and non-disclosure and confidentiality agreements and by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As a result, we may not be able to meaningfully protect our trade secrets. For more information regarding the risks related to our intellectual property, see “Risk Factors—Risks related to Our Legal and Regulatory Environment— 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We are required to comply with numerous laws and regulations covering areas such as consumer protection, consumer privacy, data protection, consumer credit, payment processing, insurance, health and safety, waste disposal, supply chain integrity, truth in advertising and employment. We monitor changes in these laws to maintain compliance with applicable requirements.</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numerous local, state, federal and foreign laws and regulations regarding privacy and data protection. Regulators around the world have adopted or proposed limitations on, or requirements regarding, the collection, distribution, use, security and storage of personal information, payment card information or other confidential information of individuals and the FTC and many state attorneys general are applying federal and state consumer protection laws to impose standards on the online collection, use and dissemination of data. In the event of a security breach, these laws may subject us to incident response, notice and remediation costs. Failure to safeguard data adequately or to destroy data securely could subject us to regulatory investigations or enforcement actions under applicable data security, unfair practices or consumer protection laws. The scope and interpretation of these laws could change and the associated burdens and our compliance costs could increase in the future. For more information regarding the risks related to our privacy, data security and data protection practices, see “Risk Factors—Risks Related to Our Legal and Regulatory Environment—We are subject to rapidly changing and increasingly stringent laws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business is subject to seasonal fluctuation with a typical increase in sales around the holiday season, with the fourth quarter historically representing approximately 30% of annual net sales and a high percentage of annual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2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internet website address is www.brilliantearth.com. In addition to the information about us and our subsidiaries contained in this Annual Report on Form 10-K, information about us can be found on our website.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on our website is not, and will not be deemed to be, a part of this Annual Report on Form 10-K or incorporated into any of our other filings with the SEC, except where we expressly incorporate such information.</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Exchange Act are available free of charge through our website at www.brilliantearth.com as soon as reasonably practicable after they are electronically filed with or furnished to the Securities and Exchange Commission (the "SEC"). Additionally, the SEC maintains an internet site that contains reports, proxy and information statements and other information. The address of the SEC's website is www.sec.gov.</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Our business involves significant risk. Stockholders should consider and read carefully all of the risks and uncertainties described below, together with all of the other information included in this Annual Report on Form 10-K, as well as our audited consolidated financial statements and the related notes and </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The risks described below are not the only ones we face.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occurrence of any of the following risks or additional risks and uncertainties not presently known to us or that we currently believe to be immaterial could materially and adversely affect our business, financial condition, results of operations or prospects. In such case, the market price of our Class A common stock could decline, and you may lose some or all of your investment. This Annual Report on Form 10-K also contains forward-looking statements that involve risks and uncertainties. See </w:t>
      </w:r>
      <w:r>
        <w:rPr>
          <w:rFonts w:ascii="Arial" w:cs="Arial" w:eastAsia="Arial" w:hAnsi="Arial"/>
          <w:sz w:val="16"/>
          <w:szCs w:val="16"/>
          <w:color w:val="auto"/>
        </w:rPr>
        <w:t>“</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Our actual results could differ materially and adversely from those anticipated in these forward-looking statements as a result of certain important factors, including those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9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have grown rapidly over the last several years, and our recent growth rates and financial performance should not necessarily be considered indicative of our future performance. We were founded in 2005 and since then, we have grown to 15 showrooms across the U.S. as of December 31, 2021. To effectively manage and capitalize on our growth, we must continue to expand our sales and marketing, continue to open showrooms in strategic locations, focus on innovative product and website development, and upgrade our management information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w:t>
      </w:r>
    </w:p>
    <w:p>
      <w:pPr>
        <w:spacing w:after="0" w:line="20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Moreover, the vertically integrated nature of our business, where we create our designs, source natural and lab-grown diamonds as well as other gemstones, customize our IT systems, and sell our products exclusively through our own showrooms and custom e-commerce site,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expanding our product offerings, and expanding our showroom presence. Many of our existing showrooms are relatively new, and we cannot assure you that these showrooms or that future showrooms will generate net sales and cash flow comparable with those generated by our more mature showrooms, especially as we move to new geographic markets. We also cannot assure you that there will not be delays in the development of our planned new showrooms. Moreover, certain occurrences outside of our control may result in the closure of our showrooms or delay the development of new showrooms. For example, as a result of the ongoing COVID-19 pandemic, we temporarily closed all of our showrooms, and while we have reopened all showrooms, we have been under new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limitations such as mask guidelines for employees and customers, and other constraints on our previous retail sales strategies. We are unable to predict whether consumer shopping behaviors will change as we make changes to adjust to the COVID-19 pandemic. Further, many of our showrooms are leased pursuant to multi-year short-term leases, and our ability to negotiate favorable terms on an expiring lease or for a lease renewal option may depend on factors that are not within our control. In addition, our ability to expand our showroom presence depends on our ability to find suitable showroom locations and negotiate acceptable lease terms.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90"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The industry for design-driven, responsibly-sourced fine jewelry is rapidly evolving and may not develop as we expect. Even if our net sales continue to increase, our net sales growth rates may decline in the future as a result of a variety of factors, including macroeconomic factors, changes in supply and in the supply chain, changes in consumer preferences, increased competition, and the maturation of our business. As a result, you should not rely on our net sales growth rate for any prior period as an indication of our future performance. Overall growth of our net sales will depend on a number of factors, including our ability to:</w:t>
      </w:r>
    </w:p>
    <w:p>
      <w:pPr>
        <w:spacing w:after="0" w:line="20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our products and services effectively so that we are able to attract new customers, and expand our relationships with existing customers;</w:t>
      </w:r>
    </w:p>
    <w:p>
      <w:pPr>
        <w:spacing w:after="0" w:line="21"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accurately forecast our net sales and plan our operating expenses;</w:t>
      </w:r>
    </w:p>
    <w:p>
      <w:pPr>
        <w:ind w:left="660" w:right="440" w:hanging="328"/>
        <w:spacing w:after="0" w:line="232"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markets in which we compete, and respond to developments from these competitors such as pricing changes and the introduction of new products and services;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expand in existing markets and enter new markets, including new geographies and categories;</w:t>
      </w:r>
    </w:p>
    <w:p>
      <w:pPr>
        <w:ind w:left="660" w:right="300" w:hanging="328"/>
        <w:spacing w:after="0" w:line="21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launch new offerings and enhance our products and services and their features, including in response to new trends or competitive dynamics or the needs or preferences of customers;</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successfully identify and acquire or invest in businesses, products, or technologies that we believe could complement or expand our business;</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 interruptions or disruptions in distributing our products and services;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supply of natural or lab-grown diamonds could result in a decrease in diamond prices;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customers with high-quality support that meets their needs;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integrate, and retain talented sales, customer service, and other personnel;</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new showroom openings;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209"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also expect to continue to expend substantial financial and other resources to ready our business for growth, and we may fail to allocate our resources in a manner that results in increased net sales growth in our business. Additionally, we may encounter unforeseen operating expenses, challenges, complications, delays, and other unknown factors that may result in losses in future periods. If our net sales growth does not meet our expectations in future periods, our business, financial condition, and results of operations may be harmed, and we may not sustain or increase profitability in the future.</w:t>
      </w:r>
    </w:p>
    <w:p>
      <w:pPr>
        <w:spacing w:after="0" w:line="18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Increases in the costs of diamonds, other gemstones and precious metals, lead times, supply shortages, and supply changes could disrupt our business and have an adverse effect on our operations, financial condition, and results.</w:t>
      </w:r>
    </w:p>
    <w:p>
      <w:pPr>
        <w:spacing w:after="0" w:line="197"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Meeting customer demand partially depends on our ability to obtain timely and adequate delivery of materials for our products and services. The materials that go into the manufacturing of our products and services are sourced from a limited number of suppliers that are expected to adhere to our strict Supplier Code of Conduct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compliance requirements. Additionally, our natural diamonds in particular are subject to our Beyond Conflict Free Diamonds standards, requiring our suppliers to source diamonds that originate from specific mine operators that follow internationally recognized labor, trade, and environmental standards. Similarly, our gold and silver fine jewelry is crafted from recycled precious metals. Limited supply in the market poses a challenge to source recycled platinum, so we work with our suppliers to source recycled platinum when available and from refiners that are known to use recycled materials in their platinum products. We do not have long-term arrangements with most of our materials suppliers, and disruptions in the supply chain, such as those due to the COVID-19 pandemic, may affect the availability and cost of recycled precious metal, Beyond Conflict Free Diamonds, and other materials used in our products. Additionally, our Beyond Conflict Free Diamonds standards go beyond the Kimberly Process definition of “conflict free” diamonds, which limits our supply of ethically and environmentally sourced diamonds more than other fine jewelers. We are therefore subject to the risk of shortages and long lead times in the supply of these materials, and the risk that our suppliers discontinue or modify materials used in our products.</w:t>
      </w:r>
    </w:p>
    <w:p>
      <w:pPr>
        <w:spacing w:after="0" w:line="19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the lead times associated with certain materials are lengthy and may impede or preclude rapid changes in design, quantities, and delivery schedules. Our ability to meet increases in demand has been, and may in the future be, impacted by our reliance on the availability of materials. We have in the past and may in the future experience supply shortages, and the predictability of the availability of these materials may be limited. In the event of a shortage or interruption of supply of these materials, we may not be able to develop alternate sources in a timely or cost-effective manner. Developing alternate sources of supply for these materials may be time-consuming, difficult, and costly, and we may not be able to source these materials on terms that are acceptable to us, or at all, which may undermine our ability to fill orders in a timely manner. Any interruption or delay in the supply of any of these parts or materials, or the inability to obtain these materials from alternate sources at acceptable prices and within a reasonable amount of time, would harm our ability to timely ship products to our customers.</w:t>
      </w:r>
    </w:p>
    <w:p>
      <w:pPr>
        <w:spacing w:after="0" w:line="20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as since at least the beginning of 2018, there has been increasing rhetoric, in some cases coupled with legislative or executive action, from several U.S. and foreign leaders regarding tariffs against foreign imports of certain materials. Several of the materials that go into the manufacturing of our products are sourced internationally. These issues have been further exacerbated by the COVID-19 pandemic: we have seen, and may continue to see, increased congestion and/or new import/export restrictions implemented at ports that we rely on for our business. In some cases, we have had to secure alternative transportation, such as air freight, or use alternative routes, at increased costs to run our supply chain. These tariffs have an impact on our materials costs and have the potential to have an even greater impact depending on the outcome of the current trade negotiations. Increases in our materials costs could have a material effect on our gross margins. The loss of a significant supplier, an increase in materials costs, or delays or disruptions in the delivery of materials, could adversely impact our ability to generate future net sales and earnings and have an adverse effect on our business, financial condition, and operating results.</w:t>
      </w:r>
    </w:p>
    <w:p>
      <w:pPr>
        <w:spacing w:after="0" w:line="204"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b w:val="1"/>
          <w:bCs w:val="1"/>
          <w:i w:val="1"/>
          <w:iCs w:val="1"/>
          <w:color w:val="auto"/>
        </w:rPr>
        <w:t>Our business model relies on maintaining a low cost of production and distribution. 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earnings and cash availability.</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jewelry industry generally is affected by fluctuations in the price and supply of responsibly sourced natural diamonds, lab-grown diamonds, gold, and other precious and semi-precious metals and gemstones.</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mining, production, and inventory policies followed by major producers of rough diamonds can have a significant impact on natural diamond prices and demand, as can the inventory and buying patterns of jewelry retailers and other parties in the supply chain. The availability of diamonds is significantly influenced by the political situation in diamond producing countries and by the Kimberley Process, an inter-governmental agreement for the international trading of rough diamonds. Until acceptable alternative sources of diamonds can be developed, any sustained interruption in the supply of diamonds from significant producing countries, or to the trading in rough and polished diamonds, which could occur as a result of disruption to the Kimberley Process, could adversely affect our business, as well as the retail jewelry market as a whole. In addition, the current Kimberley Process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making procedure is dependent on reaching a consensus among member governments, which can result in the protracted resolution of issues, and there is little expectation of significant reform over the long-term. The impact of this review process on the supply of diamonds, and consumers’ perception of the diamond supply chain, is unknown. Our diamonds in particular are subject to our Beyond Conflict Free Diamonds standards requiring our suppliers to source diamonds that originate from specific mine operators who follow internationally recognized labor, trade, and environmental standards. The possibility of constraints in the supply of diamonds we require to meet our Beyond Conflict Free Diamonds requirements or our recycled or lab-grown diamonds requirements may result in changes in our supply chain practices. Additionally, a substantial increase in the supply of natural or lab-grown diamonds could result in a change in consumer perception of the value of diamonds as well as a decrease in the price of diamonds, which generally depend on the attributes of the diamond.</w:t>
      </w:r>
    </w:p>
    <w:p>
      <w:pPr>
        <w:spacing w:after="0" w:line="204"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Similarly, we use primarily recycled precious metals in our gold and silver fine jewelry. There is a limited supply of recycled platinum, so we work with our suppliers to source recycled platinum when available and from refiners that are known to use recycled materials in their platinum products. In addition, we may from time to time choose to hold more inventory, purchase raw materials at an earlier stage in the supply chain, or enter into commercial agreements of a nature that we currently do not use. Such actions could require the investment of cash and/or additional management skills, and may not resolve supply issues or result in the expected returns and other projected benefits anticipated by management.</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An inability to increase retail prices to reflect higher diamond, gemstone, or precious metal costs would result in lower profitability. There could also be a lag time before particularly sharp increases or other volatility in diamond, gemstones, and precious metal costs can be reflected in retail prices. Even if price changes are implemented, there is no certainty that these changes will be sustainable or sufficient. These factors may cause decreases in gross margins and earnings. In addition, any sustained increases in the cost of diamonds, other gemstones, and precious metals could increase costs, disrupt sales, or require higher inventory levels or changes in the merchandise available to customers.</w:t>
      </w:r>
    </w:p>
    <w:p>
      <w:pPr>
        <w:spacing w:after="0" w:line="202"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In addition, increases in labor costs for manufacturing due to compensation, wage pressure, and other expenses may adversely affect our profitability. Increases in minimum wages and other wage and hour regulations can exacerbate this risk. Additional tariffs or other future cost increases, such as increases in the cost of merchandise, shipping rates, raw material prices, freight costs, and store occupancy costs, may also reduce our profitability. Inflationary pressures could further reduce our sales or profitability. Increases in other operating costs, including changes in energy prices and lease and utility costs, may increase our cost of products sold or selling, general, and administrative expenses. Our model and competitive pressures in the fine jewelry industry may inhibit our ability to reflect these increased costs in the prices of our products, in which case such increased costs could have a material adverse effect on our business, financial condition, and results of operations.</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If we fail to cost-effectively turn existing customers into repeat customers or to acquire new customers, our business, financial condition, and results of operations would be harmed.</w:t>
      </w:r>
    </w:p>
    <w:p>
      <w:pPr>
        <w:spacing w:after="0" w:line="19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growth of our business is dependent upon our ability to continue to grow by cost-effectively turn existing customers into repeat customers and adding new customers. Although we believe that many of our customers originate from word-of-mouth and other non-paid referrals, we expect to continue to expend resources and run marketing campaigns to acquire additional customers, all of which could impact our overall profitability. If we are not able to continue to expand our customer base or fail to retain customers, our net sales may grow more slowly than expected or decline.</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Gaining market acceptance of the e-commerce and omnichannel approach to shopping for fine jewelry is critical to our continued customer retention and growth. Historically, consumers have been slower to adopt online shopping for fine jewelry than e-commerce offerings in other industries like consumer electronics and apparel. Transitioning the consumer in-store experience to an online platform for fine jewelry is difficult because jewelry tends to be a considered and high-value purchase that consumers like to physically see and touch before making a purchase. Changing traditional fine jewelry retail habits is difficult, and if consumers and retailers do not embrace the transition to an e-commerce and omnichannel fine jewelry retail experience as we expect, our business and operations could be harmed. Moreover, even if more consumers begin to shop for fine jewelry online, if we are unable to address their changing needs and anticipate or respond to market trends and new technologies in a timely and cost-efficient manner, we could experience increased customer churn and other negative impacts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Our ability to attract new customers and increase net sales from existing customers also depends in large part on our ability to enhance and improve our existing products and to introduce new products and services, in each case, in a timely manner. We also must be able to identify and originate trends, as well as anticipate and react to changing consumer demands in a timely manner. The success of new products and services depends on several factors, including their timely introduction and completion, sufficient demand, and cost effectiveness. We are building and improving machine learning models and other technological capabilities to drive improved customer experience, as well as efficiencies in our operations, such as virtual try-ons, virtual appointments with jewelry specialists, optimized payment processing and customer service, and automated key support workflows. While we expect these technologies to lead to improvements in the performance of our business and operations, including inventory prediction and customer traffic prediction and management, any flaws or failures of such technologies could cause interruptions or delays in our service, which may harm our business.</w:t>
      </w:r>
    </w:p>
    <w:p>
      <w:pPr>
        <w:spacing w:after="0" w:line="191" w:lineRule="exact"/>
        <w:rPr>
          <w:sz w:val="20"/>
          <w:szCs w:val="20"/>
          <w:color w:val="auto"/>
        </w:rPr>
      </w:pPr>
    </w:p>
    <w:p>
      <w:pPr>
        <w:ind w:right="4080"/>
        <w:spacing w:after="0" w:line="246" w:lineRule="auto"/>
        <w:rPr>
          <w:sz w:val="20"/>
          <w:szCs w:val="20"/>
          <w:color w:val="auto"/>
        </w:rPr>
      </w:pPr>
      <w:r>
        <w:rPr>
          <w:rFonts w:ascii="Arial" w:cs="Arial" w:eastAsia="Arial" w:hAnsi="Arial"/>
          <w:sz w:val="18"/>
          <w:szCs w:val="18"/>
          <w:color w:val="auto"/>
        </w:rPr>
        <w:t>Our number of customers may decline materially or fluctuate as a result of many factors, including, among other things:</w:t>
      </w:r>
    </w:p>
    <w:p>
      <w:pPr>
        <w:spacing w:after="0" w:line="19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dissatisfaction with the quality, pricing of, or changes we make to our products and services;</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consumer appeal and price of products and services offered by us;</w:t>
      </w:r>
    </w:p>
    <w:p>
      <w:pPr>
        <w:ind w:left="660" w:hanging="328"/>
        <w:spacing w:after="0" w:line="232"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intense competition in the fine jewelry retail industry, including certain competitors ability to offer lower prices by not charging sales tax;</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related to our brand;</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market acceptance of our business model, particularly in new geographies where we seek to expand; or</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209" w:lineRule="exact"/>
        <w:rPr>
          <w:sz w:val="20"/>
          <w:szCs w:val="20"/>
          <w:color w:val="auto"/>
        </w:rPr>
      </w:pPr>
    </w:p>
    <w:p>
      <w:pPr>
        <w:jc w:val="both"/>
        <w:ind w:right="40"/>
        <w:spacing w:after="0" w:line="307" w:lineRule="auto"/>
        <w:rPr>
          <w:sz w:val="20"/>
          <w:szCs w:val="20"/>
          <w:color w:val="auto"/>
        </w:rPr>
      </w:pPr>
      <w:r>
        <w:rPr>
          <w:rFonts w:ascii="Arial" w:cs="Arial" w:eastAsia="Arial" w:hAnsi="Arial"/>
          <w:sz w:val="16"/>
          <w:szCs w:val="16"/>
          <w:color w:val="auto"/>
        </w:rPr>
        <w:t>In addition, if we are unable to provide high-quality support to customers or help resolve issues in a timely and acceptable manner, our ability to attract and retain customers could be adversely affected. If our number of customers declines or fluctuates for any of these or other reasons, our business would suffer.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plan to expand showrooms in the U.S., which may expose us to significant risks.</w:t>
      </w:r>
    </w:p>
    <w:p>
      <w:pPr>
        <w:spacing w:after="0" w:line="22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Our growth strategy includes opening new showrooms throughout the U.S. There can be no assurance that we will be able to successfully expand or acquire critical market presence for our brand in new geographical markets in the U.S</w:t>
      </w:r>
      <w:r>
        <w:rPr>
          <w:rFonts w:ascii="Arial" w:cs="Arial" w:eastAsia="Arial" w:hAnsi="Arial"/>
          <w:sz w:val="18"/>
          <w:szCs w:val="18"/>
          <w:i w:val="1"/>
          <w:iCs w:val="1"/>
          <w:color w:val="auto"/>
        </w:rPr>
        <w:t>.</w:t>
      </w:r>
      <w:r>
        <w:rPr>
          <w:rFonts w:ascii="Arial" w:cs="Arial" w:eastAsia="Arial" w:hAnsi="Arial"/>
          <w:sz w:val="18"/>
          <w:szCs w:val="18"/>
          <w:color w:val="auto"/>
        </w:rPr>
        <w:t xml:space="preserve"> Consumer characteristics and competition in new markets may differ substantially from those in the markets where we currently operate. Additionally, we may be unable to develop brand recognition, successfully market our products, or attract new customers in such markets, and we may be unable to identify appropriate locations in such markets. We face many other challenges in opening additional showrooms in the U.S., including:</w:t>
      </w:r>
    </w:p>
    <w:p>
      <w:pPr>
        <w:spacing w:after="0" w:line="20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and availability of and competition for suitable showroom locations;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negotiation of acceptable lease terms;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securing required applicable governmental permits and approvals;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natural disasters and other acts of nature and terrorist acts or political instability;</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training, and retention of qualified personnel;</w:t>
      </w:r>
    </w:p>
    <w:p>
      <w:pPr>
        <w:ind w:left="660" w:hanging="328"/>
        <w:spacing w:after="0" w:line="232"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incurrence or assumption of debt to finance acquisitions or improvements and/or the assumption of long-term, non-cancelable leases;</w:t>
      </w:r>
    </w:p>
    <w:p>
      <w:pPr>
        <w:ind w:left="660" w:hanging="328"/>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financing on acceptable terms;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20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Should we not succeed in opening additional showrooms, there may be adverse impacts to our growth strategy and to our ability to generate additional profits, which in turn could materially and adversely affect our business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COVID-19 pandemic and the travel restrictions, quarantines, other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global macroeconomic effects of the pandemic may persist for an indefinite period of time, even after the pandemic has subsided.</w:t>
      </w:r>
    </w:p>
    <w:p>
      <w:pPr>
        <w:spacing w:after="0" w:line="19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a result of the pandemic and the recommendations of government and health authorities, our showrooms closed to the public beginning in March 2020. We began reopening our showrooms to the public in May 2020 and, by the end of June 2020, we completed the reopening of all our showrooms. While we expect to be able to continue operations for the duration of the pandemic, social distancing protocols, government mandated occupancy limitations, and general consumer behaviors due to COVID-19 may continue to negatively impact showroom traffic, which may negatively impact sales in our showrooms. Such negative impacts may be exacerbated during peak traffic times such as the holiday shopping season. Further, while we have implemented strict safety protocols in showrooms that we have re-opened, there is no guarantee that such protocols will be effective or be perceived as effective, and any virus-related illnesses linked or alleged to be linked to our showrooms, whether accurate or not, may negatively affect our reputation, operating results, and/or financial condition. The COVID-19 pandemic also has disrupted the Company’s global supply chain, and may cause additional disruptions to operations, including increased costs of production and distribution and longer fulfillment times. For example, we faced production capacity issues in crafting sufficient quantities of certain products in 2020 due to government shutdowns, as well as disruption in jewelry manufacturing and sourcing of diamonds and gemstones, which could continue into 2022 and beyond due to the pandemic.</w:t>
      </w:r>
    </w:p>
    <w:p>
      <w:pPr>
        <w:spacing w:after="0" w:line="20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COVID-19 and related governmental reactions have had and may continue to have a negative impact on our financial condition, business, and results of operations due to the occurrence of some or all of the following events or circumstances, among others:</w:t>
      </w:r>
    </w:p>
    <w:p>
      <w:pPr>
        <w:spacing w:after="0" w:line="197" w:lineRule="exact"/>
        <w:rPr>
          <w:sz w:val="20"/>
          <w:szCs w:val="20"/>
          <w:color w:val="auto"/>
        </w:rPr>
      </w:pPr>
    </w:p>
    <w:p>
      <w:pPr>
        <w:ind w:left="660" w:right="40" w:hanging="328"/>
        <w:spacing w:after="0" w:line="22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our third-party suppliers’, contract manufacturers’, logistics providers’, and other business partners’ inability to operate worksites, including manufacturing facilities and shipping and fulfillment centers, due to employee illness or reluctance to appear at work, or “stay-at-home” regulations, and limited showroom capacity, including limited in-store appointments;</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wait times and delayed responses to customer support inquiries and requests;</w:t>
      </w:r>
    </w:p>
    <w:p>
      <w:pPr>
        <w:ind w:left="660" w:right="20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meet consumer demand and delays in the delivery of our products to our customers, which could also result in reputational harm and damaged customer relationships;</w:t>
      </w:r>
    </w:p>
    <w:p>
      <w:pPr>
        <w:ind w:left="660" w:right="76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rates of post-purchase order cancellation, or consumer claims and litigation as a result of long delivery lead times and delivery reschedules;</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return rates;</w:t>
      </w:r>
    </w:p>
    <w:p>
      <w:pPr>
        <w:ind w:left="660" w:right="400" w:hanging="328"/>
        <w:spacing w:after="0" w:line="24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inventory shortages caused by any combination of increased demand that has been difficult to predict with accuracy, longer lead-times and/or material shortages, work restrictions related to COVID-19, import/export conditions such as port congestion, and local government orders;</w:t>
      </w:r>
    </w:p>
    <w:p>
      <w:pPr>
        <w:ind w:left="660" w:right="4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in manufacturing (including the sourcing of key materials), shipment, and delivery of our products; for example, in certain instances, our business partners’ have temporarily closed certain manufacturing facilities for short periods of time, particularly in India, in response to COVID-19, which has caused longer fulfillment times for products;</w:t>
      </w:r>
    </w:p>
    <w:p>
      <w:pPr>
        <w:ind w:left="66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manage our business effectively due to key employees becoming ill, working from home inefficiently, and being unable to travel to our showrooms and distribution centers;</w:t>
      </w:r>
    </w:p>
    <w:p>
      <w:pPr>
        <w:ind w:left="660" w:right="160" w:hanging="328"/>
        <w:spacing w:after="0" w:line="21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of the operations of our third-party suppliers, which could impact our ability to purchase materials at efficient prices and in sufficient amounts;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significant increases to employee health care and benefits costs.</w:t>
      </w:r>
    </w:p>
    <w:p>
      <w:pPr>
        <w:spacing w:after="0" w:line="20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scope and duration of the pandemic, including any current or future resurgences, the pace at which government restrictions are lifted or whether additional actions may be taken to contain the virus, the impact on our customers and suppliers, the speed and extent to which markets recover from the disruptions caused by the pandemic, and the impact of these factors on our business, will depend on future developments that are highly uncertain and cannot be predicted with confidence. Changes in economic conditions and steps taken by the federal government and the Federal Reserve in response to the COVID-19 pandemic could lead to higher inflation than we had anticipated, which could in turn lead to an increase in our costs of products and services and other operating expenses.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addition, to the extent COVID-19 adversely affects our operations and global economic conditions more generally, it may also have the effect of heightening many of the other risks described herein.</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While we believe that the long-term fundamentals of our business are sound, and anticipate that our operating results in future fiscal years will begin to reflect a more normal operating environment, the current economic and public health climate has created a high degree of uncertainty. As such, we continue to closely monitor this global health crisis and will continue to reassess our strategy and operational structure on a regular, ongoing basis as the situation evolves. See “Management’s Discussion and Analysis of Financial Condition and Results of Operations” for more details on the potential impact of the COVID-19 pandemic and associated economic disruptions, and the actual operational and financial impacts that we have experienced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sustain profitability.</w:t>
      </w:r>
    </w:p>
    <w:p>
      <w:pPr>
        <w:spacing w:after="0" w:line="225"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We have a history of incurring net losses. While we earned net income of $26.3 million and $21.6 million for the years ended December 31, 2021 and December 31, 2020, respectively, we incurred a net loss of $7.8 million for the year ended December 31, 2019. Because we have a short operating history at scale, it is difficult for us to predict our future operating results. We will need to generate and sustain increased revenue and manage our costs to sustain profitability. Even if we do, we may not be able to sustain or increase our profitability.</w:t>
      </w:r>
    </w:p>
    <w:p>
      <w:pPr>
        <w:spacing w:after="0" w:line="202" w:lineRule="exact"/>
        <w:rPr>
          <w:sz w:val="20"/>
          <w:szCs w:val="20"/>
          <w:color w:val="auto"/>
        </w:rPr>
      </w:pPr>
    </w:p>
    <w:p>
      <w:pPr>
        <w:ind w:right="360"/>
        <w:spacing w:after="0" w:line="231" w:lineRule="auto"/>
        <w:rPr>
          <w:sz w:val="20"/>
          <w:szCs w:val="20"/>
          <w:color w:val="auto"/>
        </w:rPr>
      </w:pPr>
      <w:r>
        <w:rPr>
          <w:rFonts w:ascii="Arial" w:cs="Arial" w:eastAsia="Arial" w:hAnsi="Arial"/>
          <w:sz w:val="18"/>
          <w:szCs w:val="18"/>
          <w:color w:val="auto"/>
        </w:rPr>
        <w:t>While we have experienced significant revenue growth in recent periods, it is possible that this growth rate will decline or reverse in future periods, for example, our revenue declined year-over-year in the second quarter of 2020 due to the impacts of the COVID-19 pandemic, but we experienced strong growth in the second half of the year ended December 31, 2020, during which revenue grew year-over-year by 38.8% and also in the year ended December 31, 2021, during which revenue grew year-over-year by 51.0%.</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Our ability to generate profit depends on our ability to grow our number of customers and drive operational efficiencies in our business to generate better margins. We expect to incur increased operating costs in the near term in order to:</w:t>
      </w:r>
    </w:p>
    <w:p>
      <w:pPr>
        <w:spacing w:after="0" w:line="19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the engagement of customers;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drive adoption of our products and services, and increase awareness of our brand, through marketing and other campaigns;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products and services with new designs and offerings;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 in our operations to support the growth in our business, including by opening additional showrooms.</w:t>
      </w:r>
    </w:p>
    <w:p>
      <w:pPr>
        <w:spacing w:after="0" w:line="20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may discover that these initiatives are more expensive than we currently anticipate, and we may not succeed in increasing our net sales sufficiently to offset these expenses or realize the benefits we anticipate. We will also face greater compliance costs associated with the increased scope of our business and being a public company. Any failure to adequately increase net sales or manage operating costs could prevent us from sustaining or increasing profitability. As we expand our offerings and our showroom presence, we may be less profitable than we are now. Additionally, we may not realize the operating efficiencies we expect to achieve through our efforts to scale the business, reduce friction in the shopping experience, and optimize costs such as payments to raw material suppliers, payment processing, and customer support. As such, due to these factors and others, we may not be able to sustain or increase profitability in the near term or at all. If we are unable to sustain or increase profitability, the value of our business and the trading price of our Class A common stock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fine jewelry retail industry is highly competitive, and if we do not compete successfully, our business may be adversely impacted.</w:t>
      </w:r>
    </w:p>
    <w:p>
      <w:pPr>
        <w:spacing w:after="0" w:line="23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operate in a competitive industry. Our primary competitors include global jewelry retailers and brands, department stores, and independent stores, many of which have an online presence. In addition, other retail categories and forms of expenditure, such as electronics and travel, also compete for consumers’ discretionary spending, particularly during the holiday gift giving season. The price of fine jewelry relative to other products also influences consumer spending habits for fine jewelry.</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of our competitors have greater financial and operational resources, longer operating histories,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responsible fine jewelry. These competitors can advantageously leverage this structure to better compete with us, and certain vertically-integrated organizations with significant market power could potentially utilize this power to make it more difficult for us to compete. We purchase some of our products from suppliers who are affiliates of our competitors. In addition, if any of our competitors were to consolidate operations, such consolidation could exacerbate these risks.</w:t>
      </w:r>
    </w:p>
    <w:p>
      <w:pPr>
        <w:spacing w:after="0" w:line="20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may not be able to continue to successfully compete against existing or future competitors. Our inability to respond effectively to competitive pressures, improved performance by our competitors, and changes in the retail markets could result in lost market share and have material adverse effects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profitability and cash flows may be negatively affected if we are not successful in managing our inventory balances and inventory shrinkage.</w:t>
      </w:r>
    </w:p>
    <w:p>
      <w:pPr>
        <w:spacing w:after="0" w:line="24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Efficient inventory management is a key component of our business success and profitability. Our inventory management requires us to maintain the optimal mix of products to meet customer demand. To be successful, we keep our inventory low while still maintaining sufficient inventory levels, both in store and virtually, to meet our customers’ demands without allowing those levels to increase to such an extent that the costs to hold the goods unduly impacts our financial results. We must balance the need to maintain inventory levels that are sufficient to ensure competitive lead times against the risk of inventory obsolescence because of changing customer requirements, fluctuating commodity prices, changes to our products, product transfers or the life cycle of our products. For example, we faced production capacity issues in crafting sufficient quantities of certain products in 2020 due to government shutdowns in response to COVID-19, which could continue in 2022 and beyond.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net sales, and customer dissatisfaction.</w:t>
      </w:r>
    </w:p>
    <w:p>
      <w:pPr>
        <w:spacing w:after="0" w:line="19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facilities or those of our third-party suppliers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b w:val="1"/>
          <w:bCs w:val="1"/>
          <w:i w:val="1"/>
          <w:iCs w:val="1"/>
          <w:color w:val="auto"/>
        </w:rPr>
        <w:t>We derive a significant portion of our revenue from sales of our Create Your Own rings. A decline in sales of our Create Your Own rings would negatively affect our business, financial condition, and results of operations.</w:t>
      </w:r>
    </w:p>
    <w:p>
      <w:pPr>
        <w:spacing w:after="0" w:line="197" w:lineRule="exact"/>
        <w:rPr>
          <w:sz w:val="20"/>
          <w:szCs w:val="20"/>
          <w:color w:val="auto"/>
        </w:rPr>
      </w:pPr>
    </w:p>
    <w:p>
      <w:pPr>
        <w:ind w:right="360"/>
        <w:spacing w:after="0" w:line="228" w:lineRule="auto"/>
        <w:rPr>
          <w:sz w:val="20"/>
          <w:szCs w:val="20"/>
          <w:color w:val="auto"/>
        </w:rPr>
      </w:pPr>
      <w:r>
        <w:rPr>
          <w:rFonts w:ascii="Arial" w:cs="Arial" w:eastAsia="Arial" w:hAnsi="Arial"/>
          <w:sz w:val="18"/>
          <w:szCs w:val="18"/>
          <w:color w:val="auto"/>
        </w:rPr>
        <w:t>We derive a significant portion of our revenue from the sale of our Create Your Own rings. Our fine jewelry is sold in highly competitive markets with limited barriers to entry. Introduction by competitors of comparable products at lower price points, a maturing product lifecycle, a decline in consumer spending, or other factors could result in a material decline in our revenue. Because we derive a significant amount of our revenue from the sale of our Create Your Own rings, any material decline in sales of our Create Your Own rings would have a material adverse impact on our business, financial condition, and operating results.</w:t>
      </w:r>
    </w:p>
    <w:p>
      <w:pPr>
        <w:spacing w:after="0" w:line="20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engage or expand our base of customers may be impaired and our business, financial condition, and results of operations may suffer.</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Maintaining and enhancing our reputation as an authentic, socially conscious, inclusive, and innovative company is critical to attracting and expanding our relationships with customers. The successful promotion of our brand and the market’s awareness of our products and services will depend on a number of factors, including our marketing efforts, ability to continue to develop our products and services, and ability to successfully differentiate our offerings and customer experiences from those of our competitors. 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products, services, and customer experiences. Brand promotion activities may not yield increased net sales, and even if they do, the increased net sales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w:t>
      </w:r>
    </w:p>
    <w:p>
      <w:pPr>
        <w:spacing w:after="0" w:line="19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Unfavorable publicity about our brand or products, including perceived quality and safety, customer service, or privacy practices, whether or not true or untrue, could also harm our reputation and diminish confidence in, and the popularity of, our products and services. In addition, negative publicity related to key brands with which we have partnered or with our third-party suppliers, including any reputational issues arising from their failure to comply with applicable law, including environmental law, may damage our reputation, even if the publicity is not directly related to us. Our brand or reputation could also be adversely impacted if industry organizations were to find we did not or no longer meet their standards or membership criteria. 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results of operations may suffer.</w:t>
      </w:r>
    </w:p>
    <w:p>
      <w:pPr>
        <w:spacing w:after="0" w:line="203"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Our marketing efforts to help grow our business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Promoting awareness of our products and services is important to our ability to grow our business, and attracting new customers can be costly. Our marketing efforts include traditional media and online advertising, as well as third-party social media platforms such as Facebook, Twitter, and Instagram, as marketing tools. As traditional advertising, online, and social media platforms continue to rapidly evolve or grow more competitive, we must continue to maintain a presence on these platforms and establish a presence on new or emerging popular social media and advertising and marketing platforms.</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Many customers locate our platform through internet search engines, such as Google and Facebook, and advertisements on social networking sites and online streaming services. If we are listed less prominently or fail to appear in search results for any reason, visits to our website could decline significantly, and we may not be able to replace this traffic. Search engines revise their algorithms from time to time in an attempt to optimize their search results. If the search engines on which we rely for algorithmic listings modify their algorithms, we may appear less prominently or not at all in search results, which could result in reduced traffic to our website that we may not be able to replace. Additionally, if the costs of search engine marketing services, such as Google AdWords, increase, we may incur additional marketing expenses, we may be required to allocate a larger portion of our marketing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to this channel or we may be forced to attempt to replace it with another channel (which may not be available at reasonable prices, if at all), and our business, financial condition, and results of operations could be adversely affected. Furthermore, social media platforms, search engines, and video streaming services may change their advertising policies from time to time. If any change to these policies delays or prevents us from advertising through these channels, it could result in reduced traffic to our website and sales. If we cannot cost effectively use these marketing tools, if we fail to promote our products and services efficiently and effectively, or if our marketing campaigns attract negative media attention, our business, financial condition, and results of operations may be adversely affected.</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net sales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ability to grow our marketing efforts depends to a significant extent on our ability to expand our sales and marketing organization. We plan to continue expanding our sales force, both in the U.S. and in Canada, and may further expand internationally in the future. We also plan to dedicate significant resources to sales and marketing programs. All of these efforts will require us to invest significant financial and other resources, including in channels and locations in which we have limited experience to date. We may not achieve anticipated net sales growth from expanding our sales force if we are unable to hire, develop, integrate, and retain talented and effective sales personnel, or if our new and existing sales personnel are unable to achieve desired productivity levels in a reasonable period of time. In addition, our efforts to acquire customers through direct marketing may subject us to increased regulatory scrutiny by state regulators pursuant to unfair methods of competition or unfair or deceptive acts or practices laws, which may impact our ability to achieve anticipated net sales growth from increased direct marketing.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225"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w:t>
      </w:r>
    </w:p>
    <w:p>
      <w:pPr>
        <w:spacing w:after="0" w:line="15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ESG measures to their investment decisions. Topics taken into account in such assessments include, among others, the company’s efforts and impacts, including impacts associated with our suppliers or other partners, on climate change and human rights, ethics and compliance with law, diversity, and the role of the company’s board of directors in supervising various sustainability issues.</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light of investors’ increased focus on ESG matters, there can be no certainty that we will manage such issues successfully, or that we will successfully meet society’s expectations as to our proper role or our own ESG goals and values, including in respect of our diamond sourcing standards. This could lead to risk of litigation or reputational damage relating to our ESG policies or performance.</w:t>
      </w:r>
    </w:p>
    <w:p>
      <w:pPr>
        <w:spacing w:after="0" w:line="20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Further, our emphasis on ESG issues may not maximize short-term financial results and may yield financial results that conflict with the market’s expectations. We have and may in the future make business decisions that may reduce our short-term financial results if we believe that the decisions are consistent with our ESG goals, which we believe will improve our financial results over the long-term. These decisions may not be consistent with the short-term expectations of our stockholders and may not produce the long-term benefits that we expect, in which case our business, financial condition, and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Our e-commerce and omnichannel business faces distinct risks, and our failure to successfully manage those risks could have a negative impact on our profitability.</w:t>
      </w:r>
    </w:p>
    <w:p>
      <w:pPr>
        <w:spacing w:after="0" w:line="197"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202" w:lineRule="exact"/>
        <w:rPr>
          <w:sz w:val="20"/>
          <w:szCs w:val="20"/>
          <w:color w:val="auto"/>
        </w:rPr>
      </w:pPr>
    </w:p>
    <w:p>
      <w:pPr>
        <w:ind w:left="660" w:right="260" w:hanging="328"/>
        <w:spacing w:after="0" w:line="22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merchandise to our customers;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rapid technology changes;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online content;</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cybersecurity and data privacy concerns and regulation;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addition, we must keep up to date with competitive technology trends, including the use of new or improved technology, creative user interfaces, virtual and augmented reality, and other e-commerce marketing tools such as paid search and mobile applications (“apps”), among others, which may increase our costs and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203" w:lineRule="exact"/>
        <w:rPr>
          <w:sz w:val="20"/>
          <w:szCs w:val="20"/>
          <w:color w:val="auto"/>
        </w:rPr>
      </w:pPr>
    </w:p>
    <w:p>
      <w:pPr>
        <w:ind w:right="520"/>
        <w:spacing w:after="0" w:line="307" w:lineRule="auto"/>
        <w:rPr>
          <w:sz w:val="20"/>
          <w:szCs w:val="20"/>
          <w:color w:val="auto"/>
        </w:rPr>
      </w:pPr>
      <w:r>
        <w:rPr>
          <w:rFonts w:ascii="Arial" w:cs="Arial" w:eastAsia="Arial" w:hAnsi="Arial"/>
          <w:sz w:val="16"/>
          <w:szCs w:val="16"/>
          <w:b w:val="1"/>
          <w:bCs w:val="1"/>
          <w:i w:val="1"/>
          <w:iCs w:val="1"/>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continued success depends on our ability to anticipate and respond in a timely and cost-effective manner to changes in consumer preferences for jewelry, natural and lab-grown diamonds and gemstones in particular, and other luxury goods, as well as attitudes towards the global jewelry industry as a whole, and the manner and locations in which consumers purchase such goods. Our business is subject to rapidly changing consumer preferences and future sales may suffer if the consumer preferences shift away from our product offerings or styles. Changes in fashion could also affect the popularity and, therefore, the value of engagement ring and fine jewelry designs and products. Any event or circumstance resulting in reduced market acceptance of one or more of our designs or offerings could reduce our sales. Unanticipated shifts in consumer preferences may also result in excess inventory. We recognize that consumer tastes cannot be predicted with certainty and are subject to change, which is compounded by the expanding use of digital and social media by consumers and the speed by which information and opinions are shared. Our product development strategy is to introduce new design collections, primarily jewelry, and/or expand certain existing collections regularly. If we are unable to anticipate and respond in a timely and cost-effective manner to changes in consumer preferences and shopping patterns, including the development of an engaging omnichannel experience for our customers, our sales and profitability could be adversely affected.</w:t>
      </w:r>
    </w:p>
    <w:p>
      <w:pPr>
        <w:spacing w:after="0" w:line="20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As a result, comparing our results of operations on a period-to-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period basis may not be meaningful. In addition to other risk factors discussed in this section, factors that may contribute to the variability of our quarterly and annual results include:</w:t>
      </w:r>
    </w:p>
    <w:p>
      <w:pPr>
        <w:spacing w:after="0" w:line="19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forecast net sales and appropriately plan our expenses;</w:t>
      </w:r>
    </w:p>
    <w:p>
      <w:pPr>
        <w:ind w:left="660" w:right="620" w:hanging="328"/>
        <w:spacing w:after="0" w:line="21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seasonality of our business;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collect payments from customers on a timely basis;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09"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strategically expand our showroom footprint could negatively impact on our growth and profitability.</w:t>
      </w:r>
    </w:p>
    <w:p>
      <w:pPr>
        <w:spacing w:after="0" w:line="22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Our plan to continue to strategically open showrooms across the U.S. and, eventually, internationally, as part of our omnichannel expansion, is dependent upon a number of factors. These includes strategically picking new markets to expand into, the availability of desirable property, placement of showrooms in easily accessible locations with high visibility, the demographic characteristics of the area around the showroom, the design and maintenance of the showrooms, the availability of attractive locations within the markets that also meet the operational and financial criteria of management, and the ability to negotiate attractive lease terms. If we are unable to effectively expand our showroom footprint to satisfy our operational, and financial strategies, our growth and profitability could be negatively impacted.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Refunds, cancellations, and warranty claims could harm our business.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allow our customers to return our products, subject to our refund policy, which generally allows customers to return our products within the first 30 days of when a purchase is available for shipment or pickup and receive a full refund or an exchange. At the time of sale, we establish a reserve for returns, based on historical experience and expected future returns, which is recorded as a reduction of sales. If we experience a substantial increase in refunds, our cancellation reserve levels might not be sufficient and our business, financial condition, and results of operations could be harmed.</w:t>
      </w:r>
    </w:p>
    <w:p>
      <w:pPr>
        <w:spacing w:after="0" w:line="183"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In addition, we generally offer one complimentary resizing within 60 days of when a purchase is available for shipment or pickup. We could incur significant costs to honor this guarantee. Outside of the 60 day complimentary resize period, rings can be resized for a fee when within jeweler’s recommended sizing range.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theft, loss, or damage to our products from inventory or during shipment.</w:t>
      </w:r>
    </w:p>
    <w:p>
      <w:pPr>
        <w:spacing w:after="0" w:line="22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have experienced and may continue to experience theft, loss, or damage to our products during the course of shipment to our customers by third-party shipping carriers or from our inventory. Additionally, as of December 31, 2021, we had 15 showrooms across the U.S. While these showrooms differ from traditional retailers in that they do not stock significant amounts of inventory to sell to consumers, they do have some products on display, and we allow customers to pick-up and return products purchased online to the store. We have taken steps to prevent theft of our products. However, if security measures fail, losses exceed our insurance coverage or we are not able to maintain insurance at a reasonable cost, we could incur significant losses from theft, which would substantially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b w:val="1"/>
          <w:bCs w:val="1"/>
          <w:i w:val="1"/>
          <w:iCs w:val="1"/>
          <w:color w:val="auto"/>
        </w:rPr>
        <w:t>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19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rely heavily on our information technology systems for many functions across our operations, including managing our supply chain and inventory, processing customer transactions in our showrooms, our financial accounting and reporting, compensating our employees, and operating our websites.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personally identifiable information and that of our customers, employees, suppliers, and business partners. The secure processing, maintenance, and transmission of this information is critical to our operations.</w:t>
      </w:r>
    </w:p>
    <w:p>
      <w:pPr>
        <w:spacing w:after="0" w:line="202"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Our systems may be subject to damage or interruption from power outages or damages, telecommunications problems, data corruption, software errors, network failures, physical or electronic break-ins, acts of war or terrorist attacks, fire, flood and natural disasters, and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can originate from a wide variety of sources (including outside groups such as external service providers, organized crime affiliates, terrorist organizations, or hostile foreign governments or agencies), and may originate from less regulated and remote areas around the world, we may be unable to proactively address all possible techniques or implement adequate preventive measures for all situations.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Security incidents compromising the confidentiality, integrity, and availability of this information and our systems could result from cyber-attacks, computer malware, viruses, denial-of-service attacks, social engineering (including spear phishing and ransomware attacks), credential stuffing, efforts by individuals or groups of hackers and sophisticated organizations, including state-sponsored organizations, errors or malfeasance of our personnel, and security vulnerabilities in the software or systems on which we rely. Such incidents may occur in the future, resulting in unauthorized, unlawful, or inappropriate access to, inability to access, disclosure of, or loss of the sensitive, proprietary, and confidential information that we handle. While we employ security measures to prevent, detect, and mitigate potential for harm to our users from the misuse of user credentials on our network, these measures may not be effective in every instance. Moreover, while we maintain cybersecurity insurance that may help provide coverage for these types of incidents, we cannot assure you that our insurance will be adequate to cover costs and liabilities related to these incidents.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also rely on a number of third-party service providers to operate our critical business systems and process confidential and personal information, such as the payment processors that process customer credit card payments. These service providers may not have adequate security measures and could experience a security incident that compromises the confidentiality, integrity, or availability of the systems they operate for us or the information they process on our behalf. Cybercrime and hacking techniques are constantly evolving, and we or our third-party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providers may be unable to anticipate attempted security breaches, react in a timely manner, or implement adequate preventative measures, particularly given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 Moreover, we or our third-party service providers may be more vulnerable to such attacks in remote work environments, which have increased in response to the COVID-19 pandemic. If the information technology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also rely on a third-party provider for website services. Although alternative website providers could support our business on a substantially similar basis to our current third-party provider, transitioning our current website infrastructure to alternative providers could potentially be disruptive, and we could incur significant one-time costs. If we are unable to renew our agreement with our third-party provider on commercially acceptable terms, our agreement is prematurely terminated, or we add additional website providers, we may experience costs or downtime in connection with the transfer to, or the addition of, new website providers. If our website provider increases the costs of its services, our business, financial condition, or results of operations could be materially and adversely affected.</w:t>
      </w:r>
    </w:p>
    <w:p>
      <w:pPr>
        <w:spacing w:after="0" w:line="20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the frequent imposition of new and changing requirements across our business. For example, if we are unable to comply with the security standards established by banks and the payment card industry, we may be subject to fines, restrictions, and expulsion from card acceptance programs, which could adversely affect our retail operations. Our business partners may have contractual rights of indemnification against us or seek to terminate our contracts with them in the event that their customer or proprietary business information is released as a result of a breach of our information technology.</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Additionally, under certain regulatory schemes, such as the CCPA, we may be liable for statutory damages on a per breached record basis, irrespective of any actual damages or harm to the individual. This means that in the event of a breach we could face government scrutiny or consumer class actions alleging statutory damages amounting to hundreds of millions, and possibly billions of U.S. dollars. And we may also be subject to civil claims under the General Data Protection Regulation (“GDPR”) and U.K. Data Protection Laws, including representative actions and other class action type litigation.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Any of these events could have a significant effect on our business and financial condition. As privacy and information security laws and regulations change, we may incur additional compliance costs.</w:t>
      </w:r>
    </w:p>
    <w:p>
      <w:pPr>
        <w:spacing w:after="0" w:line="19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19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b w:val="1"/>
          <w:bCs w:val="1"/>
          <w:i w:val="1"/>
          <w:iCs w:val="1"/>
          <w:color w:val="201F1E"/>
        </w:rPr>
        <w:t>Russia’s invasion of Ukraine, and the military, political, and economic impacts of the conflict there, could have a material adverse effect on our operations and financial condition.</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 February 24, 2022, Russian military forces launched a major assault against Ukraine, and sustained conflict, instability, and disruption in the region are likely. In response, the U.S., Canada, the United Kingdom, the European Union, and others have imposed sanctions against government officials, companies, individuals, regions, and industries in Russia, Ukraine, and Belarus. On March 11, 2022, the U.S. announced sanctions on multiple products of Russian origin, including diamonds. Because approximately 30% of the world’s rough diamonds are of Russian origin, sanctions by the U.S. or other governments limiting or prohibiting the importation of Russian diamonds could negatively affect the worldwide supply of diamonds. A reduction in the supply of diamonds may result in increased prices for diamonds, which, in turn, could have a material adverse effect on our operations in the form of increased costs for us and potentially lower margins. It is also unclear what impact the conflict and sanctions may have on consumer demand for diamond jewelry. We have no way to predict the outcome of the situation in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as the conflict and governmental responses are evolving rapidly and are beyond our control. Further escalation of the military conflict, more extensive sanctions, and instability impacting the region each could have a material adverse effect on our results of operations and financial condition.</w:t>
      </w:r>
    </w:p>
    <w:p>
      <w:pPr>
        <w:spacing w:after="0" w:line="15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such as recessionary conditions, governmental instability, wars and fears of war, and natural disasters, may affect consumer purchases, which could reduce demand for our products and harm our business, financial conditions, and results of operations.</w:t>
      </w:r>
    </w:p>
    <w:p>
      <w:pPr>
        <w:spacing w:after="0" w:line="20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such as the conflict between Russia and Ukraine and fears of war, political and geopolitical instability, inclement weather, natural disasters, terrorism, outbreak of viruses or widespread illness, and consumer perceptions of personal well-being and security. Unfavorable economic conditions may lead consumers to delay or reduce purchases of our products and services and consumer demand for our products and services may not grow as we expect. Prolonged or pervasive economic downturns could also slow the pace of new showroom openings or cause current locations to close.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plan to expand into international markets, which will expose us to significant risks.</w:t>
      </w:r>
    </w:p>
    <w:p>
      <w:pPr>
        <w:spacing w:after="0" w:line="22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we expand our operations to other countries, significant resources and management attention is required and doing so subjects us to regulatory, economic, and political risks in addition to those we already face in the U.S., Canada, Australia, and the United Kingdom. There are significant risks and costs inherent in doing business in international markets, including:</w:t>
      </w:r>
    </w:p>
    <w:p>
      <w:pPr>
        <w:spacing w:after="0" w:line="202" w:lineRule="exact"/>
        <w:rPr>
          <w:sz w:val="20"/>
          <w:szCs w:val="20"/>
          <w:color w:val="auto"/>
        </w:rPr>
      </w:pPr>
    </w:p>
    <w:p>
      <w:pPr>
        <w:ind w:left="660" w:right="560" w:hanging="328"/>
        <w:spacing w:after="0" w:line="25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showrooms and customer service operations, and legal compliance costs associated with locations in different countries or regions;</w:t>
      </w:r>
    </w:p>
    <w:p>
      <w:pPr>
        <w:spacing w:after="0" w:line="1"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vary pricing and margins to effectively compete in international markets;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adapt and localize products for specific countries;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degrees of consumer acceptance of e-commerce and omnichannel business, specifically of fine jewelry;</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 obtaining, maintaining, protecting, and enforcing intellectual property rights abroad;</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offer content and customer support in various languages;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other jurisdictions;</w:t>
      </w:r>
    </w:p>
    <w:p>
      <w:pPr>
        <w:ind w:left="660" w:right="48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(“FCPA”), and the U.K. Bribery Act 2010 (“U.K. Bribery Act”), by us, our employees, and our business partners;</w:t>
      </w:r>
    </w:p>
    <w:p>
      <w:pPr>
        <w:ind w:left="660" w:right="640" w:hanging="328"/>
        <w:spacing w:after="0" w:line="24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Personal Information Protection and Electronic Documents Act (“PIPEDA”), the U.K. Data Protection Act, and the U.K. and E.U. General Data Protection Regulations;</w:t>
      </w:r>
    </w:p>
    <w:p>
      <w:pPr>
        <w:spacing w:after="0" w:line="1" w:lineRule="exact"/>
        <w:rPr>
          <w:rFonts w:ascii="Arial" w:cs="Arial" w:eastAsia="Arial" w:hAnsi="Arial"/>
          <w:sz w:val="16"/>
          <w:szCs w:val="16"/>
          <w:color w:val="auto"/>
        </w:rPr>
      </w:pPr>
    </w:p>
    <w:p>
      <w:pPr>
        <w:ind w:left="660" w:hanging="328"/>
        <w:spacing w:after="0" w:line="23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varying levels of internet technology adoption and infrastructure, and increased or varying network and hosting service provider costs;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and other non-tariff barriers, such as quotas and local content rules, as well as tax consequences;</w:t>
      </w:r>
    </w:p>
    <w:p>
      <w:pPr>
        <w:ind w:left="660" w:right="1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 and the requirements of currency control regulations, which might restrict or prohibit conversion of other currencies into U.S. dollars;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w:t>
      </w:r>
    </w:p>
    <w:p>
      <w:pPr>
        <w:spacing w:after="0" w:line="20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have limited experience with international regulatory and business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Our failure to successfully manage these risks could harm our international operations and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could decline due to changes in credit markets and decisions made by credit providers.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Historically, some of our customers have financed their purchase of our products through third-party loan providers. If we are unable to maintain our relationships with our third-party loan providers, there is no guarantee that we will be able to find replacement partners who will provide our customers with financing on similar terms, and our ability to sell our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We also offer layaway payments for both U.S. and international customers. After an initial deposit, our layaway plan allows customers to make monthly payments on any purchase. There is a risk that if credit is extended to consumers during times when economic conditions are strong, and then economic conditions subsequently deteriorate, consumers may not meet their then-current payment obligations.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business is subject to seasonal fluctuation with a typical increase in sales around the holiday season, with the fourth quarter representing approximately 30% of annual net sales over the five-year period ended December 31, 2021 and a high percentage of annual net income. A number of factors, such as higher unemployment, the level of consumers’ disposable income, the availability of credit, interest rates, consumer debt, and asset values, delays in the issuance of tax refunds, or deteriorating economic conditions can impact consumer spending decisions. Jewelry purchases are discretionary and are dependent on many factors relating to discretionary consumer spending, particularly as jewelry is often perceived to be a luxury purchase. Adverse changes in the economy and periods when discretionary spending by consumers may be under pressure could unfavorably impact sales and earnings. In addition, in order to prepare for our peak shopping quarters, we must increase the staffing at our showrooms and order and keep in stock more merchandise than we carry during other parts of the year. This staffing increase and inventory build-up may require us to expend cash faster than is generated by our operations during these periods. Any unanticipated decrease in demand for our products during such a period could require us to sell excess inventory at a substantial markdown, which could have a material adverse effect on our business, financial condition, and results of operations.</w:t>
      </w:r>
    </w:p>
    <w:p>
      <w:pPr>
        <w:spacing w:after="0" w:line="19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We depend on highly skilled personnel to grow and operate our business, and if we are unable to hire, retain, and motivate our personnel, we may not be able to grow effectively.</w:t>
      </w:r>
    </w:p>
    <w:p>
      <w:pPr>
        <w:spacing w:after="0" w:line="19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success and future growth depend largely upon the continued services of our management team, including our Co-Founders, Beth Gerstein and Eric Grossberg. From time to time, there may be changes in our executive management team resulting from the hiring or departure of these personnel.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our future success will depend, in part, upon our continued ability to identify and hire skilled personnel with the skills and technical knowledge that we require, including engineering, software design and programming, jewelry design, marketing, sales, and other key management personnel. Such efforts will require significant time, expense, and attention as there is intense competition for such individuals, particularly in the Denver and San Francisco areas, and new hires require significant training and time before they achieve full productivity, particularly in new sales segments and territories. In addition to hiring new employees, we must continue to focus on developing, motivating, and retaining our best employees, all of whom are at-will employees. If we fail to identify, recruit, and integrate strategic personnel hires, our business, financial condition, and results of operations could be adversely affected. We may need to invest significant amounts of cash and equity to attract and retain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are not able to effectively add and retain employees, our ability to achieve our strategic objectives will be adversely impacted, and our business and future growth prospects will be harmed.</w:t>
      </w:r>
    </w:p>
    <w:p>
      <w:pPr>
        <w:spacing w:after="0" w:line="190" w:lineRule="exact"/>
        <w:rPr>
          <w:sz w:val="20"/>
          <w:szCs w:val="20"/>
          <w:color w:val="auto"/>
        </w:rPr>
      </w:pPr>
    </w:p>
    <w:p>
      <w:pPr>
        <w:jc w:val="both"/>
        <w:ind w:right="780"/>
        <w:spacing w:after="0" w:line="343" w:lineRule="auto"/>
        <w:rPr>
          <w:sz w:val="20"/>
          <w:szCs w:val="20"/>
          <w:color w:val="auto"/>
        </w:rPr>
      </w:pPr>
      <w:r>
        <w:rPr>
          <w:rFonts w:ascii="Arial" w:cs="Arial" w:eastAsia="Arial" w:hAnsi="Arial"/>
          <w:sz w:val="15"/>
          <w:szCs w:val="15"/>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success will depend, in part, on our ability to expand our services and grow our business in response to changing technologies, customer demands, and competitive pressures. In some circumstances, we may choose to expand our services and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addition, once we have completed an acquisition, we may not be able to successfully integrate the acquired business. The risks we face in connection with acquisitions include:</w:t>
      </w:r>
    </w:p>
    <w:p>
      <w:pPr>
        <w:spacing w:after="0" w:line="202" w:lineRule="exact"/>
        <w:rPr>
          <w:sz w:val="20"/>
          <w:szCs w:val="20"/>
          <w:color w:val="auto"/>
        </w:rPr>
      </w:pPr>
    </w:p>
    <w:p>
      <w:pPr>
        <w:ind w:left="660" w:right="40" w:hanging="328"/>
        <w:spacing w:after="0" w:line="22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may not generate sufficient financial return to offset additional costs and expenses related to the acquisition, or may not perform as well financially as expected;</w:t>
      </w:r>
    </w:p>
    <w:p>
      <w:pPr>
        <w:spacing w:after="0" w:line="2" w:lineRule="exact"/>
        <w:rPr>
          <w:rFonts w:ascii="Arial" w:cs="Arial" w:eastAsia="Arial" w:hAnsi="Arial"/>
          <w:sz w:val="18"/>
          <w:szCs w:val="18"/>
          <w:color w:val="auto"/>
        </w:rPr>
      </w:pPr>
    </w:p>
    <w:p>
      <w:pPr>
        <w:ind w:left="660" w:right="44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acquire, particularly if key personnel of the acquired company decide not to work for us;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ind w:left="660" w:right="20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w:t>
      </w:r>
    </w:p>
    <w:p>
      <w:pPr>
        <w:ind w:left="660" w:right="56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 and</w:t>
      </w:r>
    </w:p>
    <w:p>
      <w:pPr>
        <w:ind w:left="660" w:right="140" w:hanging="328"/>
        <w:spacing w:after="0" w:line="23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have funded our operations since inception primarily through equity financings and revenue generated from our products and services. We cannot be certain that our operations will continue to generate sufficient cash to fully fund our ongoing operations and the growth of our business. We intend to continue to make investments to support the development of our products and services and will require additional funds for such development. We may need additional funding for marketing expenses and to develop and expand sales resources, develop new features or enhance our products and services, improve our operating infrastructure, or acquire complementary businesses and technologies.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If we are unable to obtain adequate financing or financing on terms satisfactory to us, our ability to develop our products and services, support our business growth, and respond to business challenges could be significantly impaired, and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2" w:lineRule="exact"/>
        <w:rPr>
          <w:sz w:val="20"/>
          <w:szCs w:val="20"/>
          <w:color w:val="auto"/>
        </w:rPr>
      </w:pPr>
    </w:p>
    <w:p>
      <w:pPr>
        <w:ind w:right="940"/>
        <w:spacing w:after="0" w:line="274"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 our obligations under such indebtedness, to react to changes in our business, and to incur additional indebtedness to fund future needs.</w:t>
      </w:r>
    </w:p>
    <w:p>
      <w:pPr>
        <w:spacing w:after="0" w:line="17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As of December 31, 2021, we had outstanding $65.0 million aggregate principal amount of borrowings under our Term Loan Agreement (as defined herein).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w:t>
      </w:r>
    </w:p>
    <w:p>
      <w:pPr>
        <w:spacing w:after="0" w:line="20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addition, our indebtedness under our Term Loan Agreement bears interest at variable rates. Because we have variable rate debt, fluctuations in interest rates may affect our cash flows or business, financial condition, and results of operations.</w:t>
      </w:r>
    </w:p>
    <w:p>
      <w:pPr>
        <w:spacing w:after="0" w:line="1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Our Term Loan Agreement contains financial covenants and other restrictions on our actions that may limit our operational flexibility or otherwise adversely affect our business, financial condition, and results of operations.</w:t>
      </w:r>
    </w:p>
    <w:p>
      <w:pPr>
        <w:spacing w:after="0" w:line="19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terms of our Term Loan Agreement include a number of covenants that limit our ability to (subject to negotiated exceptions), among other things, incur additional indebtedness, incur liens on any of our property, enter into agreements related to mergers and acquisitions, dispose of property, or pay dividends and make distributions. The terms of our Term Loan Agreement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that are not subject to such restrictions.</w:t>
      </w:r>
    </w:p>
    <w:p>
      <w:pPr>
        <w:spacing w:after="0" w:line="202"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A failure by us to comply with the covenants specified in the Term Loan Agreement could result in an event of default under the agreement, which would give the lenders the right to stop advancing money or extending credit and to declare all obligations to pay the loans when due, together with principal interest, fees, and expenses, to be immediately due and payable. If the debt under the Term Loan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175"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color w:val="auto"/>
        </w:rPr>
        <w:t>Further, the Federal Trade Commission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transactions with suppliers and other parties outside the U.S. may subject us to FCPA, U.S. export controls, including the Export Administration Regulations, and trade sanction laws, and similar anti-corruption, anti-bribery, and international trade laws, any violation of which could create substantial liability for us and also harm our reputation. Our operations may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philanthropic endeavors, we must also comply with additional federal, state, and local tax and other laws and regulations.</w:t>
      </w:r>
    </w:p>
    <w:p>
      <w:pPr>
        <w:spacing w:after="0" w:line="19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Additionally, because we accept debit and credit cards for payment, we are subject to the Payment Card Industry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20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success depends to a significant degree on our ability to obtain, maintain, protect, and enforce our intellectual property rights, including our brand, proprietary designs, technology, and know-how. We rely on a variety of mechanisms to protect our intellectual property rights, including trademark and copyright laws, trade secret protection, domain name registration, confidentiality agreements, and other contractual arrangements with our employees, affiliates, clients, strategic partners, and others. However, the protective steps we have taken and plan to take may be inadequate to deter infringement, misappropriation or other violations of our intellectual property, proprietary designs, technology, know-how, and our brand. We may not learn of, or may be unable to detect, the unauthorized use of, or take appropriate steps to enforce, our intellectual property rights. Effective intellectual property protection may not be available to us or available in every jurisdiction in which we offer or may offer our products and services. Failure to adequately protect our intellectual property could harm our brand, devalue our proprietary designs, technology, and other intellectual property, and adversely affect our ability to compete effectively. Further, defending our intellectual property rights could result in the expenditure of significant financial resources and divert attention of management, which could adversely affect our business, financial condition, and results of operations.</w:t>
      </w:r>
    </w:p>
    <w:p>
      <w:pPr>
        <w:spacing w:after="0" w:line="193"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 xml:space="preserve">If we fail to protect our intellectual property rights adequately, our competitors may exploit our intellectual property and develop and commercialize substantially identical products and we may lose an important advantage in the markets in which we compete. In addition, defending our intellectual property rights might entail significant expense. Any trademarks, copyrights, patents, or other intellectual property rights that we have or may obtain may be challenged or circumvented by others or invalidated or held unenforceable through administrative processes, including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and derivation proceedings, and equivalent proceedings in foreign jurisdictions (e.g., opposition proceedings), or litigation. Any challenge to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could result in them being narrowed in scope or declared invalid or unenforceable. We do not currently own any issued patents, and even if we seek patent protection in the future, we may be unable to obtain or maintain such protection. In addition, any patents issued from future patent applications or licensed to us in the future may not provide us with competitive advantages or may be successfully challenged by third parties. Further, the laws of some foreign countries may not be as protective of intellectual property rights as those in the U.S., and mechanisms for enforcement of intellectual property rights in those countries may be inadequate. Moreover, policing unauthorized use of our technologies, trade secrets, and intellectual property may be difficult, expensive, and time-consuming. Despite our precautions, it may be possible for unauthorized third parties to copy our offerings and capabilities and use information that we regard as proprietary to create offerings that compete with ours. If our trademarks and trade names are not adequately protected, then we may not be able to build name recognition in our markets of interest and our business may be adversely affected.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or may have developed intellectual property on our behalf. Moreover, no assurance can be given that these agreements will be effective in controlling access to our proprietary information or the distribution, use, misuse, misappropriation, reverse engineering, or disclosure of our proprietary information, know-how, and trade secrets. These agreements may not be self-executing or they may be breached, and we may not have adequate remedies for any such breach. Additionally, we may be subject to claims that our employees misappropriated relevant rights from their previous employers. Further, these agreements may not prevent our competitors from independently developing technologies that are substantially equivalent or superior to our offerings and capabilities.</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intellectual property against unauthorized copying or use, as well as any costly litigation or diversion of our management’s attention and resources, could delay further sales or the implementation of our offerings and capabilities, impair the functionality of our offerings and capabilities, delay introductions of new offerings, or injure our reputation.</w:t>
      </w:r>
    </w:p>
    <w:p>
      <w:pPr>
        <w:spacing w:after="0" w:line="191"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b w:val="1"/>
          <w:bCs w:val="1"/>
          <w:i w:val="1"/>
          <w:iCs w:val="1"/>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Intellectual property-related litigations and proceedings are expensive and time consuming to defend, and, if resolved adversely, could materially adversely impact our business, financial condition and results of operations.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commercial success depends in part on avoiding infringement, misappropriation or other violations of the intellectual property and proprietary rights of third parties and other intellectual property-related disputes. Our registered or unregistered trademarks or trade names may be challenged, infringed, circumvented, diluted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Further,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Similarly, not every variation of a domain name may be available or be registered, even if available. The occurrence of any of these events could result in the erosion of our brand and limit our ability to market our brand using our various domain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names, as well as impede our ability to effectively compete against competitors with similar products or technologies.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addition to fighting intellectual property infringement from third parties, we may need to defend claims against us related to our intellectual property rights. Some third-party intellectual property rights may prove to be extremely broad, and it may not be possible for us to conduct our operations in such a way as to avoid violating those intellectual property rights. As we face increasing competition, the possibility of intellectual property rights claims against us grows. Such claims and litigation may involve adverse intellectual property rights holders who have no relevant product revenue, and, therefore, our own issued and pending copyrights, trademarks, and other intellectual property rights may provide little or no deterrence to these rights holders in bringing intellectual property rights claims against us. There may be intellectual property rights held by others that cover significant aspects of our offerings and we cannot assure that we are not infringing or violating, and have not infringed or violated, any third-party intellectual property rights, or that we will not be held to have done so or be accused of doing so in the future. In addition, any disputes with third parties with respect to any third-party intellectual property agreements could narrow what we believe to be the scope of our rights to the relevant intellectual property or increase our obligations under such agreements, either of which could have a material adverse effect on our business, financial condition, results of operations, and cash flows.</w:t>
      </w:r>
    </w:p>
    <w:p>
      <w:pPr>
        <w:spacing w:after="0" w:line="1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Any claim that we have violated intellectual property or other proprietary rights of third parties, with or without merit, and whether or not it results in litigation, is settled out of court or is determined in our favor, could be expensive and time-consuming to address and resolve, and could divert the time and attention of management and technical personnel from our business. The litigation process is subject to inherent uncertainties, and we may not prevail in litigation matters regardless of the merits of our position. Intellectual property lawsuits or claims may become extremely disruptive if plaintiffs were to succeed in blocking the trade of our products and services. An adverse outcome of a dispute may result in an injunction and could require us to pay substantial monetary damages, including treble damages and attorneys’ fees, if we are found to have willfully infringed a party’s intellectual property rights. Further, our liability insurance may not cover potential claims of this type adequately or at all. We may be unable to successfully resolve these types of conflicts to our satisfaction and may be required to enter into costly license agreements, if available at all; be required to pay significant royalty, settlements costs, or damages; be required to rebrand our products; and/or be prevented from selling some of our products. The terms of such a settlement or judgment may require us to cease some or all of our operations or pay substantial amounts to the other party. Even if we have an agreement to indemnify us against such costs, the indemnifying party may be unable or unwilling to uphold its contractual obligations. In addition,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use the same intellectual property to compete with us. We may also have to redesign our products so they do not infringe, misappropriate, or otherwise violate third-party intellectual property rights, which may not be possible or may require substantial monetary expenditures and time, during which our products may not be available for commercialization or use. Such outcomes would increase our operating expenses, and if we cannot redesign our products in a non-infringing manner or obtain a license for any allegedly infringing aspect of our business, we may be forced to limit our product offerings, which could adversely affect our ability to compete effectively.</w:t>
      </w:r>
    </w:p>
    <w:p>
      <w:pPr>
        <w:spacing w:after="0" w:line="213"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p>
    <w:p>
      <w:pPr>
        <w:spacing w:after="0" w:line="20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and geolocation. These activities are regulated by a variety of federal, state, local, and foreign privacy, data security, and data protection laws and regulations, which have become increasingly stringent in recent years.</w:t>
      </w:r>
    </w:p>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Domestic privacy and data security laws are complex and changing rapidly. In the U.S., we are subject to a variety of laws and regulations, including regulation by federal government agencies, including the FTC, and state and local agencies. In addition to federal laws such as Section 5 of the Federal Trade Commission Act, the Gramm-Leach-Bliley Act, and the Fair Credit Reporting Act, many states have enacted laws regulating the collection,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disclosure of personal information and requiring that companies implement reasonable data security measures. Laws in all states and U.S. territories also require businesses to notify affected individuals, governmental entities, and/or credit reporting agencies of certain security breaches affecting personal information. These laws are not consistent, and compliance with them in the event of a widespread data breach is complex and costly.</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Further, the California Consumer Privacy Act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Our products rely on these technologies and could be adversely affected by the CCPA’s restrictions. The CCPA prohibits discrimination against individuals who exercise their privacy rights, provides for civil penalties for violations, and creates a private right of action for data breaches that is expected to increase data breach litigation. Additionally, a new California ballot initiative, the California Privacy Rights Act (the “CPRA”), was recently passed in California. The CPRA will restrict use of certain categories of sensitive personal information that we handle; further restrict the use of cross-context behavioral advertising techniques on which our products may rely in the future; establish restrictions on the retention of personal information; expand the types of data breaches subject to the private right of action; and establish the California Privacy Protection Agency to implement and enforce the new law, as well as impose administrative fines. The majority of the CPRA’s provisions will go into effect on January 1, 2023 (with a look back to January 1, 2022), and additional compliance investment and potential business process changes will likely be required. Additionally, Virginia enacted the Virginia Consumer Data Protection Act (the “VCDPA”) and Colorado enacted the Colorado Privacy Act (the “COPA”), both comprehensive state privacy laws, that will be effective January 1, 2023 and July 1, 2023, respectively. The CCPA, CPRA, VCDPA, and COPA may increase our compliance costs and potential liability, particularly in the event of a data breach, and could have a material adverse effect on our business, including how we use personal information, our financial condition, the results of our operations or prospects. Similar laws have been proposed in other states and at the federal level, reflecting a trend toward more stringent privacy legislation in the U.S. The enactment of such laws could have potentially conflicting requirements that would make compliance challenging.</w:t>
      </w:r>
    </w:p>
    <w:p>
      <w:pPr>
        <w:spacing w:after="0" w:line="19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addition,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In particular, the TCPA imposes significant restrictions on the ability to make telephone calls or send text messages to mobile telephone numbers without the prior consent of the person being contacted. Claims that we have violated the TCPA could be costly to litigate, and if successful, expose us to substantial statutory damages.</w:t>
      </w:r>
    </w:p>
    <w:p>
      <w:pPr>
        <w:spacing w:after="0" w:line="20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Foreign privacy laws are also undergoing a period of rapid change, have become more stringent in recent years, and may increase the costs and complexity of offering our products in new geographies. In Canada, where we operate,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w:t>
      </w:r>
    </w:p>
    <w:p>
      <w:pPr>
        <w:spacing w:after="0" w:line="20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We operate in the European Union, which has adopted strict data privacy and security regulations in its GDPR. The GDPR imposes strict requirements on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and restrictions on the flow of personal data outside of the EU. The GDPR also provides individuals with various rights in respect of their personal data, including rights of access, erasure, portability, rectification, restriction, and objection. Following its departure from the European Union, the United Kingdom has adopted a separate regime based on the GDPR that imposes similarly onerous requirements. Companies that violate the EU or U.K. regime can face private litigation, prohibitions on data processing, and fines of up to the greater of 4% of their worldwide annual revenue or 20 million Euros (for the EU) or £17.5 million (for the U.K.). Other EU and U.K. data protection laws restrict the ability of companies to market electronically, including through the use of cookies and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technologies on which we rely for our marketing.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consumer information.</w:t>
      </w:r>
    </w:p>
    <w:p>
      <w:pPr>
        <w:spacing w:after="0" w:line="202"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Further, we are subject to the PCI Data Security Standard, which is a multifaceted security standard that is designed to protect credit card account data as mandated by payment card industry entities. We rely on vendors to handle PCI matters and to ensure PCI compliance. Despite our compliance efforts, we may become subject to claims that we have violated the PCI Data Security Standard, based on past, present, and future business practices, which could have an adverse impact on our business and reputation. See also “Failure to comply with laws, regulations, and enforcement activities, or changes in statutory, regulatory, accounting, and other legal requirements could potentially impact our operating and financial results.”</w:t>
      </w:r>
    </w:p>
    <w:p>
      <w:pPr>
        <w:spacing w:after="0" w:line="18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Despite our efforts to comply with all applicable data protection laws and regulations, our interpretations of such laws and regulations and such measures to comply therewith may have been or may prove to be insufficient or incorrect, and we may not be successful in achieving compliance with the rapidly evolving privacy, data security, and data protection requirements discussed above.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services. Such occurrences could adversely affect our business, financial condition, and results of operations. Our general liability insurance may not cover all potential claims to which we are exposed and may not be adequate to indemnify us for the full extent of our potential liabilities.</w:t>
      </w:r>
    </w:p>
    <w:p>
      <w:pPr>
        <w:spacing w:after="0" w:line="20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 Companies and governmental agencies may restrict access to our products and services, our mobile apps, website, app stores, or the internet generally, which could negatively impact our operations.</w:t>
      </w:r>
    </w:p>
    <w:p>
      <w:pPr>
        <w:spacing w:after="0" w:line="2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business depends on customers accessing our products and services via a mobile device or a personal computer, and the internet.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consumers’ ability to access our products and services. In addition, the internet infrastructure that we and our customers rely on in any particular geographic area may be unable to support the demands placed upon it and could interfere with the speed and availability of our products and services. Any such failure in internet or mobile device or computer accessibility, even for a short period of time, could adversely affect our results of operations. Governmental agencies in any of the countries in which we or our customers are located could block access to or require a license for our mobile apps, website, or the internet generally for a number of reasons, including security, confidentiality, or regulatory concerns. In addition, companies may adopt policies that prohibit their employees from using our products and services. If companies or governmental entities block, limit, or otherwise restrict customers from accessing our products and services, our business could be negatively impacted, the number of customers could decline or grow more slowly, and our results of operations could be adversely affected.</w:t>
      </w:r>
    </w:p>
    <w:p>
      <w:pPr>
        <w:spacing w:after="0" w:line="20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9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are subject to the FCPA, U.S. domestic bribery laws, and other anti-corruption and anti-money laundering laws in the countries in which we conduct activities. Anti-corruption and anti-bribery laws have been enforced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cannot assure you that all of our employees and agents will not take actions in violation of any of the above laws, for which we may be ultimately held responsible. As we increase our international sales and business, our risks under these laws may increase.</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Detecting, investigating, and resolving actual or alleged violations of any of the above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92"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From time to time, we may be subject to claims, lawsuits, government investigations, and other proceedings involving products liability, competition and antitrust, intellectual property, data privacy and protection,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suppliers from whom our products are sourced and are dependent on a limited number of suppliers.</w:t>
      </w:r>
    </w:p>
    <w:p>
      <w:pPr>
        <w:spacing w:after="0" w:line="22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purchase substantially all of the resources for our products including diamonds, gemstones, precious metals, parts, packaging, and raw materials from domestic and international suppliers. For our business to be successful, our suppliers must be willing and able to provide us with resources in substantial quantities, in compliance with regulatory requirements, and further in compliance with our ethical and environmentally responsible standards, at acceptable costs and on a timely basis. Our ability to obtain a sufficient selection or volume of resources on a timely basis at competitive prices could suffer as a result of any deterioration or change in our supplier relationships or events that adversely affect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We typically do not enter into long-term contracts with our suppliers, and in some cases do not have formal written contracts, and, as such, we operate without significant contractual assurances of continued supply, pricing or access to resources. Pricing with suppliers is typically established and renegotiated based on product specifications, market conditions, and other variables. Any of our suppliers could discontinue supplying us with desired inputs in sufficient quantities or offer us less favorable terms on future transactions for a variety of reasons. The benefits we currently experience from our supplier relationships could be adversely affected if our suppliers:</w:t>
      </w:r>
    </w:p>
    <w:p>
      <w:pPr>
        <w:spacing w:after="0" w:line="20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discontinue selling resources to us;</w:t>
      </w:r>
    </w:p>
    <w:p>
      <w:pPr>
        <w:ind w:left="660" w:right="300" w:hanging="328"/>
        <w:spacing w:after="0" w:line="21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resources;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raise the prices they charge us;</w:t>
      </w:r>
    </w:p>
    <w:p>
      <w:pPr>
        <w:ind w:left="660" w:right="180" w:hanging="328"/>
        <w:spacing w:after="0" w:line="21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pricing terms to require us to pay on delivery or upfront, including as a result of changes in the credit relationships some of our suppliers have with their various lending institutions; or</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lengthen their lead times.</w:t>
      </w:r>
    </w:p>
    <w:p>
      <w:pPr>
        <w:spacing w:after="0" w:line="20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Events that adversely impact our suppliers could impair our ability to obtain adequate and timely supplies. Such events include, among others, difficulties or problems associated with our suppliers’ businesses, their financial instability and labor problems, resource quality and safety issues, natural or man-made disasters, inclement weather conditions, war, acts of terrorism and other political instability, economic conditions, shipment issues, the availability of their raw materials, and increased production costs. Our suppliers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20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natural diamonds are sourced from approved mines in countries ranked according to risk based on the Gemstones and Jewellery Community Platform Index for Conflict-Affected and High Risk Areas. A majority of the world’s supply of rough diamonds is controlled by a small number of diamond mining firms. Furthermore, Our Beyond Conflict Free Diamonds are sourced from a select group of diamond suppliers with a robust chain of custody protocol for their diamonds and are required to source diamonds that originate from specific mine operations or specific countries that have demonstrated their commitment to follow internationally recognized labor, trade, and environmental standards. As a result, any decisions made to restrict the supply of rough diamonds by these firms to our suppliers of Beyond Conflict Free Diamonds could substantially impair our ability to acquire such diamonds at commercially reasonable prices, if at all. Generally, diamond prices depend on the attributes of the diamond. Similarly, we craft our gold and silver fine jewelry from primarily recycled precious metals, and we work with our suppliers to source recycled platinum when available and from refiners that are known to use recycled materials in their platinum products.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resources,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suppliers source our products. For example, our resource sourcing could be impacted by current and future travel restrictions and/or the shut-down of certain businesses globally due to the COVID-19 pandemic, and our precious metals sourcing has been disrupted by the COVID-19 pandemic, including in India where we source our recycled platinum. In addition, a majority of the world’s diamond supply is cut and polished in India, which could by adversely impacted by the COVID-19 pandemic. Our sourcing operations may also be hurt by health concerns regarding infectious diseases in countries in which our resources are produced. Moreover, negative press or reports about internationally sourced resources may sway public opinion, and thus customer confidence, away from the products sold in our stores. These and other issues affecting our international suppliers or internationally sourced resources could have a material adverse effect on our business, financial condition, and results of operations.</w:t>
      </w:r>
    </w:p>
    <w:p>
      <w:pPr>
        <w:spacing w:after="0" w:line="2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Material changes in the pricing practices of our suppliers could negatively impact our profitability. Our suppliers may also increase their pricing if their raw materials became more expensive. The resources used to manufacture our products are subject to availability constraints and price volatility. Our suppliers may pass the increase in sourcing costs to us through price increases, thereby impacting our margins. Moreover, many suppliers and manufacturers of diamonds, as well as retailers of diamonds and diamond jewelry, are vertically integrated, and we expect they will continue to vertically integrate their operations either by developing retail channels for the products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manufacture or acquiring sources of supply, including, without limitation, diamond mining operations. To the extent such vertical integration efforts are successful, some of the fragmentation in the existing diamond supply chain could be eliminated, our ability to obtain an adequate supply of diamonds and fine jewelry from multiple sources could be limited, and our competitors may be able to obtain diamonds at lower prices.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addition, some of our suppliers may not have the capacity to supply us with sufficient resources to keep pace with our growth plans, especially if we plan to manufacturer significantly greater amounts of inventory. In such cases, our ability to pursue our growth strategy will depend in part upon our ability to develop new supplier relationships. 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183" w:lineRule="exact"/>
        <w:rPr>
          <w:sz w:val="20"/>
          <w:szCs w:val="20"/>
          <w:color w:val="auto"/>
        </w:rPr>
      </w:pPr>
    </w:p>
    <w:p>
      <w:pPr>
        <w:jc w:val="both"/>
        <w:ind w:right="240"/>
        <w:spacing w:after="0" w:line="235" w:lineRule="auto"/>
        <w:rPr>
          <w:sz w:val="20"/>
          <w:szCs w:val="20"/>
          <w:color w:val="auto"/>
        </w:rPr>
      </w:pPr>
      <w:r>
        <w:rPr>
          <w:rFonts w:ascii="Arial" w:cs="Arial" w:eastAsia="Arial" w:hAnsi="Arial"/>
          <w:sz w:val="18"/>
          <w:szCs w:val="18"/>
          <w:color w:val="auto"/>
        </w:rPr>
        <w:t>We rely on a limited number of suppliers to supply the majority of the resources to our products and are thus exposed to concentration of supplier risk. If we were to lose any significant supplier, we may be unable to establish additional or replacement sources for our products that meet our quality controls and standards in a timely manner or on commercially reasonable terms, if at all.</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We rely on our suppliers, third-party carriers, and third-party jewelers as part of our fulfillment process, and these third parties may fail to adequately serve our customers.</w:t>
      </w:r>
    </w:p>
    <w:p>
      <w:pPr>
        <w:spacing w:after="0" w:line="19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 significantly rely on our suppliers to promptly ship us diamonds and other fine jewelry ordered by our customers. Any failure by our suppliers to sell and ship such products to us in a timely manner will have an adverse effect on our ability to fulfill customer orders and harm our business and results of operations. Our suppliers, in turn, rely on third-party carriers to ship diamonds to us, and in some cases, directly to our customers. We also rely on a limited number of third-party carriers to deliver inventory to us and product shipments to our customers. We and our suppliers are therefore subject to the risks, including employee strikes, inclement weather, power outages, national disasters, rising fuel costs, and financial constraints associated with such carriers’ abilities to provide delivery services to meet our and our suppliers’ shipping needs. In addition, for some customer orders we rely on third-party jewelers to assemble and ship the product. Our suppliers’, third-party carriers’, or third-party jewelers’ failure to deliver high-quality products to us or our customers in a timely manner or to otherwise adequately serve our customers would damage our reputation and brand, and substantially harm our business and results of operations.</w:t>
      </w:r>
    </w:p>
    <w:p>
      <w:pPr>
        <w:spacing w:after="0" w:line="20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We rely on a limited number of contract manufacturers and logistics partners for our products. A loss of any of these partners could negatively affect our business.</w:t>
      </w:r>
    </w:p>
    <w:p>
      <w:pPr>
        <w:spacing w:after="0" w:line="19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rely on a limited number of contract manufacturers and logistics partners to manufacture and transport our products. In the event of interruption from any of our contract manufacturers, we may not be able to increase capacity from other sources or develop alternate or secondary sources without incurring material additional costs and substantial delays. Our contract manufacturers’ primary facilities are principally located in the U.S., India, Mexico, and Thailand, and furthermore are geographically concentrated in limited regions of each. Thus, our business could be adversely affected if one or more of our manufacturers is impacted by a natural disaster, an epidemic such as the current COVID-19 pandemic, or other interruption at a particular location. For example, the COVID-19 pandemic caused interruptions in the development, manufacturing (including the sourcing of key materials), and shipment of our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20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we experience a significant increase in demand for our products that cannot be satisfied adequately through our existing manufacturing channels, or if we need to replace an existing manufacturer, we may be unable to supplement or replace them on terms that are acceptable to us, which may undermine our ability to deliver our products in a timely manner. For example, if we require additional manufacturing support, it may take a significant amount of time to identify a manufacturer that has the capability and resources to build our products to our specifications in sufficient volume. Identifying suitable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contract manufacturers or logistics partners could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and are subject to risks related to online payment methods.</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convenient payment mechanisms provided by our business are key factors contributing to the development of our business. We rely on third parties for elements of our payment processing infrastructure to accept payments from customers and remit payments to suppliers.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 third-party financing sources,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0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Future failures of the payment processing infrastructure underlying our business could cause customers to lose trust in our payment operations and could cause them to instead turn to our competitors’ products and services. If the quality or convenience of our payment processing infrastructure declines as a result of these limitations or for any other reason, the attractiveness of our business to customers could be adversely affected. If we are forced to migrate to other third-party payment service providers for any reason, the transition would require significant time and management resources, and may not be as effective, efficient, or well-received by our customers.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20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occasionally receive orders placed with fraudulent credit card or other payment data, including stolen credit card numbers, or from clients who have closed bank accounts or have insufficient funds in open bank accounts to satisfy payment obligations. We may suffer losses as a result of orders placed with fraudulent credit card data or other fraudulent payment date even if the associated financial institution approved payment of the orders. Under current credit card practices and the practices of our other payment processing partners, we may be liable for fraudulent credit card or other payment transactions. If we are unable to detect or control credit card or other fraud, our liability for these transactions could harm our business, financial condition, and results of operations.</w:t>
      </w:r>
    </w:p>
    <w:p>
      <w:pPr>
        <w:spacing w:after="0" w:line="20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Our business relies on third party providers of cloud services, and any disruption of, or interference with, our use of cloud services could adversely affect our business, financial condition, or results of operations.</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outsource substantially all of our core cloud infrastructure services to third-party providers, including Amazon Web Services and NetSuite. The third-party providers provide the cloud computing infrastructure we use to host our website and mobile apps, serve our customers, and support our operations and many of the internal tools we use to operate our business. Our website, mobile apps, and internal tools use computing, storage, data transfer, and other functions and services provided by third parties. We do not have control over the operations of the facilities of the third-party providers that we use. The third-party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All of the aforementioned risks may be exacerbated if our business continuity and disaster recovery plans prove to be inadequate.</w:t>
      </w:r>
    </w:p>
    <w:p>
      <w:pPr>
        <w:spacing w:after="0" w:line="20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Additionally, data stored with any third-party provider is vulnerable to experiencing cyberattacks from computer malware, ransomware, viruses, social engineering (including phishing attacks), denial-of-service or other attacks, employee theft or misuse and general hacking. Any of these security incidents could result in unauthorized access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damage to, disablement or encryption of, use or misuse of, disclosure of, modification of, destruction of, or loss of our data or our customers’ data, or disrupt our ability to provide our products and services, including due to any failure by us to properly configure our third-party provider environment. Our business’ continuing and uninterrupted performance is critical to our success. Customers may become dissatisfied by any system failure that interrupts our ability to provide our products and services to them. We may not be able to easily switch our current operations to another cloud or other data center provider if there are disruptions or interference with our use of a third-party provider, and, even if we do switch our operations, other cloud and data center providers are subject to the same risks. Sustained or repeated system failures would reduce the attractiveness of our products and services, harm our reputation, and potentially reduce net sales. Moreover, negative publicity arising from these types of disruptions could damage our reputation and may adversely impact our business. For more information, see “—We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19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third-party providers do not have an obligation to renew their agreements with us on terms acceptable to us or at all. Although alternative data center providers could host our business on a substantially similar basis to our current third-party providers, transitioning our current cloud infrastructure to alternative providers could potentially be disruptive, and we could incur significant one-time costs. If we are unable to renew our agreement with our third-party providers on commercially acceptable terms, if our agreements with our third-party providers are prematurely terminated, or if we add additional infrastructure providers, we may experience costs or downtime in connection with the transfer to, or the addition of, new data center providers. If any of our infrastructure providers increase the costs of their services, our business, financial condition, or results of operations could be materially and adversely affected.</w:t>
      </w:r>
    </w:p>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procure third-party insurance policies to cover various operations-related risks, including employment practices liability, workers’ compensation, property and casualty, cybersecurity, directors’ and officers’ liability, and general business liabilities.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and our ability to adequately ensure the risks to our business could be impaired. A substantial amount of our inventory is in the custody of third parties such as our manufacturing partners, at any given time, and we are reliant on the adequacy of their insurance policies to cover potential loss or damage of our inventory in the custody of third parties. Any failure of such insurance policies to cover an event of loss or damage to inventory in the custody of third parties may result in a material loss to us.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93"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b w:val="1"/>
          <w:bCs w:val="1"/>
          <w:i w:val="1"/>
          <w:iCs w:val="1"/>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20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We are a holding company and have no material assets other than our ownership of LLC Interests (as defined herein). As such, we have no independent means of generating revenue or cash flow, and our ability to pay our taxes and operating expenses or declare and pay dividends in the future, if any, will be dependent upon the financial results and cash flows of Brilliant Earth, LLC and distributions we receive from Brilliant Earth, LLC. There can be no assurance that Brilliant Earth, LLC will generate sufficient cash flow to distribute funds to us or that applicable state law and contractual restrictions, including negative covenants in any applicable debt instruments, will permit such distributions. Brilliant Earth, LLC is currently subject to debt instruments or other agreements that restrict its ability to make distributions to us, which may in turn affect Brilliant Earth, LLC’s ability to pay distributions to us and thereby adversely affect our cash flows.</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Brilliant Earth, LLC is treated as a partnership for U.S. federal income tax purposes and, as such, generally is not subject to any entity-level U.S. federal income tax. Instead, any taxable income of Brilliant Earth, LLC is allocated to holders of LLC Interests, including us. Accordingly, we incur income taxes on our allocable share of any net taxable income of Brilliant Earth, LLC. Under the terms of the Brilliant Earth LLC Agreement, Brilliant Earth, LLC is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will be significant. We intend, as its managing member, to cause Brilliant Earth, LLC to make cash distributions to the holders of LLC Interests in an amount sufficient to (1) fund all or part of their tax obligations in respect of taxable income allocated to them and (2) cover our operating expenses, including payments under the Tax Receivable Agreement. However, Brilliant Earth, LLC’s ability to make such distributions may be subject to various limitations and restrictions, such as restrictions on distributions that would either violate any contract or agreement to which Brilliant Earth, LLC is then a party, including debt agreements, or any applicable law, or that would have the effect of rendering Brilliant Earth,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Brilliant Earth, LLC does not have sufficient funds to make distributions, our ability to declare and pay cash dividends will also be restricted or impaired, although we do not anticipate declaring or paying any cash dividends on our Class A common stock and Class D common stock in the foreseeable future.</w:t>
      </w:r>
    </w:p>
    <w:p>
      <w:pPr>
        <w:spacing w:after="0" w:line="38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Under the Brilliant Earth LLC Agreement, we intend to cause Brilliant Earth, LLC, from time to time, to make distributions in cash to its equityholders (including us) in amounts sufficient to cover the taxes imposed on their allocable share of taxable income of Brilliant Earth, LLC. As a result of (1) potential differences in the amount of net taxable income allocable to us and to Brilliant Earth,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Brilliant Earth, LLC from other equityholders in connection with the consummation of the Reorganization Transactions, these tax distributions may be in amounts that exceed our tax liabilities. Our board of directors will determine the appropriate uses for any excess cash so accumulated, which may include, among other uses, the payment of a cash dividend on our Class A common stock and Class D common stock, the payment of obligations under the Tax Receivable Agreement, the declaration of a stock dividend on our Class A common stock and Class D common stock, along with the purchase of a corresponding number of common units in Brilliant Earth, LLC, or the purchase of additional common units in Brilliant Earth, LLC, along with a recapitalization of all of the outstanding common units in Brilliant Earth, LLC and the payment of other expenses. We have no obligation to distribute such cash (or other available cash) to our stockholders. No adjustments to the exchange ratio for LLC Interests and corresponding shares of Class A common stock or Class D common stock, as applicable, will be made as a result of any cash distribution by us or any retention of cash by us. To the extent we do not distribute such excess cash as dividends on our Class A common stock or Class D common stock,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use the cash as described above, we may take other actions with respect to such excess cash, for example, holding such excess cash, or lending it (or a portion thereof) to Brilliant Earth, LLC, which may result in shares of our Class A common stock and Class D common stock increasing in value relative to the value of LLC Interests. The holders of LLC Interests may benefit from any value attributable to such cash balances if they acquire shares of Class A common stock or Class D common stock, as applicable, in exchange for their LLC Interests, notwithstanding that such holders may have participated previously as holders of LLC Interests in distributions that resulted in such excess cash balances.</w:t>
      </w:r>
    </w:p>
    <w:p>
      <w:pPr>
        <w:spacing w:after="0" w:line="20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19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connection with the consummation of our initial public offering of our Class A common stock, we entered into a Tax Receivable Agreement with Brilliant Earth, LLC and each of the Continuing Equity Owners (as defined herein). Under the Tax Receivable Agreement, we are required to make cash payments to the Continuing Equity Owners equal to 85% of the tax benefits, if any, that we actually realize, or in certain circumstances are deemed to realize, as a result of (1) increases in Brilliant Earth Group, Inc.’s allocable share of the tax basis of Brilliant Earth, LLC’s assets resulting from (a) Brilliant Earth Group, Inc.’s purchase of LLC Interests from each Continuing Equity Owner, (b) any future redemptions or exchanges of LLC Interests for Class A common stock or Class D common stock, and (c) certain distributions (or deemed distributions) by Brilliant Earth, LLC; and (2) certain tax benefits arising from payments under the Tax Receivable Agreement. We expect that the amount of the cash payments we will be required to make under the Tax Receivable Agreement will be substantial. Any payments made by us to the Continuing Equity Owners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Brilliant Earth, LLC by the exchanging Continuing Equity Owners.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existing tax basis acquired in connection with the Reorganization Transactions,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10"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17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entered into the Tax Receivable Agreement with Brilliant Earth, LLC and the Continuing Equity Owners in connection with the completion of our initial public offering and the Reorganization Transactions. The Tax Receivable Agreement provides for the payment by us to the Continuing Equity Owners of 85% of the amount of tax benefits, if any, that we actually realize, or in some circumstances are deemed to realize, as a result of (1) increases in Brilliant Earth Group, Inc.’s allocable share of the tax basis of Brilliant Earth, LLC’s assets resulting from (a) Brilliant Earth Group, Inc.’s purchase of LLC Interests from each Continuing Equity Owner, (b) any future redemptions or exchanges of LLC Interests for Class A common stock or Class D common stock, and (c) certain distributions (or deemed distributions) by Brilliant Earth, LLC; and (2) certain tax benefits arising from payments under the Tax Receivable Agreement. Although we will retain 15% of the amount of such tax benefits, this and other aspects of our organizational structure may adversely impact the future trading market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Equity Owners may be accelerated or significantly exceed any actual benefits we realize in respect of the tax attributes subject to the Tax Receivable Agreement.</w:t>
      </w:r>
    </w:p>
    <w:p>
      <w:pPr>
        <w:spacing w:after="0" w:line="197"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Tax Receivable Agreement provides that if (1) we materially breach any of our material obligations under the Tax Receivable Agreement, (2) certain mergers, asset sales, other forms of business combinations or other changes of control occur after the consummation of our initial public offering, or (3)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As a result of the foregoing, we would be required to make an immediate cash payment equal to the present value of the anticipated future tax benefits that are the subject of the Tax Receivable Agreement, based on certain assumptions (including that we earn sufficient taxable income to realize all potential tax benefits that are subject to the Tax Receivable Agreement), which payment may be made significantly in advance of the actual realization, if any, of such future tax benefits. Such cash payment to the Continuing Equity Owners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9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under the Tax Receivable Agreement in the event that any tax benefits are disallowed.</w:t>
      </w:r>
    </w:p>
    <w:p>
      <w:pPr>
        <w:spacing w:after="0" w:line="19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Payments under the Tax Receivable Agreement are based on the tax reporting positions that we determine, and the U.S. Internal Revenue Service (the “IRS”), or another tax authority, may challenge all or part of the tax basis increases or other tax benefits we claim, as well as other related tax positions we take, and a court could sustain such challenge. If the outcome of any such challenge would reasonably be expected to adversely affect the rights and obligations of Mainsail (as defined herein) or Just Rocks (as defined herein) in any material respect under the Tax Receivable Agreement, then we will not be permitted to settle such challenge without the consent (not to be unreasonably withheld or delayed) of Mainsail or Just Rocks, as applicable. The interests of Mainsail and Just Rocks in any such challenge may differ from or conflict with our interests and your interests, and Mainsail and Just Rocks may exercise their consent rights relating to any such challenge in a manner adverse to our interests and your interests. We will not be reimbursed for any cash payments previously made to the Continuing Equity Owners under the Tax Receivable Agreement in the event that any tax benefits initially claimed by us and for which payment has been made to a Continuing Equity Owner are subsequently challenged by a taxing authority and are ultimately disallowed. Instead, any excess cash payments made by us to a Continuing Equity Owner will be netted against future cash payments, if any, that we might otherwise be required to make to such Continuing Equity Owner, under the terms of the Tax Receivable Agreement. However, we might not determine that we have effectively made an excess cash payment to a Continuing Equity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that are the subject of the Tax Receivable Agreement.</w:t>
      </w:r>
    </w:p>
    <w:p>
      <w:pPr>
        <w:spacing w:after="0" w:line="39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are subject to taxation by U.S. federal, state, local, and foreign tax authorities. Our future effective tax rates could be subject to volatility or adversely affected by a number of factors, including:</w:t>
      </w:r>
    </w:p>
    <w:p>
      <w:pPr>
        <w:spacing w:after="0" w:line="19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ind w:left="660" w:right="360" w:hanging="328"/>
        <w:spacing w:after="0" w:line="246"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w:t>
      </w:r>
    </w:p>
    <w:p>
      <w:pPr>
        <w:ind w:left="660" w:right="520" w:hanging="328"/>
        <w:spacing w:after="0" w:line="21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Any changes in U.S. or foreign taxation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9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including as a result of our ownership of Brilliant Earth, LLC, applicable restrictions could make it impractical for us to continue our business as contemplated and could have a material adverse effect on our business.</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and Brilliant Earth, LLC intend to conduct our operations so that we will not be deemed an investment company. As the sole managing member of Brilliant Earth, LLC, we control and operate Brilliant Earth, LLC. On that basis, we believe that our interest in Brilliant Earth, LLC is not an “investment security” as that term is used in the 1940 Act. However, if we were to cease participation in the management of Brilliant Earth, LLC, or if Brilliant Earth, LLC itself becomes an investment company, our interest in Brilliant Earth, LLC could be deemed an “investment security” for purposes of the 1940 Act.</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We and Brilliant Earth,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Continuing Equity Owners have significant influence over us, including control over decisions that require the approval of stockholders.</w:t>
      </w:r>
    </w:p>
    <w:p>
      <w:pPr>
        <w:spacing w:after="0" w:line="2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Continuing Equity Owners control, in the aggregate, approximately 98.2% of the voting power represented by all our outstanding classes of stock. As a result, the Continuing Equity Owners exercise significant influence over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Continuing Equity Owners have the ability to elect through their voting power have the authority to incur additional debt, issue or repurchase stock, declare dividends, and make other decisions that could be detrimental to stockholders.</w:t>
      </w:r>
    </w:p>
    <w:p>
      <w:pPr>
        <w:spacing w:after="0" w:line="20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Certain members of our board are appointed by and/or affiliated with the Continuing Equity Owners. The 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other stockholders disagree and that may be adverse to interests of our other stockholders.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change significantly and you could lose all or part of your investment as a result.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price of shares of our Class A common stock may fluctuate based on</w:t>
      </w:r>
    </w:p>
    <w:p>
      <w:pPr>
        <w:spacing w:after="0" w:line="22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technology changes, changes in consumer behavior in our industry;</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breaches related to our systems or those of our affiliates or strategic partners;</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jewelry and consumer retail;</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ind w:left="660" w:right="160" w:hanging="328"/>
        <w:spacing w:after="0" w:line="21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ind w:left="660" w:right="580" w:hanging="328"/>
        <w:spacing w:after="0" w:line="21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jewelry and consumer retail environment;</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w:t>
      </w:r>
    </w:p>
    <w:p>
      <w:pPr>
        <w:ind w:left="660" w:hanging="328"/>
        <w:spacing w:after="0" w:line="232"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investor perceptions of the investment opportunity associated with our Class A common stock relative to other investment alternatives;</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ind w:left="660" w:right="440" w:hanging="328"/>
        <w:spacing w:after="0" w:line="23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203"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75"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multi-class structure may have on the market price of our Class A common stock.</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We are a “controlled company” within the meaning of the rules of the Nasdaq Stock Market LLC (“Nasdaq”) and, as a result, qualify for, and intend to rely on, exemptions from certain corporate governance requirements and holders of our Class A common stock may not have the same protections afforded to stockholders of companies that are subject to such corporate governance requirements.</w:t>
      </w:r>
    </w:p>
    <w:p>
      <w:pPr>
        <w:spacing w:after="0" w:line="177"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Mainsail and our Founders (as defined herein) have more than 50% of the voting power for the election of directors, and, as a result, we are considered a “controlled company” for the purposes of the corporate governance rules of Nasdaq. As such, we qualify for, and intend to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20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that directors who are considered independent are free of any conflicting interest that could influence their actions as directors. We intend to utilize certain exemptions afforded to a “controlled company.” As a result, we are not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9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Accordingly, holders of our Class A common stock may not have the same protections afforded to stockholders of companies that are subject to all of the corporate governance requirements of Nasdaq. Our status as a controlled company could make our Class A common stock less attractive to some investors or otherwise harm our stock price.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248"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jc w:val="both"/>
        <w:ind w:left="660" w:right="1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any time when Mainsail and our Founders beneficially own, in the aggregate, at least a majority of the voting power of our outstanding capital stock, our stockholders may take action by consent without a meeting, and at any time when Mainsail and our Founders beneficially own, in the aggregate, less than the majority of the voting power of our outstanding capital stock, our stockholders may not take action by consent, but may only take action at a meeting of stockholders;</w:t>
      </w:r>
    </w:p>
    <w:p>
      <w:pPr>
        <w:ind w:left="660" w:right="3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 subject to the rights granted pursuant to the stockholders agreement;</w:t>
      </w:r>
    </w:p>
    <w:p>
      <w:pPr>
        <w:ind w:left="660" w:hanging="328"/>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advance notice procedures apply for stockholders (other than the parties to our stockholders agreement for nominations made pursuant to the terms of the stockholders agreement) to nominate candidates for election as directors or to bring matters before an annual meeting of stockholders;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 of stockholders;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ind w:left="660" w:right="20" w:hanging="328"/>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 any time when Mainsail and our Founders beneficially own, in the aggregate, at least a majority of the voting power of our outstanding capital stock, directors may be removed at any time with or without cause upon the affirmative vote of the holders of capital stock representing a majority of the voting power of our outstanding shares of capital stock entitled to vote thereon, and at any time when Mainsail and our Founders beneficially own, in the aggregate, less than the majority of the voting power of our outstanding shares of capital stock entitled to vote generally in the election of directors, in the aggregate, directors may only be removed for cause and only upon the affirmative vote of at least 66 2/3% of the holders of capital stock representing the voting power of our outstanding shares of capital stock entitled to vote thereon; and</w:t>
      </w:r>
    </w:p>
    <w:p>
      <w:pPr>
        <w:spacing w:after="0" w:line="2" w:lineRule="exact"/>
        <w:rPr>
          <w:rFonts w:ascii="Arial" w:cs="Arial" w:eastAsia="Arial" w:hAnsi="Arial"/>
          <w:sz w:val="16"/>
          <w:szCs w:val="16"/>
          <w:color w:val="auto"/>
        </w:rPr>
      </w:pPr>
    </w:p>
    <w:p>
      <w:pPr>
        <w:ind w:left="660" w:right="40" w:hanging="328"/>
        <w:spacing w:after="0" w:line="23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certain provisions of amended and restated certificate of incorporation may be amended only by the affirmative vote of at least 66 2/3% of the voting power represented by our then-outstanding common stock.</w:t>
      </w:r>
    </w:p>
    <w:p>
      <w:pPr>
        <w:spacing w:after="0" w:line="20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97"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addition, we have opted out of Section 203 of the General Corporation Law of the State of Delaware (the “DGCL”), but our amended and restated certificate of incorporation provides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subject to certain exceptions.</w:t>
      </w:r>
    </w:p>
    <w:p>
      <w:pPr>
        <w:spacing w:after="0" w:line="202"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This reduced disclosure may make our Class A common stock less attractive to investors.</w:t>
      </w:r>
    </w:p>
    <w:p>
      <w:pPr>
        <w:spacing w:after="0" w:line="202"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sales are less than $1.07 billion will, in general, qualify as an “emerging growth company” until the earliest of:</w:t>
      </w:r>
    </w:p>
    <w:p>
      <w:pPr>
        <w:spacing w:after="0" w:line="20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$1.07 billion in nonconvertible debt; and</w:t>
      </w:r>
    </w:p>
    <w:p>
      <w:pPr>
        <w:ind w:left="660" w:right="80" w:hanging="328"/>
        <w:spacing w:after="0" w:line="195" w:lineRule="exact"/>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which will occur at such time as the company (1) has an aggregate worldwide market value of common equity securities held by non</w:t>
      </w:r>
      <w:r>
        <w:rPr>
          <w:rFonts w:ascii="MS PGothic" w:cs="MS PGothic" w:eastAsia="MS PGothic" w:hAnsi="MS PGothic"/>
          <w:sz w:val="18"/>
          <w:szCs w:val="18"/>
          <w:color w:val="auto"/>
        </w:rPr>
        <w:t>‑</w:t>
      </w:r>
      <w:r>
        <w:rPr>
          <w:rFonts w:ascii="Arial" w:cs="Arial" w:eastAsia="Arial" w:hAnsi="Arial"/>
          <w:sz w:val="18"/>
          <w:szCs w:val="18"/>
          <w:color w:val="auto"/>
        </w:rPr>
        <w:t>affiliates of $700 million or more as of the last business day of its most recently completed second fiscal quarter, (2) has been required to file annual and quarterly reports under the Exchange, for a period of at least 12 months, and (3) has filed at least one annual report pursuant to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Under this definition, we are an “emerging growth company” and could remain an “emerging growth company” until as late as December 31, 2026. For so long as we are an “emerging growth company,” we will, among other things:</w:t>
      </w:r>
    </w:p>
    <w:p>
      <w:pPr>
        <w:spacing w:after="0" w:line="19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ind w:left="660" w:hanging="328"/>
        <w:spacing w:after="0" w:line="232"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 required to hold a nonbinding advisory stockholder vote on executive compensation pursuant to Section 14A(a) of the Exchange Act;</w:t>
      </w:r>
    </w:p>
    <w:p>
      <w:pPr>
        <w:ind w:left="660" w:right="620" w:hanging="328"/>
        <w:spacing w:after="0" w:line="21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ind w:left="660" w:right="60" w:hanging="328"/>
        <w:spacing w:after="0" w:line="21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regarding the communication of critical audit matters in the auditor’s report on the financial statements;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20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audited consolidated financial statements may not be comparable to the financial statements of issuers who are required to comply with the effective dates for new or revised accounting standards that are applicable to public companies.</w:t>
      </w:r>
    </w:p>
    <w:p>
      <w:pPr>
        <w:spacing w:after="0" w:line="20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Investors may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02" w:lineRule="exact"/>
        <w:rPr>
          <w:sz w:val="20"/>
          <w:szCs w:val="20"/>
          <w:color w:val="auto"/>
        </w:rPr>
      </w:pPr>
    </w:p>
    <w:p>
      <w:pPr>
        <w:ind w:right="580"/>
        <w:spacing w:after="0" w:line="343" w:lineRule="auto"/>
        <w:rPr>
          <w:sz w:val="20"/>
          <w:szCs w:val="20"/>
          <w:color w:val="auto"/>
        </w:rPr>
      </w:pPr>
      <w:r>
        <w:rPr>
          <w:rFonts w:ascii="Arial" w:cs="Arial" w:eastAsia="Arial" w:hAnsi="Arial"/>
          <w:sz w:val="15"/>
          <w:szCs w:val="15"/>
          <w:b w:val="1"/>
          <w:bCs w:val="1"/>
          <w:i w:val="1"/>
          <w:iCs w:val="1"/>
          <w:color w:val="auto"/>
        </w:rPr>
        <w:t>Pursuant to the Dodd-Frank Act and SEC rules, we must file public disclosures regarding the country of origin of certain supplies, which could damage our reputation or impact our ability to obtain merchandise if customers or other stakeholders react negatively to our disclosures.</w:t>
      </w:r>
    </w:p>
    <w:p>
      <w:pPr>
        <w:spacing w:after="0" w:line="12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In August 2012, the SEC, pursuant to the Dodd-Frank Wall Street Reform and Consumer Protection Act (“Dodd-Frank Act”), issued final rules, which require annual disclosure and reporting on the source and use of certain minerals, including gold, from the Democratic Republic of Congo and adjoining countries. The gold supply chain is complex and, while management believes that the rules currently cover less than 1% of annual worldwide gold production (based upon recent estimates), the final rules require us and other affected companies that file with the SEC to make specified country of origin inquiries of our suppliers, and otherwise to exercise reasonable due diligence in determining the country of origin and certain other information relating to any of the statutorily designated minerals (gold, tin, tantalum, and tungsten), that are used in products sold by us in the U.S. and elsewhere.</w:t>
      </w:r>
    </w:p>
    <w:p>
      <w:pPr>
        <w:spacing w:after="0" w:line="19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There may be reputational risks associated with any potential negative response of our customers and other stakeholders to future disclosures by us in the event that, due to the complexity of the global supply chain, we are unable to sufficiently verify the origin of the relevant metals. Also, if future responses to verification requests by suppliers of any of the covered minerals used in our products are inadequate or adverse, our ability to obtain merchandise may be impaired, and its compliance costs may increase. The final rules also cover tungsten and tin, which are contained in a small proportion of items that are sold by us. It is possible that other minerals, such as diamonds, could be subject to similar rules.</w:t>
      </w:r>
    </w:p>
    <w:p>
      <w:pPr>
        <w:spacing w:after="0" w:line="202"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0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97"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financial analysts publish about us or our business. We do not control these analysts. If one or more of the analysts who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205"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audited consolidated financial statements and accompanying notes appearing elsewhere in this Annual Report on Form 10-K. We base our estimates on historical experience and on various other assumptions that we believe to be reasonable under the circumstances, as provided in the section of this Annual Report on Form 10-K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contingencies; valuation of our common stock and equity awards; income taxes; and sales and indirect tax reserves.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9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21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sale of shares of our Class A common stock in the public market, or the perception that such sales could occur, could harm the prevailing market price of shares of our Class A common stock. These sales, or the possibility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these sales may occur, also might make it more difficult for us to sell equity securities in the future at a time and at a price that we deem appropriate.</w:t>
      </w:r>
    </w:p>
    <w:p>
      <w:pPr>
        <w:spacing w:after="0" w:line="237"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As of December 31, 2021, we have outstanding a total of 9,614,523 shares of Class A common stock. Of the outstanding shares, the 9,583,332 shares of Class A common stock sold in our initial public offering are freely tradable without restriction or further registration under the Securities Act, other than any shares held by our affiliates. Any shares of Class A common stock held by our affiliates will be eligible for resale pursuant to Rule 144 under the Securities Act, subject to the volume, manner of sale, holding period and other limitations of Rule 144.</w:t>
      </w:r>
    </w:p>
    <w:p>
      <w:pPr>
        <w:spacing w:after="0" w:line="19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addition, we have reserved 10,923,912 shares of Class A common stock for issuance under our 2021 Incentive Award Plan and 1,638,586 shares of Class A common stock for issuance under our Employee Stock Purchase Plan. Any Class A common stock that we issue under the 2021 Incentive Award Plan, the Employee Stock Purchase Plan, or other equity incentive plans that we may adopt in the future would dilute your percentage ownership in our Class A common stock.</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92"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9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are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December 31, 2026.</w:t>
      </w:r>
    </w:p>
    <w:p>
      <w:pPr>
        <w:spacing w:after="0" w:line="20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have incurred and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completeness of our financial reports, we may face restricted access to the capital markets and our stock price may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Prior to our IPO, we operated on a private basis, and most of our management team does not have public company experience. We are now subject to the reporting requirements of the Exchange Act, the Sarbanes-Oxley Act, the Dodd-Frank Act, the listing requirements of the Nasdaq Global Market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As a newly public company and being subject to new rules and regulations, it has become more expensive for us to obtain director and officer liability and other types of insurance and we may in the future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3"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Our principal executive offices are located in San Francisco, CA and Denver, CO. We lease retail showroom, office and operational locations. As of December 31, 2021, we have 15 showrooms and one operations center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certain information regarding these properties, all of which are leased.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type</w:t>
            </w:r>
          </w:p>
        </w:tc>
        <w:tc>
          <w:tcPr>
            <w:tcW w:w="2360" w:type="dxa"/>
            <w:vAlign w:val="bottom"/>
            <w:gridSpan w:val="2"/>
          </w:tcPr>
          <w:p>
            <w:pPr>
              <w:ind w:left="780"/>
              <w:spacing w:after="0"/>
              <w:rPr>
                <w:sz w:val="20"/>
                <w:szCs w:val="20"/>
                <w:color w:val="auto"/>
              </w:rPr>
            </w:pPr>
            <w:r>
              <w:rPr>
                <w:rFonts w:ascii="Arial" w:cs="Arial" w:eastAsia="Arial" w:hAnsi="Arial"/>
                <w:sz w:val="18"/>
                <w:szCs w:val="18"/>
                <w:b w:val="1"/>
                <w:bCs w:val="1"/>
                <w:color w:val="auto"/>
              </w:rPr>
              <w:t>Location</w:t>
            </w:r>
          </w:p>
        </w:tc>
        <w:tc>
          <w:tcPr>
            <w:tcW w:w="2720" w:type="dxa"/>
            <w:vAlign w:val="bottom"/>
            <w:gridSpan w:val="2"/>
          </w:tcPr>
          <w:p>
            <w:pPr>
              <w:ind w:left="220"/>
              <w:spacing w:after="0"/>
              <w:rPr>
                <w:sz w:val="20"/>
                <w:szCs w:val="20"/>
                <w:color w:val="auto"/>
              </w:rPr>
            </w:pPr>
            <w:r>
              <w:rPr>
                <w:rFonts w:ascii="Arial" w:cs="Arial" w:eastAsia="Arial" w:hAnsi="Arial"/>
                <w:sz w:val="18"/>
                <w:szCs w:val="18"/>
                <w:b w:val="1"/>
                <w:bCs w:val="1"/>
                <w:color w:val="auto"/>
              </w:rPr>
              <w:t>Approximate square footage</w:t>
            </w:r>
          </w:p>
        </w:tc>
        <w:tc>
          <w:tcPr>
            <w:tcW w:w="2640" w:type="dxa"/>
            <w:vAlign w:val="bottom"/>
          </w:tcPr>
          <w:p>
            <w:pPr>
              <w:ind w:left="500"/>
              <w:spacing w:after="0"/>
              <w:rPr>
                <w:sz w:val="20"/>
                <w:szCs w:val="20"/>
                <w:color w:val="auto"/>
              </w:rPr>
            </w:pPr>
            <w:r>
              <w:rPr>
                <w:rFonts w:ascii="Arial" w:cs="Arial" w:eastAsia="Arial" w:hAnsi="Arial"/>
                <w:sz w:val="18"/>
                <w:szCs w:val="18"/>
                <w:b w:val="1"/>
                <w:bCs w:val="1"/>
                <w:color w:val="auto"/>
              </w:rPr>
              <w:t>Lease expiration date</w:t>
            </w:r>
          </w:p>
        </w:tc>
      </w:tr>
      <w:tr>
        <w:trPr>
          <w:trHeight w:val="66"/>
        </w:trPr>
        <w:tc>
          <w:tcPr>
            <w:tcW w:w="2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r>
      <w:tr>
        <w:trPr>
          <w:trHeight w:val="54"/>
        </w:trPr>
        <w:tc>
          <w:tcPr>
            <w:tcW w:w="25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6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640" w:type="dxa"/>
            <w:vAlign w:val="bottom"/>
            <w:tcBorders>
              <w:top w:val="single" w:sz="8" w:color="CCEEFF"/>
            </w:tcBorders>
          </w:tcPr>
          <w:p>
            <w:pPr>
              <w:spacing w:after="0"/>
              <w:rPr>
                <w:sz w:val="4"/>
                <w:szCs w:val="4"/>
                <w:color w:val="auto"/>
              </w:rPr>
            </w:pP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Retail showrooms</w:t>
            </w: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Atlanta</w:t>
            </w:r>
          </w:p>
        </w:tc>
        <w:tc>
          <w:tcPr>
            <w:tcW w:w="262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April 30, 2027</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Austin</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31, 2026</w:t>
            </w: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Boston</w:t>
            </w:r>
          </w:p>
        </w:tc>
        <w:tc>
          <w:tcPr>
            <w:tcW w:w="262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December 31, 2026</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Chicago</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30, 2026</w:t>
            </w: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Dallas</w:t>
            </w:r>
          </w:p>
        </w:tc>
        <w:tc>
          <w:tcPr>
            <w:tcW w:w="262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July 31, 2027</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Denver</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2026</w:t>
            </w: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Los Angeles</w:t>
            </w:r>
          </w:p>
        </w:tc>
        <w:tc>
          <w:tcPr>
            <w:tcW w:w="2620" w:type="dxa"/>
            <w:vAlign w:val="bottom"/>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April 30, 2025</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2031</w:t>
            </w: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Philadelphia</w:t>
            </w:r>
          </w:p>
        </w:tc>
        <w:tc>
          <w:tcPr>
            <w:tcW w:w="262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November 30, 2025</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Portland</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31, 2031</w:t>
            </w: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San Diego</w:t>
            </w:r>
          </w:p>
        </w:tc>
        <w:tc>
          <w:tcPr>
            <w:tcW w:w="262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August 30, 2023</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 Francisco</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31, 2031</w:t>
            </w: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Scottsdale</w:t>
            </w:r>
          </w:p>
        </w:tc>
        <w:tc>
          <w:tcPr>
            <w:tcW w:w="262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December 31, 2031</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Seattle</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2028</w:t>
            </w: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Washington DC</w:t>
            </w:r>
          </w:p>
        </w:tc>
        <w:tc>
          <w:tcPr>
            <w:tcW w:w="2620" w:type="dxa"/>
            <w:vAlign w:val="bottom"/>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December 31, 2023</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2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Operations center</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Secaucus, New Jersey</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shd w:val="clear" w:color="auto" w:fill="CCEEFF"/>
          </w:tcPr>
          <w:p>
            <w:pPr>
              <w:spacing w:after="0"/>
              <w:rPr>
                <w:sz w:val="21"/>
                <w:szCs w:val="21"/>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31, 2026</w:t>
            </w: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All of our executive offices and retail showrooms are leased from third parties, and our leases generally have a term of 5 years and typically include five-year renewal options. Most of our showroom leases provide for a minimum rent, with escalating rent increases, and generally require us to pay insurance, utilities, real estate taxes and repair and maintenance expenses.</w:t>
      </w:r>
    </w:p>
    <w:p>
      <w:pPr>
        <w:spacing w:after="0" w:line="20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may negotiate new lease agreements, renew existing lease agreements or use alternate facilities prior to lease termination. We believe that our facilities are adequate for our needs and believe that we should be able to renew any of our leases or secure similar property without an adverse impact on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6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 632.7. The plaintiff seeks statutory damages, injunctive relief, attorneys’ fees and costs, and other unspecified damages. The Company has obtained an extension of time to file a response, the time to file such response has not yet passed, and as of the date of this Annual Report</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Form 10-K, the Company has not responded to the complaint. We believe these claims have no merit, and intend to vigorously defend against this lawsuit, though there can be no assurance regarding its ultimate outcome. At this time, any liability related to the alleged claims is not currently probable or reasonably estimable.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7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Our Class A common stock began trading on the Nasdaq Global Select Market under the trading symbol “BRLT” on September 23, 2021. As of December 31, 2021, there is no established public trading market for our Class B common stock, Class C common stock or Class D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18, 2022, there were approximately 60 holders of record of our Class A common stock, 28 holders of record of our Class B common stock and 1 holder of record of our Class C common stock. No shares of our Class D common stock are outstanding. Because some of our shares of Class A common stock are held by brokers and institutions on behalf of stockholders, we are unable to estimate the total number of beneficial owners of our Class A common stock represented by these record 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540"/>
        <w:spacing w:after="0" w:line="269" w:lineRule="auto"/>
        <w:rPr>
          <w:sz w:val="20"/>
          <w:szCs w:val="20"/>
          <w:color w:val="auto"/>
        </w:rPr>
      </w:pPr>
      <w:r>
        <w:rPr>
          <w:rFonts w:ascii="Arial" w:cs="Arial" w:eastAsia="Arial" w:hAnsi="Arial"/>
          <w:sz w:val="17"/>
          <w:szCs w:val="17"/>
          <w:color w:val="auto"/>
        </w:rPr>
        <w:t>Since the IPO, we have not declared or paid any cash dividends on our common stock and we do not anticipate declaring or paying any cash dividends on our Class A common stock and Class D common stock in the foreseeable future. Holders of our Class B common stock and Class C common stock are not entitled to participate in any dividends declared by our board of directors. Furthermore, because we are a holding company, our ability to pay cash dividends on our Class A common stock and Class D common stock depends on our receipt of cash distributions from Brilliant Earth, LLC. Our ability to pay dividends is restricted by the terms of our current credit agreement and may be restricted by the terms of any future credit agreement, debt or preferred equity securities of us. Any future determination as to the declaration and payment of dividends, if any, will be at the discretion of our board of directors, subject to the requirements of applicable law,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quarter ended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5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There were no unregistered equity securities sold from September 23, 2021 to December 31, 2021, and no material change in the expected use of the net proceeds from our IPO, other than as previously disclosed in our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graph and table compare the total stockholder return from September 23, 2021, the date on which our Class A common stock commenced trading on the Nasdaq Global Select Market through December 31, 2021 of (i) our Class A common stock, (ii) the Standard and Poor's 500 Internet and Direct Marketing Retail Industry Index, (iii) NASDAQ Composite Index, and (iv) NASDAQ Retail Trade Index. The stock performance graph and table assume an initial investment of $100 on September 23, 2021.</w:t>
      </w:r>
    </w:p>
    <w:p>
      <w:pPr>
        <w:spacing w:after="0" w:line="22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120650</wp:posOffset>
            </wp:positionV>
            <wp:extent cx="6858000" cy="48088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00" cy="480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0600"/>
          </w:cols>
          <w:pgMar w:left="320" w:top="36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68" w:right="97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information presented in our audited consolidated financial statements and related notes included elsewhere in this Annual Report on Form 10-K. The following discussion and analysis reflects the historical results of operations and financial position of Brilliant Earth, LLC prior to the Reorganization Transactions on September 22, 2021 and that of Brilliant Earth Group, Inc. and its consolidated subsidiary, Brilliant Earth, LLC, following the completion of the Reorganization Transactions.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Annual Report on Form 10-K.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Brilliant Earth is an innovative, digital-first jewelry company, and a global leader in ethically sourced fine jewelry. We offer exclusive designs with superior craftsmanship and supply chain transparency, delivered to customers through a highly personalized omnichannel experience. We operate in one operating and reporting segment, the retail sale of diamonds, gemstones, and jewelry.</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mission is to create a more transparent, sustainable, compassionate, and inclusive jewelry industry, and we are proud to offer customers distinctive and thoughtfully designed products that they can truly feel good about wearing. Our core values resonate strongly across many demographics and particularly with values-driven Millennial and Gen Z consumers.</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December 31, 2021, Brilliant Earth has sold to consumers in over 50 countries.</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 fulfillment of our flagship Create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achieved strong financial performance and rapid growth since our founding with minimal outside funding, and believe we are in the early stages of realizing our potential in a significant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performance for the year ended December 31, 2021:</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sales of $380.2 million, up 51.0% from $251.8 million for the year ended December 31,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of $26.3 million, up 21.7% from $21.6 million for the year ended December 31,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margin of 6.9%, compared to 8.6% for the year ended December 31,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of $50.5 million, up 83.4% from $27.5 million for the year ended December 31, 2020;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margin of 13.3%, compared to 10.9% for the year ended December 31,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performance for the year ended December 31, 2020:</w:t>
      </w:r>
    </w:p>
    <w:p>
      <w:pPr>
        <w:spacing w:after="0" w:line="2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sales of $251.8 million, up 25.1% from $201.3 million for the year ended December 31,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of $21.6 million, up 377.4% from net loss of $(7.8) for the year ended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margin of 8.6%, compared to (3.9)% for the year ended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of $27.5 million, up 711.3% from $(4.5) million for the year ended December 31, 2019;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of 10.9%, compared to (2.2)% for the year ended December 31,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operating and reporting segment, the retail sale of diamonds, gemstones and jewelry.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Purchase of LLC Interests</w:t>
      </w:r>
    </w:p>
    <w:p>
      <w:pPr>
        <w:spacing w:after="0" w:line="239" w:lineRule="exact"/>
        <w:rPr>
          <w:sz w:val="20"/>
          <w:szCs w:val="20"/>
          <w:color w:val="auto"/>
        </w:rPr>
      </w:pPr>
    </w:p>
    <w:p>
      <w:pPr>
        <w:jc w:val="both"/>
        <w:ind w:right="420"/>
        <w:spacing w:after="0" w:line="253" w:lineRule="auto"/>
        <w:rPr>
          <w:sz w:val="20"/>
          <w:szCs w:val="20"/>
          <w:color w:val="auto"/>
        </w:rPr>
      </w:pPr>
      <w:r>
        <w:rPr>
          <w:rFonts w:ascii="Arial" w:cs="Arial" w:eastAsia="Arial" w:hAnsi="Arial"/>
          <w:sz w:val="17"/>
          <w:szCs w:val="17"/>
          <w:color w:val="auto"/>
        </w:rPr>
        <w:t>On September 27, 2021, we completed our IPO of 9,583,332 shares of Class A common stock at an offering price of $12.00 per share, (excluding the underwriting discount), including 1,249,999 shares of Class A common stock issued pursuant to the underwriters’ over-allotment option. We received $101.6 million in proceeds after a deduction for underwriting discounts and offering costs totaling $13.4 million.</w:t>
      </w:r>
    </w:p>
    <w:p>
      <w:pPr>
        <w:spacing w:after="0" w:line="20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which represented a 10.1% economic interest as of the IPO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F, P and M Units at Time of IPO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At the time of the IPO, the existing limited liability company agreement of Brilliant Earth, LLC was amended and restated to, among other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things, recapitalize all existing Class F, P and M Units in Brilliant Earth, LLC into 86,297,284 common LLC Units after applying a conversion ratio of</w:t>
      </w:r>
    </w:p>
    <w:p>
      <w:pPr>
        <w:spacing w:after="0" w:line="2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financial statements for periods prior to the IPO have been retroactively adjusted to reflect the conversion ratios (as discussed in the preceding sentence) similar to the presentation of a stock-split.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Restructuring, Offering and Other Transactions Completed in Connection with the IPO</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IPO, Brilliant Earth Group, Inc. and Brilliant Earth, LLC completed a series of transactions that comprise of reorganization, offering and other financing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Reorganization Transactions which occurred as of the date of IPO:</w:t>
      </w:r>
    </w:p>
    <w:p>
      <w:pPr>
        <w:spacing w:after="0" w:line="252" w:lineRule="exact"/>
        <w:rPr>
          <w:sz w:val="20"/>
          <w:szCs w:val="20"/>
          <w:color w:val="auto"/>
        </w:rPr>
      </w:pPr>
    </w:p>
    <w:p>
      <w:pPr>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appoint Brilliant Earth Group, Inc. as the sole managing member of Brilliant Earth, LLC upon its acquisition of LLC Units in connection with the IPO, and (3) provide certain redemption rights to the Continuing Equity Owners.</w:t>
      </w:r>
    </w:p>
    <w:p>
      <w:pPr>
        <w:spacing w:after="0" w:line="197" w:lineRule="exact"/>
        <w:rPr>
          <w:sz w:val="20"/>
          <w:szCs w:val="20"/>
          <w:color w:val="auto"/>
        </w:rPr>
      </w:pPr>
    </w:p>
    <w:p>
      <w:pPr>
        <w:ind w:left="660" w:right="2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83" w:lineRule="exact"/>
        <w:rPr>
          <w:rFonts w:ascii="Arial" w:cs="Arial" w:eastAsia="Arial" w:hAnsi="Arial"/>
          <w:sz w:val="18"/>
          <w:szCs w:val="18"/>
          <w:color w:val="auto"/>
        </w:rPr>
      </w:pPr>
    </w:p>
    <w:p>
      <w:pPr>
        <w:ind w:left="660" w:hanging="328"/>
        <w:spacing w:after="0" w:line="22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36,064,421 shares of Class B common stock (prior to the redemption of 522,386 shares pursuant to the exercise of underwriters’ overallotment options discussed below) to the Continuing Equity Owners, excluding the founders, Beth Gerstein, Co-Founder and Chief Executive Officer, Eric Grossberg, Co-Founder and Executive Chairman, and Just Rocks, a Delaware corporation which is jointly owned and controlled by the founders (collectively, the “Founders”), which is equal to the number of LLC Units held by such Continuing Equity Owners excluding the Founders, for nominal consideration.</w:t>
      </w:r>
    </w:p>
    <w:p>
      <w:pPr>
        <w:spacing w:after="0" w:line="204" w:lineRule="exact"/>
        <w:rPr>
          <w:rFonts w:ascii="Arial" w:cs="Arial" w:eastAsia="Arial" w:hAnsi="Arial"/>
          <w:sz w:val="18"/>
          <w:szCs w:val="18"/>
          <w:color w:val="auto"/>
        </w:rPr>
      </w:pPr>
    </w:p>
    <w:p>
      <w:pPr>
        <w:ind w:left="660" w:right="780" w:hanging="328"/>
        <w:spacing w:after="0" w:line="235"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215" w:lineRule="exact"/>
        <w:rPr>
          <w:rFonts w:ascii="Arial" w:cs="Arial" w:eastAsia="Arial" w:hAnsi="Arial"/>
          <w:sz w:val="18"/>
          <w:szCs w:val="18"/>
          <w:color w:val="auto"/>
        </w:rPr>
      </w:pPr>
    </w:p>
    <w:p>
      <w:pPr>
        <w:ind w:left="660" w:right="40" w:hanging="328"/>
        <w:spacing w:after="0" w:line="311"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Entered into a Tax Receivable Agreement (the “TRA”)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IPO and other transactions:</w:t>
      </w:r>
    </w:p>
    <w:p>
      <w:pPr>
        <w:spacing w:after="0" w:line="252" w:lineRule="exact"/>
        <w:rPr>
          <w:sz w:val="20"/>
          <w:szCs w:val="20"/>
          <w:color w:val="auto"/>
        </w:rPr>
      </w:pPr>
    </w:p>
    <w:p>
      <w:pPr>
        <w:ind w:left="660" w:right="30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9,583,332 shares of Class A common stock, including 1,249,999 shares of Class A common stock from the exercise of the underwriters' overallotment, in exchange for net proceeds of approximately $101.6 million at $12.00 per share, less underwriting discount and offering expenses.</w:t>
      </w:r>
    </w:p>
    <w:p>
      <w:pPr>
        <w:spacing w:after="0" w:line="210" w:lineRule="exact"/>
        <w:rPr>
          <w:rFonts w:ascii="Arial" w:cs="Arial" w:eastAsia="Arial" w:hAnsi="Arial"/>
          <w:sz w:val="18"/>
          <w:szCs w:val="18"/>
          <w:color w:val="auto"/>
        </w:rPr>
      </w:pPr>
    </w:p>
    <w:p>
      <w:pPr>
        <w:ind w:left="660" w:right="380" w:hanging="328"/>
        <w:spacing w:after="0" w:line="308"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spacing w:after="0" w:line="173" w:lineRule="exact"/>
        <w:rPr>
          <w:rFonts w:ascii="Arial" w:cs="Arial" w:eastAsia="Arial" w:hAnsi="Arial"/>
          <w:sz w:val="17"/>
          <w:szCs w:val="17"/>
          <w:color w:val="auto"/>
        </w:rPr>
      </w:pPr>
    </w:p>
    <w:p>
      <w:pPr>
        <w:ind w:left="660" w:right="40" w:hanging="328"/>
        <w:spacing w:after="0" w:line="30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Used net proceeds from the exercise of the underwriters’ overallotment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184" w:lineRule="exact"/>
        <w:rPr>
          <w:rFonts w:ascii="Arial" w:cs="Arial" w:eastAsia="Arial" w:hAnsi="Arial"/>
          <w:sz w:val="16"/>
          <w:szCs w:val="16"/>
          <w:color w:val="auto"/>
        </w:rPr>
      </w:pPr>
    </w:p>
    <w:p>
      <w:pPr>
        <w:ind w:left="660" w:right="3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Corresponding cancellation of a total of 1,249,999 shares of Class B common stock and Class C common stock resulting from the purchase of 1,249,999 LLC Units from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Exercise of warrants on convertible preferred units (“Class P Units”) with a carrying value of $6.4 million as of September 22, 2021 (after the mark-to-market adjustment as of the date of exercise) into 534,589 newly issued LLC Units on a net settlement basis, elected at the option of the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Increase Brand Awareness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significant investments to strengthen the Brilliant Earth brand through our dynamic marketing strategy, which includes brand marketing campaigns across email, digital, social media, earned media, and media placements and with key influencers. Based on our Customer Insight Survey conducted in May 2021, our aided brand awareness was 54% with significant room to increase in the U.S. and internationally through marketing and earned media, showroom expansion, and word-of-mouth referrals.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Cost-Effective Acquisition of New Customers and Retention of Existing Customers.</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Continue Expansion of our Omnichannel Strategy</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ability to expand our omnichannel presence to new markets and locations is key to our success. Historically, we have been successful in every new geographic market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expanding our number of showrooms will drive accelerated growth by increasing our average order value (“AOV”) compared to e-commerce orders, improving conversion in the showrooms’ metro regions compared to pre-opening conversion, and raising our brand awareness. As of December 31, 2021, we have 15 showroom locations.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Successfully Introduce New Products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Expansion</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and Marketing Efficiency</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 unique, asset-light operating model with attractive working capital dynamics, capital-efficient showrooms, and a vast virtual inventory of premium natural and lab-grown diamonds that allows us to offer over 150,000 diamonds with significant value, while keeping our balance sheet inventory low. This has driven attractive inventory turns and allows us to operate with negative working capital, which we define as our 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limited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Operating as a Public Company</w:t>
      </w:r>
    </w:p>
    <w:p>
      <w:pPr>
        <w:spacing w:after="0" w:line="25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anticipate that the costs of operating as a public company will be significant as we are now subject to the reporting, listing, and compliance requirements of various governing bodies and applicable securities laws and regulations that we were previously not subjected to as a privately-held company. These costs have been rapidly increasing over time, and we expect these rules and regulations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Trends</w:t>
      </w:r>
    </w:p>
    <w:p>
      <w:pPr>
        <w:spacing w:after="0" w:line="25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Changes in inflation and macro-level consumer spending trends, including as a result of the COVID-19 pandemic, could result in fluctuations in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 on Our Business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COVID-19 pandemic remains on-going and continues to impact the global economy. Our financial performance could be adversely impacted by the on-going evolution of the pandemic, including any government-imposed pandemic restrictions. We cannot predict the full extent of the impacts of the COVID-19 pandemic on our business, our operations, or the global economy as a whole. However, the effects could have a material impact on our results of operations. See “Risk Factors—Risks Related to Our Business and Industry—The COVID-19 pandemic has had, and may in the future continue to have, a material adverse impact on our business” in Part I, Item 1A.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key performance indicators for the periods presented (amounts in thousands, except for total orders and AOV):</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7"/>
          </w:tcPr>
          <w:p>
            <w:pPr>
              <w:ind w:left="60"/>
              <w:spacing w:after="0"/>
              <w:rPr>
                <w:sz w:val="20"/>
                <w:szCs w:val="20"/>
                <w:color w:val="auto"/>
              </w:rPr>
            </w:pPr>
            <w:r>
              <w:rPr>
                <w:rFonts w:ascii="Arial" w:cs="Arial" w:eastAsia="Arial" w:hAnsi="Arial"/>
                <w:sz w:val="16"/>
                <w:szCs w:val="16"/>
                <w:b w:val="1"/>
                <w:bCs w:val="1"/>
                <w:color w:val="auto"/>
                <w:w w:val="92"/>
              </w:rPr>
              <w:t>For the years ended December 31,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7"/>
          </w:tcPr>
          <w:p>
            <w:pPr>
              <w:jc w:val="center"/>
              <w:ind w:right="40"/>
              <w:spacing w:after="0"/>
              <w:rPr>
                <w:sz w:val="20"/>
                <w:szCs w:val="20"/>
                <w:color w:val="auto"/>
              </w:rPr>
            </w:pPr>
            <w:r>
              <w:rPr>
                <w:rFonts w:ascii="Arial" w:cs="Arial" w:eastAsia="Arial" w:hAnsi="Arial"/>
                <w:sz w:val="16"/>
                <w:szCs w:val="16"/>
                <w:b w:val="1"/>
                <w:bCs w:val="1"/>
                <w:color w:val="auto"/>
                <w:w w:val="89"/>
              </w:rPr>
              <w:t>For the years ended December 31,</w:t>
            </w:r>
          </w:p>
        </w:tc>
        <w:tc>
          <w:tcPr>
            <w:tcW w:w="1100" w:type="dxa"/>
            <w:vAlign w:val="bottom"/>
          </w:tcPr>
          <w:p>
            <w:pPr>
              <w:spacing w:after="0"/>
              <w:rPr>
                <w:sz w:val="18"/>
                <w:szCs w:val="18"/>
                <w:color w:val="auto"/>
              </w:rPr>
            </w:pPr>
          </w:p>
        </w:tc>
      </w:tr>
      <w:tr>
        <w:trPr>
          <w:trHeight w:val="33"/>
        </w:trPr>
        <w:tc>
          <w:tcPr>
            <w:tcW w:w="1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380,189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251,820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25.1 %</w:t>
            </w:r>
          </w:p>
        </w:tc>
      </w:tr>
      <w:tr>
        <w:trPr>
          <w:trHeight w:val="224"/>
        </w:trPr>
        <w:tc>
          <w:tcPr>
            <w:tcW w:w="1700" w:type="dxa"/>
            <w:vAlign w:val="bottom"/>
          </w:tcPr>
          <w:p>
            <w:pPr>
              <w:ind w:left="20"/>
              <w:spacing w:after="0"/>
              <w:rPr>
                <w:sz w:val="20"/>
                <w:szCs w:val="20"/>
                <w:color w:val="auto"/>
              </w:rPr>
            </w:pPr>
            <w:r>
              <w:rPr>
                <w:rFonts w:ascii="Arial" w:cs="Arial" w:eastAsia="Arial" w:hAnsi="Arial"/>
                <w:sz w:val="16"/>
                <w:szCs w:val="16"/>
                <w:b w:val="1"/>
                <w:bCs w:val="1"/>
                <w:color w:val="auto"/>
              </w:rPr>
              <w:t>Total Orders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118,208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79,890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79,890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29.7 %</w:t>
            </w:r>
          </w:p>
        </w:tc>
      </w:tr>
      <w:tr>
        <w:trPr>
          <w:trHeight w:val="33"/>
        </w:trPr>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AOV</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1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is defined below in "</w:t>
      </w:r>
      <w:r>
        <w:rPr>
          <w:rFonts w:ascii="Arial" w:cs="Arial" w:eastAsia="Arial" w:hAnsi="Arial"/>
          <w:sz w:val="18"/>
          <w:szCs w:val="18"/>
          <w:i w:val="1"/>
          <w:iCs w:val="1"/>
          <w:color w:val="auto"/>
        </w:rPr>
        <w:t>Components of Results of Operations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Orders</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Order Value</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Our sales are recorded net of estimated sales returns and allowances and sales taxes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our sales occurs prior to fulfillment.</w:t>
      </w:r>
    </w:p>
    <w:p>
      <w:pPr>
        <w:spacing w:after="0" w:line="1"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auto"/>
        </w:rPr>
        <w:t>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spacing w:after="0" w:line="18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independently-graded natural diamonds. For an additional charge, we offer an in-house 3-year extended service plan, which provides full inspection, cleaning, and certain repairs due to normal wear. We also offer an extended protection plan through a third-party that has terms ranging from 2 years to lifetime that vary based on the item purchased.</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is deferred on transactions where payment has been received from the customer, but control has not yet transferred. Revenue related to customer purchases of our in-house extended service plan are deferred and recognized ratably over the service plan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and costs of shipping orders to customers. Our cost of sales includes reserves for disposal of obsolete, slow-moving or defective items, and shrinkage, which we estimate and record on a periodic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Selling, general and administrative (“SG&amp;A”)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other general corporate expenses, and charitable donations in connection with establishing and funding the Brilliant Earth Foundation, a donor advised fund, to support our charitable giving efforts.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primarily consists of interest incurred under our outstanding Term Loan.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expense, net consisted primarily of the change in fair value of the warrant liability necessary to mark our warrants to fair market value. The warrant liability was settled at the time of IPO. Additionally, these expenses include losses on exchange rates on consumer payments, partially offset by interest and other miscellaneous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Income tax expense (benefit) represents the federal and state income or franchise taxes assessed on Brilliant Earth Group, Inc.’s share of taxable income (loss) for the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Data</w:t>
      </w:r>
    </w:p>
    <w:p>
      <w:pPr>
        <w:spacing w:after="0" w:line="1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results of operations data in the following tables for the periods presented have been derived from the audited consolidated financial statements included elsewhere in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our statements of operations for the years ended December 31, 2021 and 2020, including amounts and percentages of net sales for each year and the year-to-year change in dollars and percent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For the years ended December 31,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Year over year change</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Consolidated statements of operations data*:</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380,189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251,820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128,369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51.0 %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192,768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0" w:type="dxa"/>
            <w:vAlign w:val="bottom"/>
          </w:tcPr>
          <w:p>
            <w:pPr>
              <w:spacing w:after="0"/>
              <w:rPr>
                <w:sz w:val="1"/>
                <w:szCs w:val="1"/>
                <w:color w:val="auto"/>
              </w:rPr>
            </w:pPr>
          </w:p>
        </w:tc>
      </w:tr>
      <w:tr>
        <w:trPr>
          <w:trHeight w:val="217"/>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187,421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49.3 %</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112,302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75,119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66.9 %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85,710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61,581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71.8 %</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53.6 %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Net income before tax</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25,940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21,576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7"/>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26,256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21,576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allocable to 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24,728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Net income allocable to Brilliant Earth</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Group, Inc.</w:t>
            </w: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803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Amounts may not sum due to rounding</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 - Not meaningful</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6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Net sales for the year ended December 31, 2021 increased by $128.4 million, or 51.0%, compared to the year ended December 31, 2020. We experienced increases in net sales across our products, in both domestic and international markets, primarily driven by a 48.0% increase in order volumes due to:</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efficiency of our customer acquisition and conversion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orders driven by our showrooms and website;</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consumer spending during the first half of 2021 in comparison to the first half of 2020, which was significantly impacted by COVID-19;</w:t>
      </w:r>
    </w:p>
    <w:p>
      <w:pPr>
        <w:ind w:left="660" w:right="16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orders from opening of new showrooms in Atlanta (fourth quarter of 2020), Seattle (second quarter of 2021), Portland, Austin, Dallas, New York (third quarter of 2021) and Scottsdale (fourth quarter of 2021); and</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5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sales also increased due to an increase in AOV on a year-over-year basis. AOV for the year ended December 31, 2021 was 2.0% higher compared to the year ended December 31,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profit for the year ended December 31, 2021 increased by $75.1 million, or 66.9%, compared to the year ended December 31, 2020. Gross margin, expressed as a percentage and calculated as gross profit divided by net sales, increased by 470 basis points for the year ended December 31, 2021 compared to the year ended December 31, 2020, primarily driven by our premium brand and differentiated product offerings, enhancements to our pricing engine, procurement efficiencies and higher costs in the prior period due to temporary COVID-related changes to supplier mix and shipping methods during the prior year. These improvements were partially offset by higher precious metal prices, as evidenced by average gold and platinum spot prices increasing by 1% and 22% respectively, for the year ended December 31, 2021 as compared to the year ended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SG&amp;A expenses for the year ended December 31, 2021 increased by $61.6 million, or 71.8%. SG&amp;A expenses as a percentage of net sales increased by 471 basis points for the year ended December 31, 2021 compared to the year ended December 31, 2020. The increase in SG&amp;A expenses was driven by an increase in marketing expenses, other general and administrative expenses and employment expenses, which increased by $27.3 million, $18.9 million and $15.4 million, respectively, from the year ended December 31, 2020 to the year ended December 31, 2021. The increase in marketing expenses was driven by increased investments in marketing and advertising to increase brand awareness and support strategic growth initiatives. The increase in other general and administrative expenses was principally driven by new corporate expenses in preparation for and support of our operations as a public company, new showroom pre-opening costs and a contribution to fund the Brilliant Earth Foundation. The increase in employment expenses was principally driven by the addition of corporate and showroom staff, lower comparative employment expenses in 2020 due to temporary COVID-related staffing changes and an increase in equity-based compensation.</w:t>
      </w:r>
    </w:p>
    <w:p>
      <w:pPr>
        <w:spacing w:after="0" w:line="20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granted new restricted stock units (“RSUs”) and stock options in conjunction with the IPO, as well as additional RSUs grants subsequent to the IPO. Future financial results will reflect equity-based compensation that is likely to be higher than what is reflected in the current year's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for the year ended December 31, 2021 increased by $2.6 million, or 53.6%, primarily due to an increase in the principal balance in our debt financing from $35.0 million to $65.0 million in the fourth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5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Other expense, net for the year ended December 31, 2021 increased by $6.5 million primarily due to a $6.3 million increase in the fair market value of warrants, which were classified as liabilities and marked to market each reporting period until the warrants were exercised during the IPO process.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Brilliant Earth Group, Inc.</w:t>
      </w:r>
      <w:r>
        <w:rPr>
          <w:rFonts w:ascii="Arial" w:cs="Arial" w:eastAsia="Arial" w:hAnsi="Arial"/>
          <w:sz w:val="15"/>
          <w:szCs w:val="15"/>
          <w:color w:val="auto"/>
        </w:rPr>
        <w:t>’</w:t>
      </w:r>
      <w:r>
        <w:rPr>
          <w:rFonts w:ascii="Arial" w:cs="Arial" w:eastAsia="Arial" w:hAnsi="Arial"/>
          <w:sz w:val="17"/>
          <w:szCs w:val="17"/>
          <w:color w:val="auto"/>
        </w:rPr>
        <w:t>s income tax benefit was $0.3 million for the period from September 23, 2021 to December 31, 2021. Brilliant Earth Group, Inc. had no business transactions or activities prior to the IPO, and accordingly, no amounts related to income taxes were incurred by the Company. The effective tax rate is a benefit of 26.1% which differs from the expected rate of 21.0% due to the equity interest in earnings of subsidiary not being taxable (permanent difference), the loss from the investee per K-1 (inside basis difference), and the loss from the step up in outside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Allocable to Non-Controlling Interests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net income allocable to the non-controlling interests (“NCI”) of Brilliant Earth, LLC for the year ended December 31, 2021 was $24.7 million, which is all of the earnings of the Company through September 22, 2021 (the date of the Reorganization Transactions) and 89.9% of pre-tax earnings of the Company for the period September 22, 2021 through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our statements of operations for the years ended December 31, 2020 and 2019, including amounts and percentages of net sales for each year and the year-to-year change in dollars and percent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For the years ended December 31,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Year over year change</w:t>
            </w: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8"/>
                <w:szCs w:val="18"/>
                <w:color w:val="auto"/>
              </w:rPr>
            </w:pPr>
          </w:p>
        </w:tc>
        <w:tc>
          <w:tcPr>
            <w:tcW w:w="14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Consolidated statements of operations data*:</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251,820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201,343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50,477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25.1 %</w:t>
            </w: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55.4 %</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23,097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17"/>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112,302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44.6 %</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42.2 %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27,380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32.2 %</w:t>
            </w: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33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85,710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90,317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(4,607)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Income (loss)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31,987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3"/>
        </w:trPr>
        <w:tc>
          <w:tcPr>
            <w:tcW w:w="33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119.0 %</w:t>
            </w: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47"/>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21,576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(7,778)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29,354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886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Amounts may not sum due to rounding</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 - Not meaningful</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Net sales for the year ended December 31, 2020 increased by $50.5 million, or 25.1%, compared to the year ended December 31, 2019. While in-store customer traffic decreased due to the COVID-19 pandemic, we experienced increases in net sales across our products, in both domestic and international markets, primarily driven by a 29.7% increase in order volumes due to:</w:t>
      </w:r>
    </w:p>
    <w:p>
      <w:pPr>
        <w:spacing w:after="0" w:line="21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improved efficiency of our customer acquisition and conversion activities;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orders driven by continued consumer migration to online retail channels; and</w:t>
      </w:r>
    </w:p>
    <w:p>
      <w:pPr>
        <w:spacing w:after="0" w:line="9"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orders from the opening of new showrooms in Philadelphia (November 2019) and Atlanta (October 2020), as well as a new virtual sales appointment offering (second quarter of 2020).</w:t>
      </w:r>
    </w:p>
    <w:p>
      <w:pPr>
        <w:spacing w:after="0" w:line="1" w:lineRule="exact"/>
        <w:rPr>
          <w:rFonts w:ascii="Arial" w:cs="Arial" w:eastAsia="Arial" w:hAnsi="Arial"/>
          <w:sz w:val="18"/>
          <w:szCs w:val="18"/>
          <w:color w:val="auto"/>
        </w:rPr>
      </w:pPr>
    </w:p>
    <w:p>
      <w:pPr>
        <w:ind w:left="660" w:right="220" w:hanging="328"/>
        <w:spacing w:after="0" w:line="249"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18"/>
          <w:szCs w:val="18"/>
          <w:color w:val="auto"/>
        </w:rPr>
        <w:t>The increase in order volumes was partially offset by a decrease in AOV on a year-over-year basis. AOV for the year ended December 31, 2020 was 3.6% lower compared to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Gross profit for the year ended December 31, 2020 increased by $27.4 million, or 32.2%, compared to the year ended December 31, 2019. Gross margin, expressed as a percentage and calculated as gross profit divided by net sales, increased by 242 basis points for the year ended December 31, 2020 compared to the year ended December 31, 2019 driven by enhancements to our pricing algorithms and procurement efficiencies. These improvements were partially offset by higher precious metals prices, as evidenced by average gold and platinum spot prices increasing by approximately 27% and 3%, respectively, for the year ended December 31, 2020 as compared to the year ended December 31, 2019. The margin improvements were also partially offset by higher costs from temporary COVID-related changes to our supplier mix and shipping methods.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SG&amp;A expenses for the year ended December 31, 2020 decreased by $4.6 million, or 5.1%. SG&amp;A expenses as a percentage of net sales decreased by 1,092 basis points in the year ended December 31, 2020 compared to the year ended December 31, 2019. The decrease in operating expenses, as a percentage of net sales, was primarily driven by a decrease in marketing expenses which, as a percentage of net sales, represented a decline of 970 basis points from 2019 to 2020. This decline was largely attributable to improved efficiency of our customer acquisition and conversion activities. In addition, we improved operating leverage from employee-related costs, which declined, as a percentage of net sales, by 100 basis points from the year ended December 31, 2019 as compared to the year ended December 31, 2020, which was partially driven by temporary COVID-related staffing changes.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for the year ended December 31, 2020 increased by $2.7 million, or 119.0%, primarily due to an increase in the gross principal balance in our debt financing from $11.0 million to $35.0 million in the second half of 2019.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5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Adjusted EBITDA and Adjusted EBITDA margin, which are non-GAAP financial measures, are included in this Annual Report on Form 10-K because they are used by management and our board of directors to assess our financial performance. We define Adjusted EBITDA as net income (loss) excluding interest expense, income taxes, depreciation and amortization expense, equity-based compensation expense, showroom pre-opening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(loss) that may vary substantially in frequency and magnitude from period to period. These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Adjusted EBITDA and Adjusted EBITDA margin to its most directly comparable GAAP financial measure, net income (loss) and net income (loss) margin, are presented below.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encourage you to review the reconciliations in conjunction with the presentation of the non-GAAP financial measures for each of the years presented. In future years, we may exclude similar items, may incur income and expenses similar to these excluded items, and may include other expenses, costs and non-recurring items.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net income (loss) and net income (loss) margin, the most comparable GAAP financial measures,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and Adjusted EBITDA margin, respectively, for the years presented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83185</wp:posOffset>
            </wp:positionV>
            <wp:extent cx="3282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33"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3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26,256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21,576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(7,778)</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7,589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2,257</w:t>
            </w:r>
          </w:p>
        </w:tc>
      </w:tr>
      <w:tr>
        <w:trPr>
          <w:trHeight w:val="27"/>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622</w:t>
            </w:r>
          </w:p>
        </w:tc>
      </w:tr>
      <w:tr>
        <w:trPr>
          <w:trHeight w:val="27"/>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Showroom pre-opening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227</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7"/>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color w:val="auto"/>
              </w:rPr>
              <w:t xml:space="preserve">Transaction costs and other expense </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8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50,484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27,526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(4,503)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260" w:right="120" w:hanging="252"/>
        <w:spacing w:after="0" w:line="266" w:lineRule="auto"/>
        <w:tabs>
          <w:tab w:leader="none" w:pos="221"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Other expense, net for the year ended December 31, 2021 consists primarily of the change in fair value of the warrant liability necessary to mark our warrants to fair market value. Please see Note 1, </w:t>
      </w:r>
      <w:r>
        <w:rPr>
          <w:rFonts w:ascii="Arial" w:cs="Arial" w:eastAsia="Arial" w:hAnsi="Arial"/>
          <w:sz w:val="13"/>
          <w:szCs w:val="13"/>
          <w:i w:val="1"/>
          <w:iCs w:val="1"/>
          <w:color w:val="auto"/>
        </w:rPr>
        <w:t>Business and Organization</w:t>
      </w:r>
      <w:r>
        <w:rPr>
          <w:rFonts w:ascii="Arial" w:cs="Arial" w:eastAsia="Arial" w:hAnsi="Arial"/>
          <w:sz w:val="13"/>
          <w:szCs w:val="13"/>
          <w:color w:val="auto"/>
        </w:rPr>
        <w:t xml:space="preserve"> in our audited consolidated financial statements included elsewhere in this Annual Report on Form 10-K for more information. Additionally, these expenses for all periods presented include losses on exchange rates on consumer payments, partially offset by interest and other miscellaneous income.</w:t>
      </w:r>
    </w:p>
    <w:p>
      <w:pPr>
        <w:ind w:left="260" w:right="400" w:hanging="252"/>
        <w:spacing w:after="0" w:line="255" w:lineRule="auto"/>
        <w:tabs>
          <w:tab w:leader="none" w:pos="22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These expenses are those that we did not incur in the normal course of business. They include expenses related to professional fees in connection with the evaluation and preparation for operations as a public company, a charitable donation and one-time costs associated with the opening of a new operations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and cash equivalents, and borrowings under our Term Loan. We have historically had negative working capital driven by our high inventory turns and typical collection of payment from customers prior to payment of suppliers. As of December 31, 2021, we had a cash balance, excluding restricted cash, of $172.9 million, and working capital, excluding cash, of $(59.7) million.</w:t>
      </w:r>
    </w:p>
    <w:p>
      <w:pPr>
        <w:spacing w:after="0" w:line="21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addition, we have a Term Loan with a principal balance of $65.0 million, excluding unamortized debt issuance costs of $1.4 million, of which $34.2 million is classified as long-term.</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lease our showrooms and headquarters office space under non-cancelable lease agreements whereby $3.5 million is due in the year ended December 31, 2022. Total future lease payments as of December 31, 2021 are $25.2 million.</w:t>
      </w:r>
    </w:p>
    <w:p>
      <w:pPr>
        <w:spacing w:after="0" w:line="19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the year ended December 31, 2021, the Company declared and paid $21.4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Notwithstanding our obligations under the TRA discussed below, we believe that our current sources of liquidity, which include cash, and net cash provided by operating activities, will be sufficient to meet our projected operating, debt service, and tax distribution requirements for at least the next 12 months. We have capital commitments of $1.6 million related to the opening of new locations as of December 31, 2021, and we had no principal repayments due in 2021, $30.8 million of principal repayments due in 2022, and $34.2 million of principal due in 2023 on our Term Loan. As further described below, we have an additional final payment of $3.2 million due in 2023 on our Term Loan.</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 future liquidity needs may include public company costs,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 — Comparison of Years Ended December 31,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2021 and 2020 (in thousands):</w:t>
      </w:r>
    </w:p>
    <w:p>
      <w:pPr>
        <w:spacing w:after="0" w:line="302"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9"/>
              </w:rPr>
              <w:t>Years ended December 31,</w:t>
            </w:r>
          </w:p>
        </w:tc>
      </w:tr>
      <w:tr>
        <w:trPr>
          <w:trHeight w:val="27"/>
        </w:trPr>
        <w:tc>
          <w:tcPr>
            <w:tcW w:w="6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7"/>
        </w:trPr>
        <w:tc>
          <w:tcPr>
            <w:tcW w:w="6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26,723</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7"/>
        </w:trPr>
        <w:tc>
          <w:tcPr>
            <w:tcW w:w="622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106,596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25,876</w:t>
            </w: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r>
      <w:tr>
        <w:trPr>
          <w:trHeight w:val="263"/>
        </w:trPr>
        <w:tc>
          <w:tcPr>
            <w:tcW w:w="62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66,474</w:t>
            </w:r>
          </w:p>
        </w:tc>
      </w:tr>
      <w:tr>
        <w:trPr>
          <w:trHeight w:val="20"/>
        </w:trPr>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provided by operating activities was $46.1 million for the year ended December 31, 2021, consisting of $26.3 million in net income adjusted for $11.4 million in non-cash expense addbacks, primarily composed of the change in fair value of warrants, equity based compensation, amortization of debt issuance costs and depreciation expense, plus a $8.4 million increase from changes in assets and liabilities related to operating activities. The change in assets and liabilities related to operating activities, which is the result of the growth of our business, primarily reflects a $25.2 million increase in accounts payable, accrued expenses and other current liabilities, deferred revenue, and deferred rent, offset by $16.8 million increase in inventories, prepaid expenses and other current assets, and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Net cash provided by operating activities was $26.7 million for the year ended December 31, 2020, consisting of $21.6 million in net income adjusted for $1.9 million in non-cash expense addbacks, primarily composed of depreciation and amortization of debt issuance costs, plus a $3.2 million increase from changes in assets and liabilities related to operating activities. The change in assets and liabilities related to operating activities, which is the result of our revenue growth, primarily reflects a $6.7 million increase in accounts payable, accrued expenses, and other current liabilities, and deferred revenue, offset by a $3.5 million increase in inventory, prepaid expenses and other current assets.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cash used in investing activities was $5.6 million for the year ended December 31, 2021, which primarily consisted of purchases of property and equipment related to new facilities leased during the year ended December 31, 2021.</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had limited investing activities for the year ended December 31, 2020 due to a curtailing of capital spending during the COVID-19 pandemic and the nature of the business not being capital intensive.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Net cash provided by financing activities was $66.1 million for the year ended December 31, 2021. We received net proceeds of $101.6 million, after deducting underwriting discounts and offering costs from the IPO. This was partially offset by $14.0 million paid to Continuing Equity Owners for the redemption of LLC Units, and $21.4 million paid to members for tax distributions.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December 2020, we extended our Term Loan with an additional draw of $30.0 million, excluding debt issuance costs, which we used to finance a special distribution to our members. During the year ended December 31, 2020, we obtained a PPP Loan for $2.7 million, which we elected to repay in full in December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 — Comparison of Years Ended December 31, 2020 and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2020 and 2019 and (in thousands):</w:t>
      </w:r>
    </w:p>
    <w:p>
      <w:pPr>
        <w:spacing w:after="0" w:line="59"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8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26,723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6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22,603</w:t>
            </w:r>
          </w:p>
        </w:tc>
      </w:tr>
      <w:tr>
        <w:trPr>
          <w:trHeight w:val="237"/>
        </w:trPr>
        <w:tc>
          <w:tcPr>
            <w:tcW w:w="624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25,876</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22,492</w:t>
            </w:r>
          </w:p>
        </w:tc>
      </w:tr>
      <w:tr>
        <w:trPr>
          <w:trHeight w:val="27"/>
        </w:trPr>
        <w:tc>
          <w:tcPr>
            <w:tcW w:w="6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40,598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18,106</w:t>
            </w:r>
          </w:p>
        </w:tc>
      </w:tr>
      <w:tr>
        <w:trPr>
          <w:trHeight w:val="263"/>
        </w:trPr>
        <w:tc>
          <w:tcPr>
            <w:tcW w:w="62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year</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66,474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40,598</w:t>
            </w:r>
          </w:p>
        </w:tc>
      </w:tr>
      <w:tr>
        <w:trPr>
          <w:trHeight w:val="21"/>
        </w:trPr>
        <w:tc>
          <w:tcPr>
            <w:tcW w:w="6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Net cash provided by operating activities was $26.7 million for the year ended December 31, 2020, consisting of $21.6 million in net income adjusted for $1.9 million in non-cash expense addbacks, primarily composed of depreciation and amortization of debt issuance costs, plus a $3.2 million increase from changes in assets and liabilities related to operating activities. The change in assets and liabilities related to operating activities, which is the result of our revenue growth, primarily reflects a $6.7 million increase in accounts payable, accrued expenses and other current liabilities, and deferred revenue, offset by a $3.5 million increase in inventory,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Net cash provided by operating activities was $0.6 million for the year ended December 31, 2019, consisting of a net loss of $7.8 million adjusted for $1.0 million in non-cash addbacks, plus a $7.4 million increase from changes in assets and liabilities related to operating activities. The change in assets and liabilities related to operating activities, which is the result of our revenue growth, primarily reflects a $10.9 million increase in accounts payable, accrued expenses and other current liabilities, and deferred revenue, offset by a $3.5 million increase in inventory, and prepaid expenses and other current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had limited investing activities for the years ended December 31, 2020 and 2019 due to the nature of the business not being capital intensive.</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December 2020, we extended our Term Loan with an additional draw of $30.0 million, excluding debt issuance costs, which we used to finance a special distribution to our members. During the year ended December 31, 2020, we obtained a PPP Loan for $2.7 million, which we elected to repay in full in December 2020.</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year ended December 31, 2019, we entered into the Term Loan for $35.0 million, excluding debt issuance costs, to pay off a loan from related parties of $11.0 million, and used the excess to improve our financial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September 30, 2019, we entered into a Loan and Security Agreement with Runway Growth Finance Corp. (f/k/a Runway Growth Credit Fund Inc.) (“Runway”) which provided for a first tranche of loans in an aggregate principal amount up to $35.0 million available immediately and a second tranche of loans in an aggregate principal amount up to $5.0 million (“Original Term Loan”). On December 17, 2020, the Original Term Loan was amended to add a commitment for supplemental second tranche loans in the aggregate amount of up to $30.0 million (the “First Amendment”). On August 6, 2021, the Original Term Loan was amended to permit (1) a transfer of $1.0 million to the Brilliant Earth Foundation, and (2) additional amounts up to 5.00% of our annual net profits thereafter provided that there is not an event of default that has not been cured (the “Second Amendment”). On August 29, 2021, the Original Term Loan was amended to, among other matters, permit the Reorganization Transactions to be consummated by us in connection with the Up-C structure, and reduce the interest rate of the Term Loan (the “Third Amendment”, and the Original Term Loan, as amended by the First Amendment, the Second Amendment, and the Third Amendment, the “Term Loan”). The maturity date of the Term Loan is October 15, 2023, and as of December 31, 2021, we complied with all covenants under the Term Loan.</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Term Loan carries an interest rate equal to LIBOR, with a floor of 0.50%, plus 7.75%, unless LIBOR becomes no longer available or ceases to accurately or fairly cover or reflect the costs of the lender, in which case the applicable interest rate shall be Prime Rate, with a floor of 3.35%, plus 4.90%. We are required to make interest-only payments on the Term Loan through April 15, 2022 (the “Amortization Date”). The Term Loan will begin amortizing on the Amortization Date, with equal monthly payments of principal, which would fully amortize the principal amount of the Term Loan by October 15, 2023, plus interest being made by us to Runway in consecutive monthly installments until October 15, 2023. The Term Loan carries a prepayment fee of</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3.00% declining to 0.00% based on the anniversary date of payment; and a final payment fee equal to 4.50% of the principal amount repaid upon maturity or prepayment, plus $0.2 million. In the event that we choose to partially prepay the Term Loan, we are obligated to make a partial final payment on the date of such prepayment.</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Loan is secured by substantially all of the assets of the Company and requires us to comply with various affirmative and negative debt covenants. The affirmative covenants include meeting reporting requirements, such as monthly financial statements and compliance certificates, board observer rights, annual operating budget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financial projections, annual audited financial statements, federal tax returns, and other requirements. The negative covenants contain requirements that restrict our ability to create, incur, assume, or be liable for any indebtedness, incur liens, make distributions, make investments, dispose of assets, engage in mergers or acquisitions, or effect a change in business, management, ownership, or business locations, and other restrictive requirements. In addition, the financial covenants require us to reach the minimum liquidity requirements of cash and cash equivalents in deposit accounts secured in favor of Runway in an amount not less than the sum of (a) projected negative cash flow from operations (including interest payments due in respect of any indebtedness) for the immediately following six (6) months, plus (b) projected capital expenditures on property and/or equipment, including any leasing expenditures and principal repayments in respect of any indebtedness, for the immediately following six (6) months, as determined monthly on the last day of each month. For additional information regarding our long-term debt activity, see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to the audited consolidated financial statements included elsewhere in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Liquidity Requirements after Completion of Offering</w:t>
      </w:r>
    </w:p>
    <w:p>
      <w:pPr>
        <w:spacing w:after="0" w:line="25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a holding company and have no material assets other than our ownership of LLC Interests. We have no independent means of generating revenue. The Brilliant Earth LLC Agreement in effect since the time of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2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Regarding the ability of Brilliant Earth, LLC to make distributions to us, the terms of their financing arrangements, including the Term Loan Agreement,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2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Factors—Risks Related to Our Organizational Structure.”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From time to time in the normal course of business, the Company will enter into agreements with suppliers or service providers. As of December 31, 2021, unconditional future minimum payments under agreements to purchase services primarily related to software maintenance and marketing and advertising spending. The Company does not have a material amount of purchase obligations from contracts with remaining term in excess of 12 months. For additional information on our contractual obligations and commitments, see Note 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 Note 9, </w:t>
      </w:r>
      <w:r>
        <w:rPr>
          <w:rFonts w:ascii="Arial" w:cs="Arial" w:eastAsia="Arial" w:hAnsi="Arial"/>
          <w:sz w:val="16"/>
          <w:szCs w:val="16"/>
          <w:i w:val="1"/>
          <w:iCs w:val="1"/>
          <w:color w:val="auto"/>
        </w:rPr>
        <w:t>Stockholders’ and Members’ Equity</w:t>
      </w:r>
      <w:r>
        <w:rPr>
          <w:rFonts w:ascii="Arial" w:cs="Arial" w:eastAsia="Arial" w:hAnsi="Arial"/>
          <w:sz w:val="16"/>
          <w:szCs w:val="16"/>
          <w:color w:val="auto"/>
        </w:rPr>
        <w:t xml:space="preserve"> and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our audited consolidated financial statements included elsewhere in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preparing our audited consolidated financial statements and the related notes thereto included elsewhere in this Annual Report on Form 10-K in conformity with U.S.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audited consolidated financial statements are prepared.</w:t>
      </w:r>
    </w:p>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Our significant accounting policies are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our accompanying financial statements and related notes thereto included elsewhere in this Form 10-K.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sales primarily consists of revenue from the sale of inventory, and we recognize revenue as control of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We offer a three-year extended in-house service plan, which gives rise to an additional performance obligation that is recognized over the course of the service plan. We maintain a returns asset account, less any expected costs to recover, and a refund liabilities account to record the effects of estimated product returns and sales returns and allowances, which are updated at the end of each financial reporting period with the effect of such changes accounted for in the period in which such changes occur. Our sales returns and allowance accounts are based on historical return experience and current period sales levels.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Equity-based compensation is accounted for as an expense in accordance with the fair value recognition and measurement provisions of U.S. GAAP which requires compensation cost for the grant-date fair value of equity-based awards to be recognized over the requisite service period. We account for a forfeiture when it occurs, and any compensation expense previously recognized on unvested equity-based awards will be reversed when forfeited.</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awards of restricted LLC Units is based on the fair value of the member unit underlying the awards as of the date of grant. The fair value of the underlying member units (referred to as Class M Units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conversion to common LLC Units in the IPO on a value-for-value basis) for grants prior to our IPO in September 2021 was determined by considering a number of objective, subjective and highly complex factors including independent third-party valuations of our member units, operating and financial performance, the lack of liquidity of member units and general and industry specific economic outlook among other factors. We do not anticipate issuing any new restricted LLC Units.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RSUs, all of which were granted at the time of the IPO or thereafter, is based on the fair value of the Class A common stock at the time of grant.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elected to use the “simplified method” to determine the expected term which is the midpoint between the vesting date and the end of the contractual term because it has insufficient history upon which to base an assumption about the term; we believe the simplified method approximates a term if it were to be based on expected life. The expected dividend yield is nil as we have not paid and do not anticipate paying dividends on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 and Tax Receivable Agreement</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may receive a deferred tax benefit resulting from the step-up in basis which occurs in the event that we redeem LLC interests from the Continuing Equity Owners. Pursuant to a TRA entered into by Brilliant Earth, LLC and the Continuing Equity Owners, we will make payments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w:t>
      </w:r>
    </w:p>
    <w:p>
      <w:pPr>
        <w:spacing w:after="0" w:line="2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expect that payments under the TRA will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and assessment of the book basis of the redeemed LLC interests at the time of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amounts to be recorded for both the deferred tax asset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 We currently believe that all deferred tax assets will be recovered based upon the projected profitability of our operations. Judgement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accompanying financial statements and related notes thereto included elsewhere in this Form 10-K for additional information regarding recent accounting developments and their impact on our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w:t>
      </w:r>
    </w:p>
    <w:p>
      <w:pPr>
        <w:jc w:val="both"/>
        <w:ind w:right="120" w:firstLine="8"/>
        <w:spacing w:after="0" w:line="253" w:lineRule="auto"/>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audited consolidated financial statements may not be comparable to companies that comply with new or revised accounting pronouncements as of public company effective dates.</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foreign currency, inflation and commodity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cash and cash equivalents consist of cash and money market funds in government securities. The primary objective of our investment activities is to preserve principal while increasing income without significantly increasing risk. Because our cash and cash equivalents have a relatively short maturity, our portfolio’s fair value is relatively insensitive to interest rate changes. We do not believe that an increase or decrease in interest rates of 10% would have a material effect on our operating results or financial condition. In future periods, we will continue to evaluate our investment policy in order to ensure that we continue to meet our overall objectives.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on our term loan is based on a fixed rate of 7.75% plus LIBOR with a floor of 0.50% per annum. A 10% change in interest rates would not result in a material change to the annual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Over 90% of sales are to customers in the United States (“U.S.”); sales to non-U.S. customers immediately settle in U.S. Dollars and no cash balances are carried in foreign currencies.</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do not believe that fluctuations in exchange rates have had a material effect on our historical operating results or financial condition. In future periods, we will continue to evaluate fluctuations in currency exchange rates and the requirements of currency control regulations, which might impact the conversion of other currencies into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and Commodity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results are subject to risks associated with inflation including to the cost of inventory, compensation expenses, and other costs.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results are also subject to fluctuations in the supply and market pricing of diamonds, gold, platinum and certain other precious metals and gemstones, all of which are key raw material components of our products. We manage exposure to market risk through certain operating activities. We do not currently deploy the use of financial derivatives as a hedge against fluctuations in precious metal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9060" w:type="dxa"/>
            <w:vAlign w:val="bottom"/>
            <w:gridSpan w:val="11"/>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906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80" w:type="dxa"/>
            <w:vAlign w:val="bottom"/>
            <w:gridSpan w:val="4"/>
          </w:tcPr>
          <w:p>
            <w:pPr>
              <w:ind w:left="60"/>
              <w:spacing w:after="0"/>
              <w:rPr>
                <w:sz w:val="20"/>
                <w:szCs w:val="20"/>
                <w:color w:val="auto"/>
              </w:rPr>
            </w:pPr>
            <w:r>
              <w:rPr>
                <w:rFonts w:ascii="Arial" w:cs="Arial" w:eastAsia="Arial" w:hAnsi="Arial"/>
                <w:sz w:val="18"/>
                <w:szCs w:val="18"/>
                <w:b w:val="1"/>
                <w:bCs w:val="1"/>
                <w:color w:val="auto"/>
              </w:rPr>
              <w:t>Index to the Financial Statements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gridSpan w:val="3"/>
          </w:tcPr>
          <w:p>
            <w:pPr>
              <w:ind w:left="320"/>
              <w:spacing w:after="0"/>
              <w:rPr>
                <w:sz w:val="20"/>
                <w:szCs w:val="20"/>
                <w:color w:val="auto"/>
              </w:rPr>
            </w:pPr>
            <w:r>
              <w:rPr>
                <w:rFonts w:ascii="Arial" w:cs="Arial" w:eastAsia="Arial" w:hAnsi="Arial"/>
                <w:sz w:val="18"/>
                <w:szCs w:val="18"/>
                <w:color w:val="auto"/>
              </w:rPr>
              <w:t>Page</w:t>
            </w:r>
          </w:p>
        </w:tc>
      </w:tr>
      <w:tr>
        <w:trPr>
          <w:trHeight w:val="27"/>
        </w:trPr>
        <w:tc>
          <w:tcPr>
            <w:tcW w:w="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(BDO</w:t>
            </w:r>
            <w:r>
              <w:rPr>
                <w:rFonts w:ascii="Arial" w:cs="Arial" w:eastAsia="Arial" w:hAnsi="Arial"/>
                <w:sz w:val="18"/>
                <w:szCs w:val="18"/>
                <w:color w:val="0000FF"/>
              </w:rPr>
              <w:t xml:space="preserve"> </w:t>
            </w:r>
            <w:r>
              <w:rPr>
                <w:rFonts w:ascii="Arial" w:cs="Arial" w:eastAsia="Arial" w:hAnsi="Arial"/>
                <w:sz w:val="18"/>
                <w:szCs w:val="18"/>
                <w:color w:val="000000"/>
              </w:rPr>
              <w:t>USA, LLP; Denver, Colorado; PCAOB ID #243)</w:t>
            </w:r>
          </w:p>
        </w:tc>
        <w:tc>
          <w:tcPr>
            <w:tcW w:w="940" w:type="dxa"/>
            <w:vAlign w:val="bottom"/>
            <w:gridSpan w:val="2"/>
          </w:tcPr>
          <w:p>
            <w:pPr>
              <w:jc w:val="right"/>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85</w:t>
              </w:r>
            </w:hyperlink>
          </w:p>
        </w:tc>
        <w:tc>
          <w:tcPr>
            <w:tcW w:w="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86">
              <w:r>
                <w:rPr>
                  <w:rFonts w:ascii="Arial" w:cs="Arial" w:eastAsia="Arial" w:hAnsi="Arial"/>
                  <w:sz w:val="18"/>
                  <w:szCs w:val="18"/>
                  <w:color w:val="0000FF"/>
                  <w:w w:val="88"/>
                </w:rPr>
                <w:t>Consolidated Balance Sheets</w:t>
              </w:r>
            </w:hyperlink>
          </w:p>
        </w:tc>
        <w:tc>
          <w:tcPr>
            <w:tcW w:w="2160" w:type="dxa"/>
            <w:vAlign w:val="bottom"/>
            <w:tcBorders>
              <w:top w:val="single" w:sz="8" w:color="0000FF"/>
            </w:tcBorders>
            <w:gridSpan w:val="4"/>
          </w:tcPr>
          <w:p>
            <w:pPr>
              <w:spacing w:after="0"/>
              <w:rPr>
                <w:sz w:val="24"/>
                <w:szCs w:val="24"/>
                <w:color w:val="auto"/>
              </w:rPr>
            </w:pPr>
          </w:p>
        </w:tc>
        <w:tc>
          <w:tcPr>
            <w:tcW w:w="478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87</w:t>
              </w:r>
            </w:hyperlink>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Consolidated Statements of Operations</w:t>
              </w:r>
            </w:hyperlink>
          </w:p>
        </w:tc>
        <w:tc>
          <w:tcPr>
            <w:tcW w:w="622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89</w:t>
              </w:r>
            </w:hyperlink>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040" w:type="dxa"/>
            <w:vAlign w:val="bottom"/>
            <w:gridSpan w:val="10"/>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Consolidated Statements of Changes in Redeemable Convertible Preferred Units and Equity/ Members</w:t>
              </w:r>
            </w:hyperlink>
            <w:r>
              <w:rPr>
                <w:rFonts w:ascii="Arial" w:cs="Arial" w:eastAsia="Arial" w:hAnsi="Arial"/>
                <w:sz w:val="16"/>
                <w:szCs w:val="16"/>
                <w:u w:val="single" w:color="auto"/>
                <w:color w:val="000000"/>
              </w:rPr>
              <w:t>’</w:t>
            </w:r>
            <w:r>
              <w:rPr>
                <w:rFonts w:ascii="Arial" w:cs="Arial" w:eastAsia="Arial" w:hAnsi="Arial"/>
                <w:sz w:val="18"/>
                <w:szCs w:val="18"/>
                <w:color w:val="0000FF"/>
              </w:rPr>
              <w:t xml:space="preserve"> </w:t>
            </w:r>
            <w:hyperlink w:anchor="page89">
              <w:r>
                <w:rPr>
                  <w:rFonts w:ascii="Arial" w:cs="Arial" w:eastAsia="Arial" w:hAnsi="Arial"/>
                  <w:sz w:val="18"/>
                  <w:szCs w:val="18"/>
                  <w:color w:val="0000FF"/>
                </w:rPr>
                <w:t>(Deficit)</w:t>
              </w:r>
            </w:hyperlink>
          </w:p>
        </w:tc>
        <w:tc>
          <w:tcPr>
            <w:tcW w:w="940" w:type="dxa"/>
            <w:vAlign w:val="bottom"/>
            <w:gridSpan w:val="2"/>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90</w:t>
              </w:r>
            </w:hyperlink>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420" w:type="dxa"/>
            <w:vAlign w:val="bottom"/>
            <w:tcBorders>
              <w:top w:val="single" w:sz="8" w:color="0000FF"/>
            </w:tcBorders>
            <w:gridSpan w:val="7"/>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Consolidated Statement of Cash Flows</w:t>
              </w:r>
            </w:hyperlink>
          </w:p>
        </w:tc>
        <w:tc>
          <w:tcPr>
            <w:tcW w:w="40" w:type="dxa"/>
            <w:vAlign w:val="bottom"/>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91</w:t>
              </w:r>
            </w:hyperlink>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Notes to the Consolidated Financial Statements</w:t>
              </w:r>
            </w:hyperlink>
          </w:p>
        </w:tc>
        <w:tc>
          <w:tcPr>
            <w:tcW w:w="5620" w:type="dxa"/>
            <w:vAlign w:val="bottom"/>
            <w:gridSpan w:val="5"/>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93</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4" w:right="1440"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19" w:lineRule="auto"/>
        <w:rPr>
          <w:sz w:val="20"/>
          <w:szCs w:val="20"/>
          <w:color w:val="auto"/>
        </w:rPr>
      </w:pPr>
      <w:r>
        <w:rPr>
          <w:rFonts w:ascii="Arial" w:cs="Arial" w:eastAsia="Arial" w:hAnsi="Arial"/>
          <w:sz w:val="18"/>
          <w:szCs w:val="18"/>
          <w:color w:val="auto"/>
        </w:rPr>
        <w:t>Brilliant Earth Group, Inc.</w:t>
      </w:r>
    </w:p>
    <w:p>
      <w:pPr>
        <w:spacing w:after="0"/>
        <w:rPr>
          <w:sz w:val="20"/>
          <w:szCs w:val="20"/>
          <w:color w:val="auto"/>
        </w:rPr>
      </w:pPr>
      <w:r>
        <w:rPr>
          <w:rFonts w:ascii="Arial" w:cs="Arial" w:eastAsia="Arial" w:hAnsi="Arial"/>
          <w:sz w:val="18"/>
          <w:szCs w:val="18"/>
          <w:color w:val="auto"/>
        </w:rPr>
        <w:t>San Francisco, California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audited the accompanying consolidated balance sheets of Brilliant Earth Group, Inc. (the “Company”) as of December 31, 2021 and 2020, the related consolidated statements of operations, changes in redeemable convertible preferred units and equity/members’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19" w:lineRule="auto"/>
        <w:rPr>
          <w:sz w:val="20"/>
          <w:szCs w:val="20"/>
          <w:color w:val="auto"/>
        </w:rPr>
      </w:pPr>
      <w:r>
        <w:rPr>
          <w:rFonts w:ascii="Arial" w:cs="Arial" w:eastAsia="Arial" w:hAnsi="Arial"/>
          <w:sz w:val="18"/>
          <w:szCs w:val="18"/>
          <w:color w:val="auto"/>
        </w:rPr>
        <w:t>We have served as the Company's auditor since 2021</w:t>
      </w:r>
    </w:p>
    <w:p>
      <w:pPr>
        <w:spacing w:after="0" w:line="219" w:lineRule="auto"/>
        <w:rPr>
          <w:sz w:val="20"/>
          <w:szCs w:val="20"/>
          <w:color w:val="auto"/>
        </w:rPr>
      </w:pPr>
      <w:r>
        <w:rPr>
          <w:rFonts w:ascii="Arial" w:cs="Arial" w:eastAsia="Arial" w:hAnsi="Arial"/>
          <w:sz w:val="18"/>
          <w:szCs w:val="18"/>
          <w:color w:val="auto"/>
        </w:rPr>
        <w:t>Denver, Colorado</w:t>
      </w:r>
    </w:p>
    <w:p>
      <w:pPr>
        <w:spacing w:after="0"/>
        <w:rPr>
          <w:sz w:val="20"/>
          <w:szCs w:val="20"/>
          <w:color w:val="auto"/>
        </w:rPr>
      </w:pPr>
      <w:r>
        <w:rPr>
          <w:rFonts w:ascii="Arial" w:cs="Arial" w:eastAsia="Arial" w:hAnsi="Arial"/>
          <w:sz w:val="18"/>
          <w:szCs w:val="18"/>
          <w:color w:val="auto"/>
        </w:rPr>
        <w:t>March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172,865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66,269</w:t>
            </w:r>
          </w:p>
        </w:tc>
        <w:tc>
          <w:tcPr>
            <w:tcW w:w="0" w:type="dxa"/>
            <w:vAlign w:val="bottom"/>
          </w:tcPr>
          <w:p>
            <w:pPr>
              <w:spacing w:after="0"/>
              <w:rPr>
                <w:sz w:val="1"/>
                <w:szCs w:val="1"/>
                <w:color w:val="auto"/>
              </w:rPr>
            </w:pPr>
          </w:p>
        </w:tc>
      </w:tr>
      <w:tr>
        <w:trPr>
          <w:trHeight w:val="224"/>
        </w:trPr>
        <w:tc>
          <w:tcPr>
            <w:tcW w:w="76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24,743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13,559</w:t>
            </w:r>
          </w:p>
        </w:tc>
        <w:tc>
          <w:tcPr>
            <w:tcW w:w="0" w:type="dxa"/>
            <w:vAlign w:val="bottom"/>
          </w:tcPr>
          <w:p>
            <w:pPr>
              <w:spacing w:after="0"/>
              <w:rPr>
                <w:sz w:val="1"/>
                <w:szCs w:val="1"/>
                <w:color w:val="auto"/>
              </w:rPr>
            </w:pPr>
          </w:p>
        </w:tc>
      </w:tr>
      <w:tr>
        <w:trPr>
          <w:trHeight w:val="224"/>
        </w:trPr>
        <w:tc>
          <w:tcPr>
            <w:tcW w:w="76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8,178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2,939</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current assets</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205,991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82,972</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6,732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1,986</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258</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assets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217,731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85,216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w w:val="98"/>
              </w:rPr>
              <w:t>Liabilities, redeemable convertible preferred units, and stockholders’ equity/members’ (deficit)</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14,480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10,815</w:t>
            </w:r>
          </w:p>
        </w:tc>
        <w:tc>
          <w:tcPr>
            <w:tcW w:w="0" w:type="dxa"/>
            <w:vAlign w:val="bottom"/>
          </w:tcPr>
          <w:p>
            <w:pPr>
              <w:spacing w:after="0"/>
              <w:rPr>
                <w:sz w:val="1"/>
                <w:szCs w:val="1"/>
                <w:color w:val="auto"/>
              </w:rPr>
            </w:pPr>
          </w:p>
        </w:tc>
      </w:tr>
      <w:tr>
        <w:trPr>
          <w:trHeight w:val="224"/>
        </w:trPr>
        <w:tc>
          <w:tcPr>
            <w:tcW w:w="76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28,756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17,118</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portion of deferred revenue</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18,818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10,775</w:t>
            </w: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30,789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current liabilities</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92,843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38,708</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debt issuance costs</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32,789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62,211</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Deferred rent</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662</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Payable pursuant to the Tax Receivable Agreement</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2,979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2,703</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134,893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104,284</w:t>
            </w:r>
          </w:p>
        </w:tc>
        <w:tc>
          <w:tcPr>
            <w:tcW w:w="0" w:type="dxa"/>
            <w:vAlign w:val="bottom"/>
          </w:tcPr>
          <w:p>
            <w:pPr>
              <w:spacing w:after="0"/>
              <w:rPr>
                <w:sz w:val="1"/>
                <w:szCs w:val="1"/>
                <w:color w:val="auto"/>
              </w:rPr>
            </w:pPr>
          </w:p>
        </w:tc>
      </w:tr>
      <w:tr>
        <w:trPr>
          <w:trHeight w:val="250"/>
        </w:trPr>
        <w:tc>
          <w:tcPr>
            <w:tcW w:w="76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12)</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Redeemable convertible preferred units (Class P Units) </w:t>
            </w: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66,327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33,162,444 units authorized, 32,435,595 units issued and outstanding at December 31, 2020</w:t>
            </w:r>
          </w:p>
        </w:tc>
        <w:tc>
          <w:tcPr>
            <w:tcW w:w="10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Members’ deficit -</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Class F Units - 50,954,445 units authorized, 50,232,863 units issued and outstanding at December 31, 2020; and</w:t>
            </w:r>
          </w:p>
        </w:tc>
        <w:tc>
          <w:tcPr>
            <w:tcW w:w="108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(85,395)</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Class M Units - 4,638,881 units authorized, 2,537,791 units issued and outstanding at December 31, 2020</w:t>
            </w:r>
          </w:p>
        </w:tc>
        <w:tc>
          <w:tcPr>
            <w:tcW w:w="10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Preferred stock, $0.0001 par value per share, 10,000,000 shares authorized at December 31, 2021, none issued and</w:t>
            </w:r>
          </w:p>
        </w:tc>
        <w:tc>
          <w:tcPr>
            <w:tcW w:w="108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2021</w:t>
            </w:r>
          </w:p>
        </w:tc>
        <w:tc>
          <w:tcPr>
            <w:tcW w:w="10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vMerge w:val="continue"/>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tcPr>
          <w:p>
            <w:pPr>
              <w:ind w:left="140"/>
              <w:spacing w:after="0"/>
              <w:rPr>
                <w:sz w:val="20"/>
                <w:szCs w:val="20"/>
                <w:color w:val="auto"/>
              </w:rPr>
            </w:pPr>
            <w:r>
              <w:rPr>
                <w:rFonts w:ascii="Arial" w:cs="Arial" w:eastAsia="Arial" w:hAnsi="Arial"/>
                <w:sz w:val="16"/>
                <w:szCs w:val="16"/>
                <w:color w:val="auto"/>
                <w:w w:val="97"/>
              </w:rPr>
              <w:t>Class A common stock, $0.0001 par value - 1,200,000,000 shares authorized; 9,614,523 shares issued and</w:t>
            </w:r>
          </w:p>
        </w:tc>
        <w:tc>
          <w:tcPr>
            <w:tcW w:w="108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6"/>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as of December 31, 2021</w:t>
            </w:r>
          </w:p>
        </w:tc>
        <w:tc>
          <w:tcPr>
            <w:tcW w:w="10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Class B common stock, $0.0001 par value - 150,000,000 shares authorized; 35,658,013 shares issued and</w:t>
            </w:r>
          </w:p>
        </w:tc>
        <w:tc>
          <w:tcPr>
            <w:tcW w:w="6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as of December 31, 2021</w:t>
            </w:r>
          </w:p>
        </w:tc>
        <w:tc>
          <w:tcPr>
            <w:tcW w:w="6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tcPr>
          <w:p>
            <w:pPr>
              <w:ind w:left="140"/>
              <w:spacing w:after="0"/>
              <w:rPr>
                <w:sz w:val="20"/>
                <w:szCs w:val="20"/>
                <w:color w:val="auto"/>
              </w:rPr>
            </w:pPr>
            <w:r>
              <w:rPr>
                <w:rFonts w:ascii="Arial" w:cs="Arial" w:eastAsia="Arial" w:hAnsi="Arial"/>
                <w:sz w:val="16"/>
                <w:szCs w:val="16"/>
                <w:color w:val="auto"/>
                <w:w w:val="98"/>
              </w:rPr>
              <w:t>Class C common stock, $0.0001 par value - 150,000,000 shares authorized; 49,505,250 shares issued and</w:t>
            </w:r>
          </w:p>
        </w:tc>
        <w:tc>
          <w:tcPr>
            <w:tcW w:w="6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6"/>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as of December 31, 2021</w:t>
            </w:r>
          </w:p>
        </w:tc>
        <w:tc>
          <w:tcPr>
            <w:tcW w:w="6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0"/>
              </w:rPr>
              <w:t>Class D common stock, $0.0001 par value - 150,000,000 shares authorized; no shares issued and outstanding as of</w:t>
            </w:r>
          </w:p>
        </w:tc>
        <w:tc>
          <w:tcPr>
            <w:tcW w:w="62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December 31, 2021</w:t>
            </w:r>
          </w:p>
        </w:tc>
        <w:tc>
          <w:tcPr>
            <w:tcW w:w="6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vMerge w:val="continue"/>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6,865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6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7"/>
        </w:trPr>
        <w:tc>
          <w:tcPr>
            <w:tcW w:w="7600" w:type="dxa"/>
            <w:vAlign w:val="bottom"/>
          </w:tcPr>
          <w:p>
            <w:pPr>
              <w:ind w:left="140"/>
              <w:spacing w:after="0"/>
              <w:rPr>
                <w:sz w:val="20"/>
                <w:szCs w:val="20"/>
                <w:color w:val="auto"/>
              </w:rPr>
            </w:pPr>
            <w:r>
              <w:rPr>
                <w:rFonts w:ascii="Arial" w:cs="Arial" w:eastAsia="Arial" w:hAnsi="Arial"/>
                <w:sz w:val="16"/>
                <w:szCs w:val="16"/>
                <w:b w:val="1"/>
                <w:bCs w:val="1"/>
                <w:color w:val="auto"/>
              </w:rPr>
              <w:t>Equity attributable to Brilliant Earth Group, Inc.</w:t>
            </w:r>
          </w:p>
        </w:tc>
        <w:tc>
          <w:tcPr>
            <w:tcW w:w="6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8,403</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NCI attributable to Brilliant Earth, LLC</w:t>
            </w:r>
          </w:p>
        </w:tc>
        <w:tc>
          <w:tcPr>
            <w:tcW w:w="6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74,435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equity/members’ (deficit)</w:t>
            </w:r>
          </w:p>
        </w:tc>
        <w:tc>
          <w:tcPr>
            <w:tcW w:w="6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82,838</w:t>
            </w:r>
          </w:p>
        </w:tc>
        <w:tc>
          <w:tcPr>
            <w:tcW w:w="1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(85,395)</w:t>
            </w:r>
          </w:p>
        </w:tc>
        <w:tc>
          <w:tcPr>
            <w:tcW w:w="0" w:type="dxa"/>
            <w:vAlign w:val="bottom"/>
          </w:tcPr>
          <w:p>
            <w:pPr>
              <w:spacing w:after="0"/>
              <w:rPr>
                <w:sz w:val="1"/>
                <w:szCs w:val="1"/>
                <w:color w:val="auto"/>
              </w:rPr>
            </w:pPr>
          </w:p>
        </w:tc>
      </w:tr>
      <w:tr>
        <w:trPr>
          <w:trHeight w:val="28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redeemable convertible preferred units, and stockholders’ equity/members’ (deficit)</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217,731</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85,216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(In thousands except share and per share amounts)</w:t>
      </w:r>
    </w:p>
    <w:p>
      <w:pPr>
        <w:spacing w:after="0" w:line="49"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40" w:type="dxa"/>
            <w:vAlign w:val="bottom"/>
            <w:gridSpan w:val="6"/>
          </w:tcPr>
          <w:p>
            <w:pPr>
              <w:jc w:val="right"/>
              <w:ind w:right="204"/>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380,189</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251,820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201,343</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6"/>
                <w:szCs w:val="16"/>
                <w:color w:val="auto"/>
              </w:rPr>
              <w:t>Cost of sales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86"/>
              </w:rPr>
              <w:t>192,768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139,518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116,421</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Gross profit</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187,421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112,302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84,922</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147,291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85,710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90,317</w:t>
            </w:r>
          </w:p>
        </w:tc>
        <w:tc>
          <w:tcPr>
            <w:tcW w:w="0" w:type="dxa"/>
            <w:vAlign w:val="bottom"/>
          </w:tcPr>
          <w:p>
            <w:pPr>
              <w:spacing w:after="0"/>
              <w:rPr>
                <w:sz w:val="1"/>
                <w:szCs w:val="1"/>
                <w:color w:val="auto"/>
              </w:rPr>
            </w:pPr>
          </w:p>
        </w:tc>
      </w:tr>
      <w:tr>
        <w:trPr>
          <w:trHeight w:val="217"/>
        </w:trPr>
        <w:tc>
          <w:tcPr>
            <w:tcW w:w="4460" w:type="dxa"/>
            <w:vAlign w:val="bottom"/>
          </w:tcPr>
          <w:p>
            <w:pPr>
              <w:ind w:left="660"/>
              <w:spacing w:after="0"/>
              <w:rPr>
                <w:sz w:val="20"/>
                <w:szCs w:val="20"/>
                <w:color w:val="auto"/>
              </w:rPr>
            </w:pPr>
            <w:r>
              <w:rPr>
                <w:rFonts w:ascii="Arial" w:cs="Arial" w:eastAsia="Arial" w:hAnsi="Arial"/>
                <w:sz w:val="16"/>
                <w:szCs w:val="16"/>
                <w:b w:val="1"/>
                <w:bCs w:val="1"/>
                <w:color w:val="auto"/>
              </w:rPr>
              <w:t>Income from operations</w:t>
            </w: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40,130</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26,592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(5,395)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(2,257)</w:t>
            </w:r>
          </w:p>
        </w:tc>
        <w:tc>
          <w:tcPr>
            <w:tcW w:w="0" w:type="dxa"/>
            <w:vAlign w:val="bottom"/>
          </w:tcPr>
          <w:p>
            <w:pPr>
              <w:spacing w:after="0"/>
              <w:rPr>
                <w:sz w:val="1"/>
                <w:szCs w:val="1"/>
                <w:color w:val="auto"/>
              </w:rPr>
            </w:pPr>
          </w:p>
        </w:tc>
      </w:tr>
      <w:tr>
        <w:trPr>
          <w:trHeight w:val="223"/>
        </w:trPr>
        <w:tc>
          <w:tcPr>
            <w:tcW w:w="4460" w:type="dxa"/>
            <w:vAlign w:val="bottom"/>
          </w:tcPr>
          <w:p>
            <w:pPr>
              <w:ind w:left="320"/>
              <w:spacing w:after="0"/>
              <w:rPr>
                <w:sz w:val="20"/>
                <w:szCs w:val="20"/>
                <w:color w:val="auto"/>
              </w:rPr>
            </w:pPr>
            <w:r>
              <w:rPr>
                <w:rFonts w:ascii="Arial" w:cs="Arial" w:eastAsia="Arial" w:hAnsi="Arial"/>
                <w:sz w:val="16"/>
                <w:szCs w:val="16"/>
                <w:color w:val="auto"/>
              </w:rPr>
              <w:t>Other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(6,601)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Income (loss) before tax</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(7,778)</w:t>
            </w:r>
          </w:p>
        </w:tc>
        <w:tc>
          <w:tcPr>
            <w:tcW w:w="0" w:type="dxa"/>
            <w:vAlign w:val="bottom"/>
          </w:tcPr>
          <w:p>
            <w:pPr>
              <w:spacing w:after="0"/>
              <w:rPr>
                <w:sz w:val="1"/>
                <w:szCs w:val="1"/>
                <w:color w:val="auto"/>
              </w:rPr>
            </w:pPr>
          </w:p>
        </w:tc>
      </w:tr>
      <w:tr>
        <w:trPr>
          <w:trHeight w:val="224"/>
        </w:trPr>
        <w:tc>
          <w:tcPr>
            <w:tcW w:w="4460" w:type="dxa"/>
            <w:vAlign w:val="bottom"/>
          </w:tcPr>
          <w:p>
            <w:pPr>
              <w:ind w:left="320"/>
              <w:spacing w:after="0"/>
              <w:rPr>
                <w:sz w:val="20"/>
                <w:szCs w:val="20"/>
                <w:color w:val="auto"/>
              </w:rPr>
            </w:pPr>
            <w:r>
              <w:rPr>
                <w:rFonts w:ascii="Arial" w:cs="Arial" w:eastAsia="Arial" w:hAnsi="Arial"/>
                <w:sz w:val="16"/>
                <w:szCs w:val="16"/>
                <w:color w:val="auto"/>
              </w:rPr>
              <w:t>Income tax benefit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4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Net income (loss)</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26,256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21,576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(7,778)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allocable to non-controlling interest</w:t>
            </w: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rPr>
              <w:t>24,728</w:t>
            </w: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Net income allocable to Brilliant Earth Group, Inc.</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left="1200"/>
        <w:spacing w:after="0"/>
        <w:rPr>
          <w:sz w:val="20"/>
          <w:szCs w:val="20"/>
          <w:color w:val="auto"/>
        </w:rPr>
      </w:pPr>
      <w:r>
        <w:rPr>
          <w:rFonts w:ascii="Arial" w:cs="Arial" w:eastAsia="Arial" w:hAnsi="Arial"/>
          <w:sz w:val="16"/>
          <w:szCs w:val="16"/>
          <w:b w:val="1"/>
          <w:bCs w:val="1"/>
          <w:color w:val="auto"/>
        </w:rPr>
        <w:t>Period from</w:t>
      </w:r>
    </w:p>
    <w:p>
      <w:pPr>
        <w:spacing w:after="0" w:line="26" w:lineRule="exact"/>
        <w:rPr>
          <w:sz w:val="20"/>
          <w:szCs w:val="20"/>
          <w:color w:val="auto"/>
        </w:rPr>
      </w:pPr>
    </w:p>
    <w:p>
      <w:pPr>
        <w:jc w:val="center"/>
        <w:ind w:left="1240"/>
        <w:spacing w:after="0"/>
        <w:rPr>
          <w:sz w:val="20"/>
          <w:szCs w:val="20"/>
          <w:color w:val="auto"/>
        </w:rPr>
      </w:pPr>
      <w:r>
        <w:rPr>
          <w:rFonts w:ascii="Arial" w:cs="Arial" w:eastAsia="Arial" w:hAnsi="Arial"/>
          <w:sz w:val="16"/>
          <w:szCs w:val="16"/>
          <w:b w:val="1"/>
          <w:bCs w:val="1"/>
          <w:color w:val="auto"/>
        </w:rPr>
        <w:t>September 23,</w:t>
      </w:r>
    </w:p>
    <w:p>
      <w:pPr>
        <w:spacing w:after="0" w:line="19" w:lineRule="exact"/>
        <w:rPr>
          <w:sz w:val="20"/>
          <w:szCs w:val="20"/>
          <w:color w:val="auto"/>
        </w:rPr>
      </w:pPr>
    </w:p>
    <w:p>
      <w:pPr>
        <w:jc w:val="center"/>
        <w:ind w:left="1200"/>
        <w:spacing w:after="0"/>
        <w:rPr>
          <w:sz w:val="20"/>
          <w:szCs w:val="20"/>
          <w:color w:val="auto"/>
        </w:rPr>
      </w:pPr>
      <w:r>
        <w:rPr>
          <w:rFonts w:ascii="Arial" w:cs="Arial" w:eastAsia="Arial" w:hAnsi="Arial"/>
          <w:sz w:val="16"/>
          <w:szCs w:val="16"/>
          <w:b w:val="1"/>
          <w:bCs w:val="1"/>
          <w:color w:val="auto"/>
        </w:rPr>
        <w:t>2021 to</w:t>
      </w:r>
    </w:p>
    <w:p>
      <w:pPr>
        <w:spacing w:after="0" w:line="19" w:lineRule="exact"/>
        <w:rPr>
          <w:sz w:val="20"/>
          <w:szCs w:val="20"/>
          <w:color w:val="auto"/>
        </w:rPr>
      </w:pPr>
    </w:p>
    <w:p>
      <w:pPr>
        <w:jc w:val="center"/>
        <w:ind w:left="124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33020</wp:posOffset>
            </wp:positionV>
            <wp:extent cx="583755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37555" cy="162560"/>
                    </a:xfrm>
                    <a:prstGeom prst="rect">
                      <a:avLst/>
                    </a:prstGeom>
                    <a:noFill/>
                  </pic:spPr>
                </pic:pic>
              </a:graphicData>
            </a:graphic>
          </wp:anchor>
        </w:drawing>
      </w:r>
    </w:p>
    <w:p>
      <w:pPr>
        <w:spacing w:after="0" w:line="4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Earnings per share:</w:t>
      </w:r>
    </w:p>
    <w:p>
      <w:pPr>
        <w:spacing w:after="0" w:line="69"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4040" w:type="dxa"/>
            <w:vAlign w:val="bottom"/>
          </w:tcPr>
          <w:p>
            <w:pPr>
              <w:ind w:left="320"/>
              <w:spacing w:after="0"/>
              <w:rPr>
                <w:sz w:val="20"/>
                <w:szCs w:val="20"/>
                <w:color w:val="auto"/>
              </w:rPr>
            </w:pPr>
            <w:r>
              <w:rPr>
                <w:rFonts w:ascii="Arial" w:cs="Arial" w:eastAsia="Arial" w:hAnsi="Arial"/>
                <w:sz w:val="16"/>
                <w:szCs w:val="16"/>
                <w:color w:val="auto"/>
              </w:rPr>
              <w:t>Basic</w:t>
            </w:r>
          </w:p>
        </w:tc>
        <w:tc>
          <w:tcPr>
            <w:tcW w:w="8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320" w:type="dxa"/>
            <w:vAlign w:val="bottom"/>
          </w:tcPr>
          <w:p>
            <w:pPr>
              <w:jc w:val="right"/>
              <w:ind w:right="3199"/>
              <w:spacing w:after="0"/>
              <w:rPr>
                <w:sz w:val="20"/>
                <w:szCs w:val="20"/>
                <w:color w:val="auto"/>
              </w:rPr>
            </w:pPr>
            <w:r>
              <w:rPr>
                <w:rFonts w:ascii="Arial" w:cs="Arial" w:eastAsia="Arial" w:hAnsi="Arial"/>
                <w:sz w:val="16"/>
                <w:szCs w:val="16"/>
                <w:b w:val="1"/>
                <w:bCs w:val="1"/>
                <w:color w:val="auto"/>
              </w:rPr>
              <w:t>0.16</w:t>
            </w:r>
          </w:p>
        </w:tc>
      </w:tr>
      <w:tr>
        <w:trPr>
          <w:trHeight w:val="33"/>
        </w:trPr>
        <w:tc>
          <w:tcPr>
            <w:tcW w:w="4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36"/>
        </w:trPr>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4320" w:type="dxa"/>
            <w:vAlign w:val="bottom"/>
            <w:tcBorders>
              <w:bottom w:val="single" w:sz="8" w:color="CCEEFF"/>
            </w:tcBorders>
            <w:shd w:val="clear" w:color="auto" w:fill="CCEEFF"/>
          </w:tcPr>
          <w:p>
            <w:pPr>
              <w:jc w:val="right"/>
              <w:ind w:right="3199"/>
              <w:spacing w:after="0"/>
              <w:rPr>
                <w:sz w:val="20"/>
                <w:szCs w:val="20"/>
                <w:color w:val="auto"/>
              </w:rPr>
            </w:pPr>
            <w:r>
              <w:rPr>
                <w:rFonts w:ascii="Arial" w:cs="Arial" w:eastAsia="Arial" w:hAnsi="Arial"/>
                <w:sz w:val="16"/>
                <w:szCs w:val="16"/>
                <w:b w:val="1"/>
                <w:bCs w:val="1"/>
                <w:color w:val="auto"/>
              </w:rPr>
              <w:t>0.10</w:t>
            </w:r>
          </w:p>
        </w:tc>
      </w:tr>
      <w:tr>
        <w:trPr>
          <w:trHeight w:val="224"/>
        </w:trPr>
        <w:tc>
          <w:tcPr>
            <w:tcW w:w="4040" w:type="dxa"/>
            <w:vAlign w:val="bottom"/>
          </w:tcPr>
          <w:p>
            <w:pPr>
              <w:spacing w:after="0"/>
              <w:rPr>
                <w:sz w:val="20"/>
                <w:szCs w:val="20"/>
                <w:color w:val="auto"/>
              </w:rPr>
            </w:pPr>
            <w:r>
              <w:rPr>
                <w:rFonts w:ascii="Arial" w:cs="Arial" w:eastAsia="Arial" w:hAnsi="Arial"/>
                <w:sz w:val="16"/>
                <w:szCs w:val="16"/>
                <w:color w:val="auto"/>
              </w:rPr>
              <w:t>Weighted average shares of common stock outstanding:</w:t>
            </w:r>
          </w:p>
        </w:tc>
        <w:tc>
          <w:tcPr>
            <w:tcW w:w="82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36"/>
        </w:trPr>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82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jc w:val="right"/>
              <w:ind w:right="3199"/>
              <w:spacing w:after="0"/>
              <w:rPr>
                <w:sz w:val="20"/>
                <w:szCs w:val="20"/>
                <w:color w:val="auto"/>
              </w:rPr>
            </w:pPr>
            <w:r>
              <w:rPr>
                <w:rFonts w:ascii="Arial" w:cs="Arial" w:eastAsia="Arial" w:hAnsi="Arial"/>
                <w:sz w:val="16"/>
                <w:szCs w:val="16"/>
                <w:b w:val="1"/>
                <w:bCs w:val="1"/>
                <w:color w:val="auto"/>
              </w:rPr>
              <w:t>9,590,443</w:t>
            </w:r>
          </w:p>
        </w:tc>
      </w:tr>
      <w:tr>
        <w:trPr>
          <w:trHeight w:val="224"/>
        </w:trPr>
        <w:tc>
          <w:tcPr>
            <w:tcW w:w="4040" w:type="dxa"/>
            <w:vAlign w:val="bottom"/>
          </w:tcPr>
          <w:p>
            <w:pPr>
              <w:ind w:left="320"/>
              <w:spacing w:after="0"/>
              <w:rPr>
                <w:sz w:val="20"/>
                <w:szCs w:val="20"/>
                <w:color w:val="auto"/>
              </w:rPr>
            </w:pPr>
            <w:r>
              <w:rPr>
                <w:rFonts w:ascii="Arial" w:cs="Arial" w:eastAsia="Arial" w:hAnsi="Arial"/>
                <w:sz w:val="16"/>
                <w:szCs w:val="16"/>
                <w:color w:val="auto"/>
              </w:rPr>
              <w:t>Diluted</w:t>
            </w:r>
          </w:p>
        </w:tc>
        <w:tc>
          <w:tcPr>
            <w:tcW w:w="820" w:type="dxa"/>
            <w:vAlign w:val="bottom"/>
          </w:tcPr>
          <w:p>
            <w:pPr>
              <w:spacing w:after="0"/>
              <w:rPr>
                <w:sz w:val="19"/>
                <w:szCs w:val="19"/>
                <w:color w:val="auto"/>
              </w:rPr>
            </w:pPr>
          </w:p>
        </w:tc>
        <w:tc>
          <w:tcPr>
            <w:tcW w:w="4320" w:type="dxa"/>
            <w:vAlign w:val="bottom"/>
          </w:tcPr>
          <w:p>
            <w:pPr>
              <w:jc w:val="right"/>
              <w:ind w:right="3199"/>
              <w:spacing w:after="0"/>
              <w:rPr>
                <w:sz w:val="20"/>
                <w:szCs w:val="20"/>
                <w:color w:val="auto"/>
              </w:rPr>
            </w:pPr>
            <w:r>
              <w:rPr>
                <w:rFonts w:ascii="Arial" w:cs="Arial" w:eastAsia="Arial" w:hAnsi="Arial"/>
                <w:sz w:val="16"/>
                <w:szCs w:val="16"/>
                <w:b w:val="1"/>
                <w:bCs w:val="1"/>
                <w:color w:val="auto"/>
              </w:rPr>
              <w:t>96,741,421</w:t>
            </w:r>
          </w:p>
        </w:tc>
      </w:tr>
    </w:tbl>
    <w:p>
      <w:pPr>
        <w:spacing w:after="0" w:line="356"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39" w:right="1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CHANGES IN REDEEMABLE CONVERTIBLE PREFERRED UNITS AND EQUITY/</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r>
        <w:rPr>
          <w:rFonts w:ascii="Arial" w:cs="Arial" w:eastAsia="Arial" w:hAnsi="Arial"/>
          <w:sz w:val="18"/>
          <w:szCs w:val="18"/>
          <w:b w:val="1"/>
          <w:bCs w:val="1"/>
          <w:color w:val="auto"/>
        </w:rPr>
        <w:t xml:space="preserve"> (DEFICIT)</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80" w:type="dxa"/>
            <w:vAlign w:val="bottom"/>
          </w:tcPr>
          <w:p>
            <w:pPr>
              <w:spacing w:after="0"/>
              <w:rPr>
                <w:sz w:val="11"/>
                <w:szCs w:val="11"/>
                <w:color w:val="auto"/>
              </w:rPr>
            </w:pPr>
          </w:p>
        </w:tc>
        <w:tc>
          <w:tcPr>
            <w:tcW w:w="2500" w:type="dxa"/>
            <w:vAlign w:val="bottom"/>
            <w:gridSpan w:val="10"/>
          </w:tcPr>
          <w:p>
            <w:pPr>
              <w:jc w:val="center"/>
              <w:ind w:right="80"/>
              <w:spacing w:after="0"/>
              <w:rPr>
                <w:sz w:val="20"/>
                <w:szCs w:val="20"/>
                <w:color w:val="auto"/>
              </w:rPr>
            </w:pPr>
            <w:r>
              <w:rPr>
                <w:rFonts w:ascii="Arial" w:cs="Arial" w:eastAsia="Arial" w:hAnsi="Arial"/>
                <w:sz w:val="11"/>
                <w:szCs w:val="11"/>
                <w:b w:val="1"/>
                <w:bCs w:val="1"/>
                <w:color w:val="auto"/>
                <w:w w:val="92"/>
              </w:rPr>
              <w:t>Brilliant Earth, LLC (prior to Reorganization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6"/>
              </w:rPr>
              <w:t>Transactions) Note 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13"/>
          </w:tcPr>
          <w:p>
            <w:pPr>
              <w:ind w:left="440"/>
              <w:spacing w:after="0"/>
              <w:rPr>
                <w:sz w:val="20"/>
                <w:szCs w:val="20"/>
                <w:color w:val="auto"/>
              </w:rPr>
            </w:pPr>
            <w:r>
              <w:rPr>
                <w:rFonts w:ascii="Arial" w:cs="Arial" w:eastAsia="Arial" w:hAnsi="Arial"/>
                <w:sz w:val="11"/>
                <w:szCs w:val="11"/>
                <w:b w:val="1"/>
                <w:bCs w:val="1"/>
                <w:color w:val="auto"/>
              </w:rPr>
              <w:t>Brilliant Earth Group, Inc. Stockholders’ Equity</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5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Non-</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40" w:type="dxa"/>
            <w:vAlign w:val="bottom"/>
            <w:gridSpan w:val="5"/>
          </w:tcPr>
          <w:p>
            <w:pPr>
              <w:ind w:left="40"/>
              <w:spacing w:after="0"/>
              <w:rPr>
                <w:sz w:val="20"/>
                <w:szCs w:val="20"/>
                <w:color w:val="auto"/>
              </w:rPr>
            </w:pPr>
            <w:r>
              <w:rPr>
                <w:rFonts w:ascii="Arial" w:cs="Arial" w:eastAsia="Arial" w:hAnsi="Arial"/>
                <w:sz w:val="11"/>
                <w:szCs w:val="11"/>
                <w:b w:val="1"/>
                <w:bCs w:val="1"/>
                <w:color w:val="auto"/>
                <w:w w:val="94"/>
              </w:rPr>
              <w:t>Class F Units and Class</w:t>
            </w:r>
          </w:p>
        </w:tc>
        <w:tc>
          <w:tcPr>
            <w:tcW w:w="1140" w:type="dxa"/>
            <w:vAlign w:val="bottom"/>
            <w:gridSpan w:val="5"/>
          </w:tcPr>
          <w:p>
            <w:pPr>
              <w:ind w:left="120"/>
              <w:spacing w:after="0"/>
              <w:rPr>
                <w:sz w:val="20"/>
                <w:szCs w:val="20"/>
                <w:color w:val="auto"/>
              </w:rPr>
            </w:pPr>
            <w:r>
              <w:rPr>
                <w:rFonts w:ascii="Arial" w:cs="Arial" w:eastAsia="Arial" w:hAnsi="Arial"/>
                <w:sz w:val="11"/>
                <w:szCs w:val="11"/>
                <w:b w:val="1"/>
                <w:bCs w:val="1"/>
                <w:color w:val="auto"/>
              </w:rPr>
              <w:t>Class A Common</w:t>
            </w:r>
          </w:p>
        </w:tc>
        <w:tc>
          <w:tcPr>
            <w:tcW w:w="11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7"/>
              </w:rPr>
              <w:t>Class B Common</w:t>
            </w:r>
          </w:p>
        </w:tc>
        <w:tc>
          <w:tcPr>
            <w:tcW w:w="12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7"/>
              </w:rPr>
              <w:t>Class C Common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8"/>
              </w:rPr>
              <w:t>Controlling</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P</w:t>
            </w: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40" w:type="dxa"/>
            <w:vAlign w:val="bottom"/>
            <w:gridSpan w:val="5"/>
          </w:tcPr>
          <w:p>
            <w:pPr>
              <w:ind w:left="380"/>
              <w:spacing w:after="0"/>
              <w:rPr>
                <w:sz w:val="20"/>
                <w:szCs w:val="20"/>
                <w:color w:val="auto"/>
              </w:rPr>
            </w:pPr>
            <w:r>
              <w:rPr>
                <w:rFonts w:ascii="Arial" w:cs="Arial" w:eastAsia="Arial" w:hAnsi="Arial"/>
                <w:sz w:val="11"/>
                <w:szCs w:val="11"/>
                <w:b w:val="1"/>
                <w:bCs w:val="1"/>
                <w:color w:val="auto"/>
              </w:rPr>
              <w:t>M Units</w:t>
            </w:r>
          </w:p>
        </w:tc>
        <w:tc>
          <w:tcPr>
            <w:tcW w:w="780" w:type="dxa"/>
            <w:vAlign w:val="bottom"/>
            <w:gridSpan w:val="3"/>
          </w:tcPr>
          <w:p>
            <w:pPr>
              <w:jc w:val="right"/>
              <w:ind w:right="66"/>
              <w:spacing w:after="0"/>
              <w:rPr>
                <w:sz w:val="20"/>
                <w:szCs w:val="20"/>
                <w:color w:val="auto"/>
              </w:rPr>
            </w:pPr>
            <w:r>
              <w:rPr>
                <w:rFonts w:ascii="Arial" w:cs="Arial" w:eastAsia="Arial" w:hAnsi="Arial"/>
                <w:sz w:val="11"/>
                <w:szCs w:val="11"/>
                <w:b w:val="1"/>
                <w:bCs w:val="1"/>
                <w:color w:val="auto"/>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226"/>
              <w:spacing w:after="0"/>
              <w:rPr>
                <w:sz w:val="20"/>
                <w:szCs w:val="20"/>
                <w:color w:val="auto"/>
              </w:rPr>
            </w:pPr>
            <w:r>
              <w:rPr>
                <w:rFonts w:ascii="Arial" w:cs="Arial" w:eastAsia="Arial" w:hAnsi="Arial"/>
                <w:sz w:val="11"/>
                <w:szCs w:val="11"/>
                <w:b w:val="1"/>
                <w:bCs w:val="1"/>
                <w:color w:val="auto"/>
                <w:w w:val="86"/>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left="226"/>
              <w:spacing w:after="0"/>
              <w:rPr>
                <w:sz w:val="20"/>
                <w:szCs w:val="20"/>
                <w:color w:val="auto"/>
              </w:rPr>
            </w:pPr>
            <w:r>
              <w:rPr>
                <w:rFonts w:ascii="Arial" w:cs="Arial" w:eastAsia="Arial" w:hAnsi="Arial"/>
                <w:sz w:val="11"/>
                <w:szCs w:val="11"/>
                <w:b w:val="1"/>
                <w:bCs w:val="1"/>
                <w:color w:val="auto"/>
                <w:w w:val="79"/>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Interest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Paid-In</w:t>
            </w:r>
          </w:p>
        </w:tc>
        <w:tc>
          <w:tcPr>
            <w:tcW w:w="580" w:type="dxa"/>
            <w:vAlign w:val="bottom"/>
            <w:gridSpan w:val="3"/>
          </w:tcPr>
          <w:p>
            <w:pPr>
              <w:ind w:left="40"/>
              <w:spacing w:after="0"/>
              <w:rPr>
                <w:sz w:val="20"/>
                <w:szCs w:val="20"/>
                <w:color w:val="auto"/>
              </w:rPr>
            </w:pPr>
            <w:r>
              <w:rPr>
                <w:rFonts w:ascii="Arial" w:cs="Arial" w:eastAsia="Arial" w:hAnsi="Arial"/>
                <w:sz w:val="11"/>
                <w:szCs w:val="11"/>
                <w:b w:val="1"/>
                <w:bCs w:val="1"/>
                <w:color w:val="auto"/>
              </w:rPr>
              <w:t>Retained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w w:val="98"/>
              </w:rPr>
              <w:t>Stockholders’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 units</w:t>
            </w:r>
          </w:p>
        </w:tc>
        <w:tc>
          <w:tcPr>
            <w:tcW w:w="60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87"/>
              </w:rPr>
              <w:t>amounts</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 Units</w:t>
            </w:r>
          </w:p>
        </w:tc>
        <w:tc>
          <w:tcPr>
            <w:tcW w:w="5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Amounts</w:t>
            </w: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Amounts</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Amounts</w:t>
            </w:r>
          </w:p>
        </w:tc>
        <w:tc>
          <w:tcPr>
            <w:tcW w:w="8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Capital</w:t>
            </w:r>
          </w:p>
        </w:tc>
        <w:tc>
          <w:tcPr>
            <w:tcW w:w="580" w:type="dxa"/>
            <w:vAlign w:val="bottom"/>
            <w:gridSpan w:val="3"/>
          </w:tcPr>
          <w:p>
            <w:pPr>
              <w:ind w:left="4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Amounts</w:t>
            </w:r>
          </w:p>
        </w:tc>
        <w:tc>
          <w:tcPr>
            <w:tcW w:w="80" w:type="dxa"/>
            <w:vAlign w:val="bottom"/>
          </w:tcPr>
          <w:p>
            <w:pPr>
              <w:spacing w:after="0"/>
              <w:rPr>
                <w:sz w:val="13"/>
                <w:szCs w:val="13"/>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2019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62,579</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8"/>
              </w:rPr>
              <w:t>52,412,982</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 (65,534)</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(65,534)</w:t>
            </w: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rPr>
                <w:sz w:val="20"/>
                <w:szCs w:val="20"/>
                <w:color w:val="auto"/>
              </w:rPr>
            </w:pPr>
            <w:r>
              <w:rPr>
                <w:rFonts w:ascii="Arial" w:cs="Arial" w:eastAsia="Arial" w:hAnsi="Arial"/>
                <w:sz w:val="11"/>
                <w:szCs w:val="11"/>
                <w:color w:val="auto"/>
              </w:rPr>
              <w:t>Vested Class M Units</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182,825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w w:val="81"/>
              </w:rPr>
              <w:t>43</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(7,778)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(7,778)</w:t>
            </w: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 of redeemable</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convertible preferred units to</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(18,250)</w:t>
            </w:r>
          </w:p>
        </w:tc>
        <w:tc>
          <w:tcPr>
            <w:tcW w:w="0" w:type="dxa"/>
            <w:vAlign w:val="bottom"/>
          </w:tcPr>
          <w:p>
            <w:pPr>
              <w:spacing w:after="0"/>
              <w:rPr>
                <w:sz w:val="1"/>
                <w:szCs w:val="1"/>
                <w:color w:val="auto"/>
              </w:rPr>
            </w:pPr>
          </w:p>
        </w:tc>
      </w:tr>
      <w:tr>
        <w:trPr>
          <w:trHeight w:val="17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value</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18,250</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(18,250)</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8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2019</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32,435,595</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80,829</w:t>
            </w:r>
          </w:p>
        </w:tc>
        <w:tc>
          <w:tcPr>
            <w:tcW w:w="100" w:type="dxa"/>
            <w:vAlign w:val="bottom"/>
            <w:tcBorders>
              <w:right w:val="single" w:sz="8" w:color="auto"/>
            </w:tcBorders>
          </w:tcPr>
          <w:p>
            <w:pPr>
              <w:spacing w:after="0"/>
              <w:rPr>
                <w:sz w:val="12"/>
                <w:szCs w:val="12"/>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0"/>
              </w:rPr>
              <w:t>52,595,807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(91,519)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(91,519)</w:t>
            </w: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Special distribution to members</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(10,000)</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(20,000)</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(20,000)</w:t>
            </w: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rPr>
                <w:sz w:val="20"/>
                <w:szCs w:val="20"/>
                <w:color w:val="auto"/>
              </w:rPr>
            </w:pPr>
            <w:r>
              <w:rPr>
                <w:rFonts w:ascii="Arial" w:cs="Arial" w:eastAsia="Arial" w:hAnsi="Arial"/>
                <w:sz w:val="11"/>
                <w:szCs w:val="11"/>
                <w:color w:val="auto"/>
              </w:rPr>
              <w:t>Vested Class M Units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174,847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3,997</w:t>
            </w:r>
          </w:p>
        </w:tc>
        <w:tc>
          <w:tcPr>
            <w:tcW w:w="100" w:type="dxa"/>
            <w:vAlign w:val="bottom"/>
            <w:tcBorders>
              <w:right w:val="single" w:sz="8" w:color="auto"/>
            </w:tcBorders>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17,579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17,579</w:t>
            </w: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 of redeemable</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convertible preferred units to</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8,499</w:t>
            </w:r>
          </w:p>
        </w:tc>
        <w:tc>
          <w:tcPr>
            <w:tcW w:w="0" w:type="dxa"/>
            <w:vAlign w:val="bottom"/>
          </w:tcPr>
          <w:p>
            <w:pPr>
              <w:spacing w:after="0"/>
              <w:rPr>
                <w:sz w:val="1"/>
                <w:szCs w:val="1"/>
                <w:color w:val="auto"/>
              </w:rPr>
            </w:pPr>
          </w:p>
        </w:tc>
      </w:tr>
      <w:tr>
        <w:trPr>
          <w:trHeight w:val="17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value</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(8,499)</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8,499</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8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32,435,595</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66,327</w:t>
            </w:r>
          </w:p>
        </w:tc>
        <w:tc>
          <w:tcPr>
            <w:tcW w:w="100" w:type="dxa"/>
            <w:vAlign w:val="bottom"/>
            <w:tcBorders>
              <w:right w:val="single" w:sz="8" w:color="auto"/>
            </w:tcBorders>
          </w:tcPr>
          <w:p>
            <w:pPr>
              <w:spacing w:after="0"/>
              <w:rPr>
                <w:sz w:val="12"/>
                <w:szCs w:val="12"/>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0"/>
              </w:rPr>
              <w:t>52,770,654</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(85,395)</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(85,395)</w:t>
            </w: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Tax distributions to members prior</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0"/>
              </w:rPr>
              <w:t>to the Reorganization Transactions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(11,643)</w:t>
            </w:r>
          </w:p>
        </w:tc>
        <w:tc>
          <w:tcPr>
            <w:tcW w:w="0" w:type="dxa"/>
            <w:vAlign w:val="bottom"/>
          </w:tcPr>
          <w:p>
            <w:pPr>
              <w:spacing w:after="0"/>
              <w:rPr>
                <w:sz w:val="1"/>
                <w:szCs w:val="1"/>
                <w:color w:val="auto"/>
              </w:rPr>
            </w:pPr>
          </w:p>
        </w:tc>
      </w:tr>
      <w:tr>
        <w:trPr>
          <w:trHeight w:val="15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and IPO</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(9,755)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(11,643)</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80" w:type="dxa"/>
            <w:vAlign w:val="bottom"/>
          </w:tcPr>
          <w:p>
            <w:pPr>
              <w:ind w:left="20"/>
              <w:spacing w:after="0"/>
              <w:rPr>
                <w:sz w:val="20"/>
                <w:szCs w:val="20"/>
                <w:color w:val="auto"/>
              </w:rPr>
            </w:pPr>
            <w:r>
              <w:rPr>
                <w:rFonts w:ascii="Arial" w:cs="Arial" w:eastAsia="Arial" w:hAnsi="Arial"/>
                <w:sz w:val="11"/>
                <w:szCs w:val="11"/>
                <w:color w:val="auto"/>
              </w:rPr>
              <w:t>Vested Class M Units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556,446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5"/>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Equity-based compensation prior</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0"/>
              </w:rPr>
              <w:t>to the Reorganization Transactions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246</w:t>
            </w:r>
          </w:p>
        </w:tc>
        <w:tc>
          <w:tcPr>
            <w:tcW w:w="0" w:type="dxa"/>
            <w:vAlign w:val="bottom"/>
          </w:tcPr>
          <w:p>
            <w:pPr>
              <w:spacing w:after="0"/>
              <w:rPr>
                <w:sz w:val="1"/>
                <w:szCs w:val="1"/>
                <w:color w:val="auto"/>
              </w:rPr>
            </w:pPr>
          </w:p>
        </w:tc>
      </w:tr>
      <w:tr>
        <w:trPr>
          <w:trHeight w:val="15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and IPO</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1"/>
                <w:szCs w:val="11"/>
                <w:color w:val="auto"/>
              </w:rPr>
              <w:t>Net income prior to the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rPr>
                <w:sz w:val="20"/>
                <w:szCs w:val="20"/>
                <w:color w:val="auto"/>
              </w:rPr>
            </w:pPr>
            <w:r>
              <w:rPr>
                <w:rFonts w:ascii="Arial" w:cs="Arial" w:eastAsia="Arial" w:hAnsi="Arial"/>
                <w:sz w:val="11"/>
                <w:szCs w:val="11"/>
                <w:color w:val="auto"/>
                <w:w w:val="95"/>
              </w:rPr>
              <w:t>Reorganization Transactions and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8,526</w:t>
            </w:r>
          </w:p>
        </w:tc>
        <w:tc>
          <w:tcPr>
            <w:tcW w:w="0" w:type="dxa"/>
            <w:vAlign w:val="bottom"/>
          </w:tcPr>
          <w:p>
            <w:pPr>
              <w:spacing w:after="0"/>
              <w:rPr>
                <w:sz w:val="1"/>
                <w:szCs w:val="1"/>
                <w:color w:val="auto"/>
              </w:rPr>
            </w:pPr>
          </w:p>
        </w:tc>
      </w:tr>
      <w:tr>
        <w:trPr>
          <w:trHeight w:val="136"/>
        </w:trPr>
        <w:tc>
          <w:tcPr>
            <w:tcW w:w="1580" w:type="dxa"/>
            <w:vAlign w:val="bottom"/>
          </w:tcPr>
          <w:p>
            <w:pPr>
              <w:ind w:left="20"/>
              <w:spacing w:after="0"/>
              <w:rPr>
                <w:sz w:val="20"/>
                <w:szCs w:val="20"/>
                <w:color w:val="auto"/>
              </w:rPr>
            </w:pPr>
            <w:r>
              <w:rPr>
                <w:rFonts w:ascii="Arial" w:cs="Arial" w:eastAsia="Arial" w:hAnsi="Arial"/>
                <w:sz w:val="11"/>
                <w:szCs w:val="11"/>
                <w:color w:val="auto"/>
              </w:rPr>
              <w:t>IPO</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5,466</w:t>
            </w:r>
          </w:p>
        </w:tc>
        <w:tc>
          <w:tcPr>
            <w:tcW w:w="100" w:type="dxa"/>
            <w:vAlign w:val="bottom"/>
            <w:tcBorders>
              <w:right w:val="single" w:sz="8" w:color="auto"/>
            </w:tcBorders>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8,526</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 of redeemable</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convertible preferred units to</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9"/>
              </w:rPr>
              <w:t>(327,189)</w:t>
            </w:r>
          </w:p>
        </w:tc>
        <w:tc>
          <w:tcPr>
            <w:tcW w:w="0" w:type="dxa"/>
            <w:vAlign w:val="bottom"/>
          </w:tcPr>
          <w:p>
            <w:pPr>
              <w:spacing w:after="0"/>
              <w:rPr>
                <w:sz w:val="1"/>
                <w:szCs w:val="1"/>
                <w:color w:val="auto"/>
              </w:rPr>
            </w:pPr>
          </w:p>
        </w:tc>
      </w:tr>
      <w:tr>
        <w:trPr>
          <w:trHeight w:val="15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value</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5"/>
              </w:rPr>
              <w:t>327,189</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(327,189)</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rPr>
                <w:sz w:val="20"/>
                <w:szCs w:val="20"/>
                <w:color w:val="auto"/>
              </w:rPr>
            </w:pPr>
            <w:r>
              <w:rPr>
                <w:rFonts w:ascii="Arial" w:cs="Arial" w:eastAsia="Arial" w:hAnsi="Arial"/>
                <w:sz w:val="11"/>
                <w:szCs w:val="11"/>
                <w:color w:val="auto"/>
              </w:rPr>
              <w:t>Reorganization Transactions</w:t>
            </w:r>
          </w:p>
        </w:tc>
        <w:tc>
          <w:tcPr>
            <w:tcW w:w="580" w:type="dxa"/>
            <w:vAlign w:val="bottom"/>
          </w:tcPr>
          <w:p>
            <w:pPr>
              <w:jc w:val="right"/>
              <w:spacing w:after="0"/>
              <w:rPr>
                <w:sz w:val="20"/>
                <w:szCs w:val="20"/>
                <w:color w:val="auto"/>
              </w:rPr>
            </w:pPr>
            <w:r>
              <w:rPr>
                <w:rFonts w:ascii="Arial" w:cs="Arial" w:eastAsia="Arial" w:hAnsi="Arial"/>
                <w:sz w:val="11"/>
                <w:szCs w:val="11"/>
                <w:color w:val="auto"/>
                <w:w w:val="86"/>
              </w:rPr>
              <w:t>(32,435,595)</w:t>
            </w: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93"/>
              </w:rPr>
              <w:t>(389,227)</w:t>
            </w:r>
          </w:p>
        </w:tc>
        <w:tc>
          <w:tcPr>
            <w:tcW w:w="100" w:type="dxa"/>
            <w:vAlign w:val="bottom"/>
            <w:tcBorders>
              <w:right w:val="single" w:sz="8" w:color="auto"/>
            </w:tcBorders>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86"/>
              </w:rPr>
              <w:t>(53,327,100)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0"/>
              </w:rPr>
              <w:t>415,455</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36,064,421</w:t>
            </w:r>
          </w:p>
        </w:tc>
        <w:tc>
          <w:tcPr>
            <w:tcW w:w="8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0"/>
              </w:rPr>
              <w:t>50,232,863</w:t>
            </w:r>
          </w:p>
        </w:tc>
        <w:tc>
          <w:tcPr>
            <w:tcW w:w="8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(19,813)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395,651</w:t>
            </w:r>
          </w:p>
        </w:tc>
        <w:tc>
          <w:tcPr>
            <w:tcW w:w="0" w:type="dxa"/>
            <w:vAlign w:val="bottom"/>
          </w:tcPr>
          <w:p>
            <w:pPr>
              <w:spacing w:after="0"/>
              <w:rPr>
                <w:sz w:val="1"/>
                <w:szCs w:val="1"/>
                <w:color w:val="auto"/>
              </w:rPr>
            </w:pPr>
          </w:p>
        </w:tc>
      </w:tr>
      <w:tr>
        <w:trPr>
          <w:trHeight w:val="35"/>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IPO Transactions</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9"/>
              </w:rPr>
              <w:t>9,583,332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(522,386)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(727,613)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4,099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83,456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87,556</w:t>
            </w: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1"/>
                <w:szCs w:val="11"/>
                <w:color w:val="auto"/>
                <w:w w:val="90"/>
              </w:rPr>
              <w:t>Increase in deferred tax asset from</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rPr>
                <w:sz w:val="20"/>
                <w:szCs w:val="20"/>
                <w:color w:val="auto"/>
              </w:rPr>
            </w:pPr>
            <w:r>
              <w:rPr>
                <w:rFonts w:ascii="Arial" w:cs="Arial" w:eastAsia="Arial" w:hAnsi="Arial"/>
                <w:sz w:val="11"/>
                <w:szCs w:val="11"/>
                <w:color w:val="auto"/>
              </w:rPr>
              <w:t>step-up tax basis related to</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rPr>
                <w:sz w:val="20"/>
                <w:szCs w:val="20"/>
                <w:color w:val="auto"/>
              </w:rPr>
            </w:pPr>
            <w:r>
              <w:rPr>
                <w:rFonts w:ascii="Arial" w:cs="Arial" w:eastAsia="Arial" w:hAnsi="Arial"/>
                <w:sz w:val="11"/>
                <w:szCs w:val="11"/>
                <w:color w:val="auto"/>
                <w:w w:val="95"/>
              </w:rPr>
              <w:t>redemption of LLC Units and set-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316</w:t>
            </w:r>
          </w:p>
        </w:tc>
        <w:tc>
          <w:tcPr>
            <w:tcW w:w="0" w:type="dxa"/>
            <w:vAlign w:val="bottom"/>
          </w:tcPr>
          <w:p>
            <w:pPr>
              <w:spacing w:after="0"/>
              <w:rPr>
                <w:sz w:val="1"/>
                <w:szCs w:val="1"/>
                <w:color w:val="auto"/>
              </w:rPr>
            </w:pPr>
          </w:p>
        </w:tc>
      </w:tr>
      <w:tr>
        <w:trPr>
          <w:trHeight w:val="136"/>
        </w:trPr>
        <w:tc>
          <w:tcPr>
            <w:tcW w:w="1580" w:type="dxa"/>
            <w:vAlign w:val="bottom"/>
          </w:tcPr>
          <w:p>
            <w:pPr>
              <w:ind w:left="20"/>
              <w:spacing w:after="0"/>
              <w:rPr>
                <w:sz w:val="20"/>
                <w:szCs w:val="20"/>
                <w:color w:val="auto"/>
              </w:rPr>
            </w:pPr>
            <w:r>
              <w:rPr>
                <w:rFonts w:ascii="Arial" w:cs="Arial" w:eastAsia="Arial" w:hAnsi="Arial"/>
                <w:sz w:val="11"/>
                <w:szCs w:val="11"/>
                <w:color w:val="auto"/>
              </w:rPr>
              <w:t>up of TRA liability</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Conversion of Class B to Class A</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28,053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(28,053)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1"/>
                <w:szCs w:val="11"/>
                <w:color w:val="auto"/>
                <w:w w:val="95"/>
              </w:rPr>
              <w:t>RSU vesting during period, net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6"/>
        </w:trPr>
        <w:tc>
          <w:tcPr>
            <w:tcW w:w="1580" w:type="dxa"/>
            <w:vAlign w:val="bottom"/>
          </w:tcPr>
          <w:p>
            <w:pPr>
              <w:ind w:left="20"/>
              <w:spacing w:after="0"/>
              <w:rPr>
                <w:sz w:val="20"/>
                <w:szCs w:val="20"/>
                <w:color w:val="auto"/>
              </w:rPr>
            </w:pPr>
            <w:r>
              <w:rPr>
                <w:rFonts w:ascii="Arial" w:cs="Arial" w:eastAsia="Arial" w:hAnsi="Arial"/>
                <w:sz w:val="11"/>
                <w:szCs w:val="11"/>
                <w:color w:val="auto"/>
                <w:w w:val="97"/>
              </w:rPr>
              <w:t>shares withheld for payroll taxes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3,138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LLC Units vesting during period</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144,031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1"/>
                <w:szCs w:val="11"/>
                <w:color w:val="auto"/>
              </w:rPr>
              <w:t>Equity-based compensation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rPr>
                <w:sz w:val="20"/>
                <w:szCs w:val="20"/>
                <w:color w:val="auto"/>
              </w:rPr>
            </w:pPr>
            <w:r>
              <w:rPr>
                <w:rFonts w:ascii="Arial" w:cs="Arial" w:eastAsia="Arial" w:hAnsi="Arial"/>
                <w:sz w:val="11"/>
                <w:szCs w:val="11"/>
                <w:color w:val="auto"/>
                <w:w w:val="93"/>
              </w:rPr>
              <w:t>subsequent to the Reorganization</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2,549</w:t>
            </w:r>
          </w:p>
        </w:tc>
        <w:tc>
          <w:tcPr>
            <w:tcW w:w="0" w:type="dxa"/>
            <w:vAlign w:val="bottom"/>
          </w:tcPr>
          <w:p>
            <w:pPr>
              <w:spacing w:after="0"/>
              <w:rPr>
                <w:sz w:val="1"/>
                <w:szCs w:val="1"/>
                <w:color w:val="auto"/>
              </w:rPr>
            </w:pPr>
          </w:p>
        </w:tc>
      </w:tr>
      <w:tr>
        <w:trPr>
          <w:trHeight w:val="136"/>
        </w:trPr>
        <w:tc>
          <w:tcPr>
            <w:tcW w:w="1580" w:type="dxa"/>
            <w:vAlign w:val="bottom"/>
          </w:tcPr>
          <w:p>
            <w:pPr>
              <w:ind w:left="20"/>
              <w:spacing w:after="0"/>
              <w:rPr>
                <w:sz w:val="20"/>
                <w:szCs w:val="20"/>
                <w:color w:val="auto"/>
              </w:rPr>
            </w:pPr>
            <w:r>
              <w:rPr>
                <w:rFonts w:ascii="Arial" w:cs="Arial" w:eastAsia="Arial" w:hAnsi="Arial"/>
                <w:sz w:val="11"/>
                <w:szCs w:val="11"/>
                <w:color w:val="auto"/>
              </w:rPr>
              <w:t>Transactions and IPO</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Tax distributions to members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3"/>
              </w:rPr>
              <w:t>subsequent to the Reorganization</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15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Transactions and IPO</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1"/>
                <w:szCs w:val="11"/>
                <w:color w:val="auto"/>
              </w:rPr>
              <w:t>Net income subsequent to the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rPr>
                <w:sz w:val="20"/>
                <w:szCs w:val="20"/>
                <w:color w:val="auto"/>
              </w:rPr>
            </w:pPr>
            <w:r>
              <w:rPr>
                <w:rFonts w:ascii="Arial" w:cs="Arial" w:eastAsia="Arial" w:hAnsi="Arial"/>
                <w:sz w:val="11"/>
                <w:szCs w:val="11"/>
                <w:color w:val="auto"/>
                <w:w w:val="95"/>
              </w:rPr>
              <w:t>Reorganization Transactions and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12,264</w:t>
            </w:r>
          </w:p>
        </w:tc>
        <w:tc>
          <w:tcPr>
            <w:tcW w:w="0" w:type="dxa"/>
            <w:vAlign w:val="bottom"/>
          </w:tcPr>
          <w:p>
            <w:pPr>
              <w:spacing w:after="0"/>
              <w:rPr>
                <w:sz w:val="1"/>
                <w:szCs w:val="1"/>
                <w:color w:val="auto"/>
              </w:rPr>
            </w:pPr>
          </w:p>
        </w:tc>
      </w:tr>
      <w:tr>
        <w:trPr>
          <w:trHeight w:val="136"/>
        </w:trPr>
        <w:tc>
          <w:tcPr>
            <w:tcW w:w="1580" w:type="dxa"/>
            <w:vAlign w:val="bottom"/>
          </w:tcPr>
          <w:p>
            <w:pPr>
              <w:ind w:left="20"/>
              <w:spacing w:after="0"/>
              <w:rPr>
                <w:sz w:val="20"/>
                <w:szCs w:val="20"/>
                <w:color w:val="auto"/>
              </w:rPr>
            </w:pPr>
            <w:r>
              <w:rPr>
                <w:rFonts w:ascii="Arial" w:cs="Arial" w:eastAsia="Arial" w:hAnsi="Arial"/>
                <w:sz w:val="11"/>
                <w:szCs w:val="11"/>
                <w:color w:val="auto"/>
              </w:rPr>
              <w:t>IPO</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1,528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10,736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89"/>
              </w:rPr>
              <w:t>9,614,523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2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87"/>
              </w:rPr>
              <w:t>35,658,013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49,505,250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6,865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8,403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74,435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82,838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760"/>
          </w:cols>
          <w:pgMar w:left="320" w:top="12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6"/>
          </w:tcPr>
          <w:p>
            <w:pPr>
              <w:jc w:val="right"/>
              <w:ind w:right="159"/>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33"/>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26,256</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21,576</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(7,778)</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4"/>
        </w:trPr>
        <w:tc>
          <w:tcPr>
            <w:tcW w:w="61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23"/>
        </w:trPr>
        <w:tc>
          <w:tcPr>
            <w:tcW w:w="6160" w:type="dxa"/>
            <w:vAlign w:val="bottom"/>
          </w:tcPr>
          <w:p>
            <w:pPr>
              <w:ind w:left="240"/>
              <w:spacing w:after="0"/>
              <w:rPr>
                <w:sz w:val="20"/>
                <w:szCs w:val="20"/>
                <w:color w:val="auto"/>
              </w:rPr>
            </w:pPr>
            <w:r>
              <w:rPr>
                <w:rFonts w:ascii="Arial" w:cs="Arial" w:eastAsia="Arial" w:hAnsi="Arial"/>
                <w:sz w:val="16"/>
                <w:szCs w:val="16"/>
                <w:color w:val="auto"/>
              </w:rPr>
              <w:t>Change in fair value of warrants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24"/>
        </w:trPr>
        <w:tc>
          <w:tcPr>
            <w:tcW w:w="6160" w:type="dxa"/>
            <w:vAlign w:val="bottom"/>
          </w:tcPr>
          <w:p>
            <w:pPr>
              <w:ind w:left="240"/>
              <w:spacing w:after="0"/>
              <w:rPr>
                <w:sz w:val="20"/>
                <w:szCs w:val="20"/>
                <w:color w:val="auto"/>
              </w:rPr>
            </w:pPr>
            <w:r>
              <w:rPr>
                <w:rFonts w:ascii="Arial" w:cs="Arial" w:eastAsia="Arial" w:hAnsi="Arial"/>
                <w:sz w:val="16"/>
                <w:szCs w:val="16"/>
                <w:color w:val="auto"/>
              </w:rPr>
              <w:t>Deferred tax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3"/>
        </w:trPr>
        <w:tc>
          <w:tcPr>
            <w:tcW w:w="616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(2,426)</w:t>
            </w:r>
          </w:p>
        </w:tc>
      </w:tr>
      <w:tr>
        <w:trPr>
          <w:trHeight w:val="224"/>
        </w:trPr>
        <w:tc>
          <w:tcPr>
            <w:tcW w:w="616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23"/>
        </w:trPr>
        <w:tc>
          <w:tcPr>
            <w:tcW w:w="6160" w:type="dxa"/>
            <w:vAlign w:val="bottom"/>
          </w:tcPr>
          <w:p>
            <w:pPr>
              <w:ind w:left="340"/>
              <w:spacing w:after="0"/>
              <w:rPr>
                <w:sz w:val="20"/>
                <w:szCs w:val="20"/>
                <w:color w:val="auto"/>
              </w:rPr>
            </w:pPr>
            <w:r>
              <w:rPr>
                <w:rFonts w:ascii="Arial" w:cs="Arial" w:eastAsia="Arial" w:hAnsi="Arial"/>
                <w:sz w:val="16"/>
                <w:szCs w:val="16"/>
                <w:color w:val="auto"/>
              </w:rPr>
              <w:t>Accounts payable and accrued expenses and other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8,497</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r>
      <w:tr>
        <w:trPr>
          <w:trHeight w:val="224"/>
        </w:trPr>
        <w:tc>
          <w:tcPr>
            <w:tcW w:w="6160" w:type="dxa"/>
            <w:vAlign w:val="bottom"/>
          </w:tcPr>
          <w:p>
            <w:pPr>
              <w:ind w:left="340"/>
              <w:spacing w:after="0"/>
              <w:rPr>
                <w:sz w:val="20"/>
                <w:szCs w:val="20"/>
                <w:color w:val="auto"/>
              </w:rPr>
            </w:pPr>
            <w:r>
              <w:rPr>
                <w:rFonts w:ascii="Arial" w:cs="Arial" w:eastAsia="Arial" w:hAnsi="Arial"/>
                <w:sz w:val="16"/>
                <w:szCs w:val="16"/>
                <w:color w:val="auto"/>
              </w:rPr>
              <w:t>Deferred rent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46,078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567</w:t>
            </w:r>
          </w:p>
        </w:tc>
      </w:tr>
      <w:tr>
        <w:trPr>
          <w:trHeight w:val="203"/>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17"/>
        </w:trPr>
        <w:tc>
          <w:tcPr>
            <w:tcW w:w="6160" w:type="dxa"/>
            <w:vAlign w:val="bottom"/>
          </w:tcPr>
          <w:p>
            <w:pPr>
              <w:ind w:left="44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(5,606)</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(678)</w:t>
            </w:r>
          </w:p>
        </w:tc>
      </w:tr>
      <w:tr>
        <w:trPr>
          <w:trHeight w:val="33"/>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6"/>
                <w:szCs w:val="16"/>
                <w:color w:val="auto"/>
                <w:w w:val="98"/>
              </w:rPr>
              <w:t>Issuance of Class A common stock in IPO, net of underwriting discounts and offering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101,581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160" w:type="dxa"/>
            <w:vAlign w:val="bottom"/>
          </w:tcPr>
          <w:p>
            <w:pPr>
              <w:ind w:left="240"/>
              <w:spacing w:after="0"/>
              <w:rPr>
                <w:sz w:val="20"/>
                <w:szCs w:val="20"/>
                <w:color w:val="auto"/>
              </w:rPr>
            </w:pPr>
            <w:r>
              <w:rPr>
                <w:rFonts w:ascii="Arial" w:cs="Arial" w:eastAsia="Arial" w:hAnsi="Arial"/>
                <w:sz w:val="16"/>
                <w:szCs w:val="16"/>
                <w:color w:val="auto"/>
              </w:rPr>
              <w:t>costs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Redemption of LLC Units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160" w:type="dxa"/>
            <w:vAlign w:val="bottom"/>
          </w:tcPr>
          <w:p>
            <w:pPr>
              <w:ind w:left="240"/>
              <w:spacing w:after="0"/>
              <w:rPr>
                <w:sz w:val="20"/>
                <w:szCs w:val="20"/>
                <w:color w:val="auto"/>
              </w:rPr>
            </w:pPr>
            <w:r>
              <w:rPr>
                <w:rFonts w:ascii="Arial" w:cs="Arial" w:eastAsia="Arial" w:hAnsi="Arial"/>
                <w:sz w:val="16"/>
                <w:szCs w:val="16"/>
                <w:color w:val="auto"/>
              </w:rPr>
              <w:t>Issuance of Class B and C shares of common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Tax distributions to members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160" w:type="dxa"/>
            <w:vAlign w:val="bottom"/>
          </w:tcPr>
          <w:p>
            <w:pPr>
              <w:ind w:left="240"/>
              <w:spacing w:after="0"/>
              <w:rPr>
                <w:sz w:val="20"/>
                <w:szCs w:val="20"/>
                <w:color w:val="auto"/>
              </w:rPr>
            </w:pPr>
            <w:r>
              <w:rPr>
                <w:rFonts w:ascii="Arial" w:cs="Arial" w:eastAsia="Arial" w:hAnsi="Arial"/>
                <w:sz w:val="16"/>
                <w:szCs w:val="16"/>
                <w:color w:val="auto"/>
              </w:rPr>
              <w:t>Special distributions to members</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Proceeds received from term loan</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35,000</w:t>
            </w:r>
          </w:p>
        </w:tc>
      </w:tr>
      <w:tr>
        <w:trPr>
          <w:trHeight w:val="223"/>
        </w:trPr>
        <w:tc>
          <w:tcPr>
            <w:tcW w:w="6160" w:type="dxa"/>
            <w:vAlign w:val="bottom"/>
          </w:tcPr>
          <w:p>
            <w:pPr>
              <w:ind w:left="24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(1,397)</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Borrowings from PPP loan</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160" w:type="dxa"/>
            <w:vAlign w:val="bottom"/>
          </w:tcPr>
          <w:p>
            <w:pPr>
              <w:ind w:left="240"/>
              <w:spacing w:after="0"/>
              <w:rPr>
                <w:sz w:val="20"/>
                <w:szCs w:val="20"/>
                <w:color w:val="auto"/>
              </w:rPr>
            </w:pPr>
            <w:r>
              <w:rPr>
                <w:rFonts w:ascii="Arial" w:cs="Arial" w:eastAsia="Arial" w:hAnsi="Arial"/>
                <w:sz w:val="16"/>
                <w:szCs w:val="16"/>
                <w:color w:val="auto"/>
              </w:rPr>
              <w:t>Repayments on PPP loan</w:t>
            </w: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Repayments of related party loan</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(11,000)</w:t>
            </w:r>
          </w:p>
        </w:tc>
      </w:tr>
      <w:tr>
        <w:trPr>
          <w:trHeight w:val="217"/>
        </w:trPr>
        <w:tc>
          <w:tcPr>
            <w:tcW w:w="6160" w:type="dxa"/>
            <w:vAlign w:val="bottom"/>
          </w:tcPr>
          <w:p>
            <w:pPr>
              <w:ind w:left="4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66,124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(263)</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22,603</w:t>
            </w:r>
          </w:p>
        </w:tc>
      </w:tr>
      <w:tr>
        <w:trPr>
          <w:trHeight w:val="33"/>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106,596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25,876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22,492</w:t>
            </w:r>
          </w:p>
        </w:tc>
      </w:tr>
      <w:tr>
        <w:trPr>
          <w:trHeight w:val="223"/>
        </w:trPr>
        <w:tc>
          <w:tcPr>
            <w:tcW w:w="6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66,474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40,598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18,106</w:t>
            </w:r>
          </w:p>
        </w:tc>
      </w:tr>
      <w:tr>
        <w:trPr>
          <w:trHeight w:val="33"/>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173,070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66,474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40,598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3"/>
        </w:trPr>
        <w:tc>
          <w:tcPr>
            <w:tcW w:w="6160" w:type="dxa"/>
            <w:vAlign w:val="bottom"/>
          </w:tcPr>
          <w:p>
            <w:pPr>
              <w:ind w:left="240"/>
              <w:spacing w:after="0"/>
              <w:rPr>
                <w:sz w:val="20"/>
                <w:szCs w:val="20"/>
                <w:color w:val="auto"/>
              </w:rPr>
            </w:pPr>
            <w:r>
              <w:rPr>
                <w:rFonts w:ascii="Arial" w:cs="Arial" w:eastAsia="Arial" w:hAnsi="Arial"/>
                <w:sz w:val="16"/>
                <w:szCs w:val="16"/>
                <w:color w:val="auto"/>
              </w:rPr>
              <w:t>Adjustment of redeemable convertible preferred units to redemption value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327,189</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(8,499)</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18,250</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Conversion of Class F and Class M Units to Common LLC Units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415,455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160" w:type="dxa"/>
            <w:vAlign w:val="bottom"/>
          </w:tcPr>
          <w:p>
            <w:pPr>
              <w:ind w:left="240"/>
              <w:spacing w:after="0"/>
              <w:rPr>
                <w:sz w:val="20"/>
                <w:szCs w:val="20"/>
                <w:color w:val="auto"/>
              </w:rPr>
            </w:pPr>
            <w:r>
              <w:rPr>
                <w:rFonts w:ascii="Arial" w:cs="Arial" w:eastAsia="Arial" w:hAnsi="Arial"/>
                <w:sz w:val="16"/>
                <w:szCs w:val="16"/>
                <w:color w:val="auto"/>
              </w:rPr>
              <w:t>Conversion of Class P Units to Common LLC Units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389,227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exercise of warrants on Common LLC Units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160" w:type="dxa"/>
            <w:vAlign w:val="bottom"/>
          </w:tcPr>
          <w:p>
            <w:pPr>
              <w:ind w:left="240"/>
              <w:spacing w:after="0"/>
              <w:rPr>
                <w:sz w:val="20"/>
                <w:szCs w:val="20"/>
                <w:color w:val="auto"/>
              </w:rPr>
            </w:pPr>
            <w:r>
              <w:rPr>
                <w:rFonts w:ascii="Arial" w:cs="Arial" w:eastAsia="Arial" w:hAnsi="Arial"/>
                <w:sz w:val="16"/>
                <w:szCs w:val="16"/>
                <w:color w:val="auto"/>
              </w:rPr>
              <w:t>Deferred tax assets associated with redemption of LLC Units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6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 Obligation associated with redemption of LLC Units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20"/>
          </w:cols>
          <w:pgMar w:left="320" w:top="125" w:right="559" w:bottom="9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939"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6100" w:type="dxa"/>
            <w:vAlign w:val="bottom"/>
          </w:tcPr>
          <w:p>
            <w:pPr>
              <w:ind w:left="240"/>
              <w:spacing w:after="0"/>
              <w:rPr>
                <w:sz w:val="20"/>
                <w:szCs w:val="20"/>
                <w:color w:val="auto"/>
              </w:rPr>
            </w:pPr>
            <w:r>
              <w:rPr>
                <w:rFonts w:ascii="Arial" w:cs="Arial" w:eastAsia="Arial" w:hAnsi="Arial"/>
                <w:sz w:val="16"/>
                <w:szCs w:val="16"/>
                <w:color w:val="auto"/>
              </w:rPr>
              <w:t>Credit to APIC related to redemption of LLC Units</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Debt issuance costs added to principal of long-term debt</w:t>
            </w: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24"/>
        </w:trPr>
        <w:tc>
          <w:tcPr>
            <w:tcW w:w="6100" w:type="dxa"/>
            <w:vAlign w:val="bottom"/>
          </w:tcPr>
          <w:p>
            <w:pPr>
              <w:ind w:left="240"/>
              <w:spacing w:after="0"/>
              <w:rPr>
                <w:sz w:val="20"/>
                <w:szCs w:val="20"/>
                <w:color w:val="auto"/>
              </w:rPr>
            </w:pPr>
            <w:r>
              <w:rPr>
                <w:rFonts w:ascii="Arial" w:cs="Arial" w:eastAsia="Arial" w:hAnsi="Arial"/>
                <w:sz w:val="16"/>
                <w:szCs w:val="16"/>
                <w:color w:val="auto"/>
                <w:w w:val="92"/>
              </w:rPr>
              <w:t>Purchases of property and equipment included in accounts payable and accrued liabilities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6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Issuance of warrants</w:t>
            </w: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24"/>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6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6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interest</w:t>
            </w: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5,894</w:t>
            </w: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r>
      <w:tr>
        <w:trPr>
          <w:trHeight w:val="33"/>
        </w:trPr>
        <w:tc>
          <w:tcPr>
            <w:tcW w:w="6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ORGANIZATION</w:t>
      </w:r>
    </w:p>
    <w:p>
      <w:pPr>
        <w:spacing w:after="0" w:line="25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Company designs, procures and sells ethically-sourced diamonds, gemstones and jewelry online and through showrooms operated in San Francisco, Los Angeles, Boston, Chicago, San Diego, Washington D.C., Denver, Philadelphia, Atlanta, Seattle, Portland, Austin, Dallas, New York, and Scottsdale. Co-headquarters are located in San Francisco, California and Denver, Colorado.</w:t>
      </w:r>
    </w:p>
    <w:p>
      <w:pPr>
        <w:spacing w:after="0" w:line="19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 operates in one operating and reporting segment which is the retail sale of diamonds, gemstones and jewelry. Over 90% of sales are to customers in the United States (“U.S.”); sales to non-U.S. customers immediately settle in U.S. dollars and no cash balances are carried in foreign currencies. Through the end of 2020, the Company’s chief operating decision makers (“CODM”) were the two co-chief executive officers (“CEOs”), who reviewed financial information for the purposes of making operating decisions, assessing financial performance and allocating resources. In the first quarter of 2021, the Company designated a sole CEO, who then became the Company’s CODM.</w:t>
      </w:r>
    </w:p>
    <w:p>
      <w:pPr>
        <w:spacing w:after="0" w:line="21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accordance with accounting principles generally accepted in the United States of America (“U.S. GAAP”), since the members of Brilliant Earth, LLC (the “Continuing Equity Owners”) prior to the IPO and merger continue to hold a controlling interest in Brilliant Earth, LLC after the merger (i.e., there was no change in control of Brilliant Earth, LLC), and since Brilliant Earth Group, Inc. was considered a “shell company”, which does not meet the definition of a business, the financial statements of the combined entity represent a continuation of the financial position and results of operations of Brilliant Earth, LLC. Accordingly, the historical cost basis of assets, liabilities, and equity of Brilliant Earth, LLC are carried over to the consolidated financial statements of the merged company as a common control transaction. Also, after consummation of the IPO, Brilliant Earth Group, Inc. became subject to U.S. federal, state, and local income taxes with respect to its allocable share of any taxable income of Brilliant Earth, LLC assessed at the prevailing corporate tax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Purchase of LLC Interests</w:t>
      </w:r>
    </w:p>
    <w:p>
      <w:pPr>
        <w:spacing w:after="0" w:line="25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On September 27, 2021, the Company completed its IPO of 9,583,332 shares of Class A common stock at an offering price of $12.00 per share, (excluding the underwriting discount), including 1,249,999 shares of Class A common stock issued pursuant to the underwriters' over-allotment option. The Company received $101.6 million in proceeds after a deduction for underwriting discounts and offering costs totaling $13.4 million.</w:t>
      </w:r>
    </w:p>
    <w:p>
      <w:pPr>
        <w:spacing w:after="0" w:line="19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and represented a 10.1% economic interest as of the IPO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F, P and M Units at Time of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the time of the IPO, the existing limited liability company agreement of Brilliant Earth, LLC was amended and restated to, among other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things, recapitalize all existing Class F, P and M Units in Brilliant Earth, LLC into 86,297,284 common LLC Units after applying a conversion ratio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1.8588 with a further adjustment for a distribution threshold related to the M Units (which impacted their allocation of value so the economic effect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exchange was a like-for-like value); the net conversion ratio was 1.8942, 1.9080 and 1.7735 for the Class F Units, P Units and M Units, respectively. The number of Class F, P and M Units presented in these financial statements for periods prior to the IPO have been retroactively adjusted to reflect the conversion ratios (as discussed in the preceding sentence) similar to the presentation of a stock-split.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Restructuring, Offering and Other Transactions Completed in Connection with the IPO</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the IPO, Brilliant Earth Group, Inc. and Brilliant Earth, LLC completed a series of transactions that comprise of reorganization, offering and other financing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Reorganization Transactions which occurred as of the date of IPO:</w:t>
      </w:r>
    </w:p>
    <w:p>
      <w:pPr>
        <w:spacing w:after="0" w:line="252" w:lineRule="exact"/>
        <w:rPr>
          <w:sz w:val="20"/>
          <w:szCs w:val="20"/>
          <w:color w:val="auto"/>
        </w:rPr>
      </w:pPr>
    </w:p>
    <w:p>
      <w:pPr>
        <w:ind w:left="660" w:right="20" w:hanging="328"/>
        <w:spacing w:after="0" w:line="279"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spacing w:after="0" w:line="198"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83" w:lineRule="exact"/>
        <w:rPr>
          <w:rFonts w:ascii="Arial" w:cs="Arial" w:eastAsia="Arial" w:hAnsi="Arial"/>
          <w:sz w:val="18"/>
          <w:szCs w:val="18"/>
          <w:color w:val="auto"/>
        </w:rPr>
      </w:pPr>
    </w:p>
    <w:p>
      <w:pPr>
        <w:ind w:left="660" w:hanging="328"/>
        <w:spacing w:after="0" w:line="22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36,064,421 shares of Class B common stock (prior to the redemption of 522,386 shares pursuant to the exercise of underwriters’ overallotment options discussed below) to the Continuing Equity Owners, excluding the founders, Beth Gerstein, Co-Founder and Chief Executive Officer, Eric Grossberg, Co-Founder and Executive Chairman, and Just Rocks, a Delaware corporation which is jointly owned and controlled by the founders (collectively, the “Founders”), which is equal to the number of LLC Units held by such Continuing Equity Owners excluding the Founders, for nominal consideration.</w:t>
      </w:r>
    </w:p>
    <w:p>
      <w:pPr>
        <w:spacing w:after="0" w:line="204" w:lineRule="exact"/>
        <w:rPr>
          <w:rFonts w:ascii="Arial" w:cs="Arial" w:eastAsia="Arial" w:hAnsi="Arial"/>
          <w:sz w:val="18"/>
          <w:szCs w:val="18"/>
          <w:color w:val="auto"/>
        </w:rPr>
      </w:pPr>
    </w:p>
    <w:p>
      <w:pPr>
        <w:ind w:left="660" w:right="780" w:hanging="328"/>
        <w:spacing w:after="0" w:line="235"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215" w:lineRule="exact"/>
        <w:rPr>
          <w:rFonts w:ascii="Arial" w:cs="Arial" w:eastAsia="Arial" w:hAnsi="Arial"/>
          <w:sz w:val="18"/>
          <w:szCs w:val="18"/>
          <w:color w:val="auto"/>
        </w:rPr>
      </w:pPr>
    </w:p>
    <w:p>
      <w:pPr>
        <w:ind w:left="660" w:right="160" w:hanging="328"/>
        <w:spacing w:after="0" w:line="31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Entered into a Tax Receivable Agreement (the “TRA”)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IPO and other transactions:</w:t>
      </w:r>
    </w:p>
    <w:p>
      <w:pPr>
        <w:spacing w:after="0" w:line="252" w:lineRule="exact"/>
        <w:rPr>
          <w:sz w:val="20"/>
          <w:szCs w:val="20"/>
          <w:color w:val="auto"/>
        </w:rPr>
      </w:pPr>
    </w:p>
    <w:p>
      <w:pPr>
        <w:ind w:left="660" w:right="2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9,583,332 shares of Class A common stock, including 1,249,999 shares of Class A common stock from the exercise of the underwriters' overallotment, in exchange for net proceeds of approximately $101.6 million at $12.00 per share, less underwriting discount and offering expenses.</w:t>
      </w:r>
    </w:p>
    <w:p>
      <w:pPr>
        <w:spacing w:after="0" w:line="210" w:lineRule="exact"/>
        <w:rPr>
          <w:rFonts w:ascii="Arial" w:cs="Arial" w:eastAsia="Arial" w:hAnsi="Arial"/>
          <w:sz w:val="18"/>
          <w:szCs w:val="18"/>
          <w:color w:val="auto"/>
        </w:rPr>
      </w:pPr>
    </w:p>
    <w:p>
      <w:pPr>
        <w:ind w:left="660" w:right="340" w:hanging="328"/>
        <w:spacing w:after="0" w:line="308"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spacing w:after="0" w:line="173" w:lineRule="exact"/>
        <w:rPr>
          <w:rFonts w:ascii="Arial" w:cs="Arial" w:eastAsia="Arial" w:hAnsi="Arial"/>
          <w:sz w:val="17"/>
          <w:szCs w:val="17"/>
          <w:color w:val="auto"/>
        </w:rPr>
      </w:pPr>
    </w:p>
    <w:p>
      <w:pPr>
        <w:ind w:left="660" w:hanging="328"/>
        <w:spacing w:after="0" w:line="301"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Used net proceeds from the exercise of the underwriters’ overallotment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184"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Corresponding cancellation of a total of 1,249,999 shares of Class B common stock and Class C common stock resulting from the purchase of 1,249,999 LLC Units from the Continuing Equity Owners.</w:t>
      </w:r>
    </w:p>
    <w:p>
      <w:pPr>
        <w:spacing w:after="0" w:line="197"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Exercise of warrants on convertible preferred units (“Class P Units”) with a carrying value of $6.4 million as of September 22, 2021 (after the mark-to-market adjustment as of the date of exercise) into 534,589 newly issued LLC Units on a net settlement basis, elected at the option of the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 COVID-19</w:t>
      </w:r>
    </w:p>
    <w:p>
      <w:pPr>
        <w:spacing w:after="0" w:line="23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COVID-19 pandemic remains on-going and continues to impact the global economy. The Company’s financial performance could be adversely impacted by the on-going evolution of the pandemic, including any government-imposed pandemic restrictions. The Company cannot predict the full extent of the impacts of the COVID-19 pandemic on its business, operations, or the global economy as a whole. However, the effects could have a material impact on the Company's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consolidated financial statements for the periods prior to the Reorganization Transactions and IPO have been presented to combine the previously separate entities. The consolidated financial statements have been prepared in accordance with U.S. GAAP and the applicable rules and regulations of the Securities and Exchange Commission (“SEC”) and reflect the financial position, results of operations and cash flows of the Company. As an emerging growth company (“EGC”), the Company has elected to use extended transition periods available to EGC companies for complying with new or revised accounting standards. These accounting policies have been consistently applied in the preparation of the consolidated financial statements.</w:t>
      </w:r>
    </w:p>
    <w:p>
      <w:pPr>
        <w:spacing w:after="0" w:line="20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Certain reclassifications have been made to prior period amounts to conform to the current presentation. These reclassifications had no impact on net income (loss), cash flows or stockholders’/member’s deficit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2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subsidiary, Brilliant Earth, LLC, which it controls due to ownership of the voting interest or pursuant to variable interest entity (“VIE”) accounting guidance.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assets and liabilities of Brilliant Earth, LLC represent substantially all of the consolidated assets and liabilities of Brilliant Earth Group, Inc. Brilliant Earth Group, Inc., which was established June 2, 2021, has not had any material operations on a standalone basis since its inception, and all of the operations of the Company are carried out by Brilliant Earth, LLC.</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non-controlling interest on the consolidated statement of operations represents the portion of earnings or loss attributable to the economic interest in Brilliant Earth, LLC held by the Continuing Equity Owners. The non-controlling interest on the consolidated balance sheets represents the portion of net assets of the Company attributable to the Continuing Equity Owners, based on the portion of the LLC Interests owned by such unit holders. As of December 31, 2021, the non-controlling interest was 89.9%.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the allowance for sales returns, inventory valuation, useful lives and depreciation of long-lived assets, fair value of equity-based compensation, and prior to the Reorganization Transactions, the warrants and the redemption value of the redeemable Class P Units. Actual results could differ materially from those estimates. On an ongoing basis, the Company reviews its estimates to ensure that they appropriately reflect changes in its business or new information available.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based on quoted prices (unadjusted) observed in active markets for identical assets or liabilities.</w:t>
      </w:r>
    </w:p>
    <w:p>
      <w:pPr>
        <w:spacing w:after="0" w:line="23" w:lineRule="exact"/>
        <w:rPr>
          <w:sz w:val="20"/>
          <w:szCs w:val="20"/>
          <w:color w:val="auto"/>
        </w:rPr>
      </w:pPr>
    </w:p>
    <w:p>
      <w:pPr>
        <w:ind w:left="1380" w:right="180" w:hanging="971"/>
        <w:spacing w:after="0" w:line="250" w:lineRule="auto"/>
        <w:tabs>
          <w:tab w:leader="none" w:pos="1360" w:val="left"/>
        </w:tabs>
        <w:rPr>
          <w:sz w:val="20"/>
          <w:szCs w:val="20"/>
          <w:color w:val="auto"/>
        </w:rPr>
      </w:pPr>
      <w:r>
        <w:rPr>
          <w:rFonts w:ascii="Arial" w:cs="Arial" w:eastAsia="Arial" w:hAnsi="Arial"/>
          <w:sz w:val="18"/>
          <w:szCs w:val="18"/>
          <w:color w:val="auto"/>
        </w:rPr>
        <w:t>Level 2</w:t>
        <w:tab/>
        <w:t>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 techniques with significant unobservable market inputs.</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required to disclose its estimate of the fair value of material financial instruments, including those recorded as assets or liabilities in its financial statements, in accordance with U.S. GAAP.</w:t>
      </w:r>
    </w:p>
    <w:p>
      <w:pPr>
        <w:spacing w:after="0" w:line="197"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 xml:space="preserve">Through the date of the IPO, the Class P Units and warrants on Class P Units were the only financial instruments (assets or liabilities) measured at fair value on a recurring basis. As discussed in Note 1, </w:t>
      </w:r>
      <w:r>
        <w:rPr>
          <w:rFonts w:ascii="Arial" w:cs="Arial" w:eastAsia="Arial" w:hAnsi="Arial"/>
          <w:sz w:val="18"/>
          <w:szCs w:val="18"/>
          <w:i w:val="1"/>
          <w:iCs w:val="1"/>
          <w:color w:val="auto"/>
        </w:rPr>
        <w:t>Business and organization</w:t>
      </w:r>
      <w:r>
        <w:rPr>
          <w:rFonts w:ascii="Arial" w:cs="Arial" w:eastAsia="Arial" w:hAnsi="Arial"/>
          <w:sz w:val="18"/>
          <w:szCs w:val="18"/>
          <w:color w:val="auto"/>
        </w:rPr>
        <w:t xml:space="preserve">, the securities converted into LLC Interests in connection with the IPO and are now classified as equity. The fair value of the Class P Units and the warrants on Class P Units as of September 22, 2021 just before conversion into common LLC Units were $389.2 million and $6.4 million, respectively; these securities are no longer subject to this fair value disclosure. See Note 9, </w:t>
      </w:r>
      <w:r>
        <w:rPr>
          <w:rFonts w:ascii="Arial" w:cs="Arial" w:eastAsia="Arial" w:hAnsi="Arial"/>
          <w:sz w:val="18"/>
          <w:szCs w:val="18"/>
          <w:i w:val="1"/>
          <w:iCs w:val="1"/>
          <w:color w:val="auto"/>
        </w:rPr>
        <w:t>Stockholders</w:t>
      </w:r>
      <w:r>
        <w:rPr>
          <w:rFonts w:ascii="Arial" w:cs="Arial" w:eastAsia="Arial" w:hAnsi="Arial"/>
          <w:sz w:val="16"/>
          <w:szCs w:val="16"/>
          <w:b w:val="1"/>
          <w:bCs w:val="1"/>
          <w:color w:val="auto"/>
        </w:rPr>
        <w:t>’</w:t>
      </w:r>
      <w:r>
        <w:rPr>
          <w:rFonts w:ascii="Arial" w:cs="Arial" w:eastAsia="Arial" w:hAnsi="Arial"/>
          <w:sz w:val="18"/>
          <w:szCs w:val="18"/>
          <w:i w:val="1"/>
          <w:iCs w:val="1"/>
          <w:color w:val="auto"/>
        </w:rPr>
        <w:t xml:space="preserve"> and Members</w:t>
      </w:r>
      <w:r>
        <w:rPr>
          <w:rFonts w:ascii="Arial" w:cs="Arial" w:eastAsia="Arial" w:hAnsi="Arial"/>
          <w:sz w:val="16"/>
          <w:szCs w:val="16"/>
          <w:b w:val="1"/>
          <w:bCs w:val="1"/>
          <w:color w:val="auto"/>
        </w:rPr>
        <w:t>’</w:t>
      </w:r>
      <w:r>
        <w:rPr>
          <w:rFonts w:ascii="Arial" w:cs="Arial" w:eastAsia="Arial" w:hAnsi="Arial"/>
          <w:sz w:val="18"/>
          <w:szCs w:val="18"/>
          <w:i w:val="1"/>
          <w:iCs w:val="1"/>
          <w:color w:val="auto"/>
        </w:rPr>
        <w:t xml:space="preserve"> Equity</w:t>
      </w:r>
      <w:r>
        <w:rPr>
          <w:rFonts w:ascii="Arial" w:cs="Arial" w:eastAsia="Arial" w:hAnsi="Arial"/>
          <w:sz w:val="18"/>
          <w:szCs w:val="18"/>
          <w:color w:val="auto"/>
        </w:rPr>
        <w:t>, for further discussion.</w:t>
      </w:r>
    </w:p>
    <w:p>
      <w:pPr>
        <w:spacing w:after="0" w:line="2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estimated by management based on the consideration of applicable interest rates (including certain instruments at variable or floating rates) and were classified as Level 2. Redeemable Convertible Class P Units and Class P Units underlying warrants were classified as Level 3 until the IPO at which time the securities were converted into LLC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5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Company maintains the majority of its cash and cash equivalents in accounts with major financial institutions within the U.S. in the form of demand deposits, money market accounts, and time deposits. Deposits in these institutions may exceed the amounts of insurance provided, or deposits may not be covered by insurance. The Company has not experienced losses on its deposits of cash and cash equivalents.</w:t>
      </w:r>
    </w:p>
    <w:p>
      <w:pPr>
        <w:spacing w:after="0" w:line="20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Company’s ability to procure diamonds, gemstones and to produce jewelry is dependent on its relationships with various suppliers. No supplier accounted for more than 10% of inventory purchases in a given year during the years ended December 31, 2021, 2020 and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Comprehensive income is the change in equity of a business enterprise during a period from transactions and all other events and circumstances from non-owner sources. Other comprehensive income may include unrealized gain (loss) on available for sale securities, foreign currency items, and minimum pension liability adjustments. The Company did not have components of other comprehensive income. As a result, comprehensive income is the same as net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All highly liquid investments with an original maturity of three months or less and deposits in transit from banks for payments related to third-party credit and debit card transactions are considered to be cash equivalents. Credit and debit card transactions are short-term and highly liquid in nature.</w:t>
      </w:r>
    </w:p>
    <w:p>
      <w:pPr>
        <w:spacing w:after="0" w:line="15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Restricted cash pertains to funds of $0.2 million securing a letter of credit related to a lease at one of the Company’s showroom locations.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further discussion.</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from the consolidated balance sheets to the statements of cash flows for the years ended December 31, 2021, 2020 and 2019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5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172,865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66,269</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40,394</w:t>
            </w:r>
          </w:p>
        </w:tc>
      </w:tr>
      <w:tr>
        <w:trPr>
          <w:trHeight w:val="27"/>
        </w:trPr>
        <w:tc>
          <w:tcPr>
            <w:tcW w:w="5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173,070</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66,474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40,598</w:t>
            </w:r>
          </w:p>
        </w:tc>
      </w:tr>
      <w:tr>
        <w:trPr>
          <w:trHeight w:val="21"/>
        </w:trPr>
        <w:tc>
          <w:tcPr>
            <w:tcW w:w="5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25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Company’s diamond, gemstone and jewelry inventories are primarily held for resale and valued at the lower of cost or net realizable value. Cost is primarily determined using the weighted average cost on a first-in, first-out (“FIFO”) basis for all inventories, except for unique inventory SKUs (principally independently graded diamonds), where cost is determined using specific identification. Net realizable value is defined as estimated selling price in the ordinary course of business, less reasonably predictable costs of completion, disposal and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Inventory reserves are recorded for obsolete, slow-moving or defective items and shrinkage. Inventory reserves are calculated as the difference between the cost of inventory and its estimated market value based on factors such as current and anticipated demand, customer preferences and fashion trends, management strategy and market conditions. Due to the Company’s inventory principally consisting of diamonds, gemstones and fine jewelry, the age of the inventories has limited impact on the estimated market value. The Company’s diamonds and gemstones do not degrade in quality over time and diamond and gemstone inventory generally consists of the diamond and gemstone shapes and sizes commonly used in the jewelry industry. Product obsolescence is closely monitored and reviewed by management on an ongoing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Capitalized Software and Website Development and Impairment Tests for Long-Lived Assets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Repairs and maintenance costs are expensed as incurred. Depreciation expense is calculated on a straight-line basis over the estimated useful lives of the related assets. The cost and related accumulated depreciation of assets sold or otherwise disposed of are removed from the accounts and the related gain or loss is reported in the consolidated statements of operations. Estimated useful lives by major asset category are as follows:</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w:t>
            </w:r>
          </w:p>
        </w:tc>
        <w:tc>
          <w:tcPr>
            <w:tcW w:w="4520" w:type="dxa"/>
            <w:vAlign w:val="bottom"/>
            <w:gridSpan w:val="3"/>
          </w:tcPr>
          <w:p>
            <w:pPr>
              <w:ind w:left="520"/>
              <w:spacing w:after="0"/>
              <w:rPr>
                <w:sz w:val="20"/>
                <w:szCs w:val="20"/>
                <w:color w:val="auto"/>
              </w:rPr>
            </w:pPr>
            <w:r>
              <w:rPr>
                <w:rFonts w:ascii="Arial" w:cs="Arial" w:eastAsia="Arial" w:hAnsi="Arial"/>
                <w:sz w:val="18"/>
                <w:szCs w:val="18"/>
                <w:b w:val="1"/>
                <w:bCs w:val="1"/>
                <w:color w:val="auto"/>
              </w:rPr>
              <w:t>Life (in years)</w:t>
            </w:r>
          </w:p>
        </w:tc>
      </w:tr>
      <w:tr>
        <w:trPr>
          <w:trHeight w:val="48"/>
        </w:trPr>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920" w:type="dxa"/>
            <w:vAlign w:val="bottom"/>
          </w:tcPr>
          <w:p>
            <w:pPr>
              <w:spacing w:after="0"/>
              <w:rPr>
                <w:sz w:val="4"/>
                <w:szCs w:val="4"/>
                <w:color w:val="auto"/>
              </w:rPr>
            </w:pPr>
          </w:p>
        </w:tc>
      </w:tr>
      <w:tr>
        <w:trPr>
          <w:trHeight w:val="250"/>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3</w:t>
            </w:r>
          </w:p>
        </w:tc>
        <w:tc>
          <w:tcPr>
            <w:tcW w:w="2920" w:type="dxa"/>
            <w:vAlign w:val="bottom"/>
            <w:tcBorders>
              <w:bottom w:val="single" w:sz="8" w:color="CCEEFF"/>
            </w:tcBorders>
            <w:shd w:val="clear" w:color="auto" w:fill="CCEEFF"/>
          </w:tcPr>
          <w:p>
            <w:pPr>
              <w:spacing w:after="0"/>
              <w:rPr>
                <w:sz w:val="21"/>
                <w:szCs w:val="21"/>
                <w:color w:val="auto"/>
              </w:rPr>
            </w:pPr>
          </w:p>
        </w:tc>
      </w:tr>
      <w:tr>
        <w:trPr>
          <w:trHeight w:val="243"/>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Equipment</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5 - 7</w:t>
            </w:r>
          </w:p>
        </w:tc>
        <w:tc>
          <w:tcPr>
            <w:tcW w:w="2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7</w:t>
            </w:r>
          </w:p>
        </w:tc>
        <w:tc>
          <w:tcPr>
            <w:tcW w:w="2920" w:type="dxa"/>
            <w:vAlign w:val="bottom"/>
            <w:tcBorders>
              <w:bottom w:val="single" w:sz="8" w:color="CCEEFF"/>
            </w:tcBorders>
            <w:shd w:val="clear" w:color="auto" w:fill="CCEEFF"/>
          </w:tcPr>
          <w:p>
            <w:pPr>
              <w:spacing w:after="0"/>
              <w:rPr>
                <w:sz w:val="21"/>
                <w:szCs w:val="21"/>
                <w:color w:val="auto"/>
              </w:rPr>
            </w:pPr>
          </w:p>
        </w:tc>
      </w:tr>
      <w:tr>
        <w:trPr>
          <w:trHeight w:val="243"/>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Software and website</w:t>
            </w:r>
          </w:p>
        </w:tc>
        <w:tc>
          <w:tcPr>
            <w:tcW w:w="1600" w:type="dxa"/>
            <w:vAlign w:val="bottom"/>
            <w:gridSpan w:val="2"/>
          </w:tcPr>
          <w:p>
            <w:pPr>
              <w:ind w:left="520"/>
              <w:spacing w:after="0"/>
              <w:rPr>
                <w:sz w:val="20"/>
                <w:szCs w:val="20"/>
                <w:color w:val="auto"/>
              </w:rPr>
            </w:pPr>
            <w:r>
              <w:rPr>
                <w:rFonts w:ascii="Arial" w:cs="Arial" w:eastAsia="Arial" w:hAnsi="Arial"/>
                <w:sz w:val="16"/>
                <w:szCs w:val="16"/>
                <w:color w:val="auto"/>
              </w:rPr>
              <w:t>3</w:t>
            </w:r>
          </w:p>
        </w:tc>
        <w:tc>
          <w:tcPr>
            <w:tcW w:w="2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5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Shorter of lease term or 10 years</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capitalizes costs of initial development of internal-use software and its website, and amortizes such costs on a straight-line basis over the estimated useful life of the software, which is generally three years, once it is available for use. Costs related to the ongoing maintenance of internal-use software and the website are expensed as incurred.</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reviews the carrying value of its long-lived assets, including property and equipment, whenever events or changes in circumstances indicate that the carrying value may not be recoverable. To the extent the estimated future cash inflows attributable to the assets, less estimated future cash outflows, are less than the carrying amount, an impairment loss would be recognized. No impairment losses have been recognized during the three years ended December 31, 2021, and as of December 31, 2021, no events or changes in circumstance have been identified that would indicate the carrying value of long-lived assets is not recoverable.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Assets under lease agreements are accounted for under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and are reviewed for capital or operating classification at their inception. The Company’s leases are classified as operating leases under ASC 840 which are recognized as an expense on a straight-line basis over the lease term. In the event that lease incentives are received to enter into operating leases, such incentives are recognized as a liability and recognized as a reduction of the rental expense on a straight-line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Connection with Financings</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Warrants issued in connection with debt and equity financings are generally accounted for as a component of equity unless the warrants include a conditional obligation to issue a variable number of units among other conditions or there is a deemed possibility that the Company may need to settle the warrants in cash, in which case they are accounted for as non-current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Direct costs incurred on borrowings are capitalized and amortized to interest expense over the contractual term of the related loan using the effective interest method.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 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An in-house three-year extended service plan, which provides full inspection, cleaning and certain repairs due to normal wear, is offered for an additional charge. An extended protection plan is also offered through a third party that has different terms ranging from 2 years to lifetime that vary based on the item purchased.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total net sales by geography for the years ended December 31, 2021, 2020 and 2019 (in thousands):</w:t>
      </w:r>
    </w:p>
    <w:p>
      <w:pPr>
        <w:spacing w:after="0" w:line="59"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For the Years Ended December 31,</w:t>
            </w:r>
          </w:p>
        </w:tc>
        <w:tc>
          <w:tcPr>
            <w:tcW w:w="12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3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353,072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186,528</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27,117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14,815</w:t>
            </w:r>
          </w:p>
        </w:tc>
      </w:tr>
      <w:tr>
        <w:trPr>
          <w:trHeight w:val="27"/>
        </w:trPr>
        <w:tc>
          <w:tcPr>
            <w:tcW w:w="3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380,189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251,820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201,343</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 xml:space="preserve">Revenue is recognized under Financial Accounting Standards Board (“FASB”)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requires that revenue from customers be recognized as control of the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The Company offers an in-house three-year extended service plan, which gives rise to an additional performance obligation, when purchased by the customer, which is recognized over the course of the plan. The Company also offers an extended protection plan in the capacity of an agent on behalf of a third-party that has different terms ranging from two years to lifetime that vary based on the item purchased. The commission that the Company receives from the third-party is recognized at the time of sale less an estimate of cancellations based on historical experience. There are no additional performance obligations in relation to the third-party plan. Additionally, sales taxes are collected and remitted to taxing authorities, and the Company has elected to exclude sales taxes from revenues recognized under ASC 606.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As of December 31, 2021 and December 31, 2020, total deferred revenue was $19.0 million and $11.0 million, respectively, of which $0.2 million and $0.2 million, respectively, were included within other long-term liabilities in the consolidated balance sheets. During the years ended December 31, 2021, 2020 and 2019, the Company recognized $9.6 million, $8.1 million, and $5.9 million, respectively, of revenue that was deferred as of the last day of the respective prior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and Allowances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21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As of December 31, 2021 and December 31, 2020, refund liabilities balances were $2.3 million and $2.3 million, respectively, and are included as a provision for sales returns and allowances within accrued expenses and other current liabilities in the consolidated balance sheets. As of December 31, 2021 and December 31, 2020, returns asset balances were $1.1 million and $1.2 million, respectively, and are included within prepaid expenses and other current assets in the consolidated balance sheets. See Note 6,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Fulfillment Costs</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generally does not bill customers separately for shipping and handling charges. Any fulfillment costs incurred by the Company when shipping to customers is reflected in cost of sales in the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Consignment Inventory Sales</w:t>
      </w:r>
    </w:p>
    <w:p>
      <w:pPr>
        <w:spacing w:after="0" w:line="25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6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purchases diamonds and gemstones from suppliers and utilizes third-party manufacturing suppliers for the production and assembly of substantially all jewelry sold by the Company. Cost of sales includes merchandise costs, inbound freight charges, costs of shipping orders to customers, costs and reserves for disposal of obsolete, slow-moving or defective items and shrinkage.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Selling, general and administrative expenses consist primarily of marketing, advertising and promotional expenses, payroll and related benefit costs for the Company’s employees, including equity-based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merchant processing fees, certain facility-related costs, customer service, technology and depreciation expenses, as well as professional fees and other general corporate expenses.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Marketing, advertising and promotional costs are expensed as incurred and totaled approximately $74.4 million, $47.1 million and $57.1 million, for the years ended December 31,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Gains or losses resulting from foreign currency transactions are included within other expense, net in the consolidated statements of operations. For the years ended December 31, 2021, 2020 and 2019, losses from foreign currency transactions were $0.5 million, $0.3 million and $0.3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an anticipated equity financing until such transaction is consummated. After consummation of an equity financing, these costs are recorded as a reduction of the proceeds received. Should a planned equity financing be abandoned, terminated or significantly delayed, the deferred offering costs are immediately written off to operating expenses in the consolidated statements of operations in the period of determination.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Equity-based compensation is accounted for as an expense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with the fair value recognition and measurement provisions of U.S. GAAP which requires compensation cost for the grant-date fair value of equity-based awards to be recognized over the requisite service period. The Company uses the straight-line method to amortize all stock awards granted over the requisite service period of the award. The Company accounts for forfeitures when they occur, and any compensation expense previously recognized on unvested equity-based awards will be reversed when forfeited.</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the Company’s IPO in September 2021 was determined by considering a number of objective, subjective and highly complex factors including independent third-party valuations of the Company’s member units, operating and financial performance, the lack of liquidity of member units and general and industry specific economic outlook among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units (“RSUs”) is based on the fair value of the Class A common stock at the time of grant.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the Company’s industry which are of similar size, complexity and stage of development.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nil as the Company has not paid and does not anticipate paying dividends on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Units</w:t>
      </w:r>
    </w:p>
    <w:p>
      <w:pPr>
        <w:spacing w:after="0" w:line="25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Member units were assessed at issuance or when the terms were changed or modified for classification (as liabilities, temporary equity, or permanent equity), and for embedded conversion and redemption features requiring bifurcation. The Class F Units (“Class F Units”) and Class M Units meet the criteria for classification as permanent equity. As discussed in Note 9, </w:t>
      </w:r>
      <w:r>
        <w:rPr>
          <w:rFonts w:ascii="Arial" w:cs="Arial" w:eastAsia="Arial" w:hAnsi="Arial"/>
          <w:sz w:val="18"/>
          <w:szCs w:val="18"/>
          <w:i w:val="1"/>
          <w:iCs w:val="1"/>
          <w:color w:val="auto"/>
        </w:rPr>
        <w:t>Stockholders’ and Members’ Equity</w:t>
      </w:r>
      <w:r>
        <w:rPr>
          <w:rFonts w:ascii="Arial" w:cs="Arial" w:eastAsia="Arial" w:hAnsi="Arial"/>
          <w:sz w:val="18"/>
          <w:szCs w:val="18"/>
          <w:color w:val="auto"/>
        </w:rPr>
        <w:t>, the Class P Units were classified as temporary equity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each reporting period to their redemption value.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Under the LLC Agreement, the holder of any Class P Units had the right at any time, at such holder’s option,</w:t>
      </w:r>
    </w:p>
    <w:p>
      <w:pPr>
        <w:spacing w:after="0" w:line="2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to convert any such Class P Units into Class F Units on a one-to-one basis. Included in the conversion formula was a down round feature which provided the P Unitholder with protection if at any time after the original issuance of the Class P Units, the Company shall issue any Class F or Class M Units, for a consideration per unit less than the applicable conversion price in effect immediately prior to the issuance of such Class F or Class M Units, such Conversion Price shall be decreased based on a formula as described. The embedded conversion feature including down round protection qualifies for an exception under the derivative rules for bifurcation and all proceeds from issuance were allocated to the P Units.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Members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LLC Agreement provides for the distribution of cash in defined amounts sufficient to fund member income tax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Brilliant Earth Group, Inc. accounts for its income taxes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recognizes penalties and interest related to uncertain tax positions within the provision (benefit) for income taxes line in the consolidated statements of operations. As of December 31, 2021, no uncertain tax positions have been recorded. The Company will continue to monitor this position each interim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 Is a</w:t>
      </w:r>
      <w:r>
        <w:rPr>
          <w:rFonts w:ascii="Arial" w:cs="Arial" w:eastAsia="Arial" w:hAnsi="Arial"/>
          <w:sz w:val="17"/>
          <w:szCs w:val="17"/>
          <w:color w:val="auto"/>
        </w:rPr>
        <w:t xml:space="preserve"> </w:t>
      </w:r>
      <w:r>
        <w:rPr>
          <w:rFonts w:ascii="Arial" w:cs="Arial" w:eastAsia="Arial" w:hAnsi="Arial"/>
          <w:sz w:val="17"/>
          <w:szCs w:val="17"/>
          <w:i w:val="1"/>
          <w:iCs w:val="1"/>
          <w:color w:val="auto"/>
        </w:rPr>
        <w:t>Service Contract</w:t>
      </w:r>
      <w:r>
        <w:rPr>
          <w:rFonts w:ascii="Arial" w:cs="Arial" w:eastAsia="Arial" w:hAnsi="Arial"/>
          <w:sz w:val="17"/>
          <w:szCs w:val="17"/>
          <w:color w:val="auto"/>
        </w:rPr>
        <w:t>. The intent of the standard is to reduce diversity in practice in accounting for the costs of implementing cloud computing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are service contracts. Under the new standard, entities will be required to apply the accounting guidance as prescribed by ASC 350-40, </w:t>
      </w:r>
      <w:r>
        <w:rPr>
          <w:rFonts w:ascii="Arial" w:cs="Arial" w:eastAsia="Arial" w:hAnsi="Arial"/>
          <w:sz w:val="17"/>
          <w:szCs w:val="17"/>
          <w:i w:val="1"/>
          <w:iCs w:val="1"/>
          <w:color w:val="auto"/>
        </w:rPr>
        <w:t>Internal Use</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w:t>
      </w:r>
      <w:r>
        <w:rPr>
          <w:rFonts w:ascii="Arial" w:cs="Arial" w:eastAsia="Arial" w:hAnsi="Arial"/>
          <w:sz w:val="17"/>
          <w:szCs w:val="17"/>
          <w:color w:val="auto"/>
        </w:rPr>
        <w:t>, in determining which implementation costs should be capitalized as assets or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internal-use software guidance requires the capitalization of certain costs incurred during the application development stage of an internal-use software project, while requiring companies to expense all costs incurred during preliminary project and post-implementation project stages. The standard may be applied either</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prospectively to all implementation costs incurred after the adoption date or retrospectively. ASU 2018-15 is effective for the Company beginning after December 15, 2020, and interim periods within fiscal years beginning after December 15, 2021. Early adoption is permitted, including adoption in any interim period for which financial statements have not been issued. Application of the amendments can be applied either retrospectively or prospectively to all implementation costs incurred after the date of adoption. The Company adopted this guidance as of October 1, 2021, prospectively, which did not have a material impact on the Company's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Issued but Not Yet Adopted</w:t>
      </w:r>
    </w:p>
    <w:p>
      <w:pPr>
        <w:spacing w:after="0" w:line="2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February 2016, the Financial Accounting Standards Board (“FASB”) issued ASU 2016-02 – </w:t>
      </w:r>
      <w:r>
        <w:rPr>
          <w:rFonts w:ascii="Arial" w:cs="Arial" w:eastAsia="Arial" w:hAnsi="Arial"/>
          <w:sz w:val="16"/>
          <w:szCs w:val="16"/>
          <w:i w:val="1"/>
          <w:iCs w:val="1"/>
          <w:color w:val="auto"/>
        </w:rPr>
        <w:t>Leases</w:t>
      </w:r>
      <w:r>
        <w:rPr>
          <w:rFonts w:ascii="Arial" w:cs="Arial" w:eastAsia="Arial" w:hAnsi="Arial"/>
          <w:sz w:val="16"/>
          <w:szCs w:val="16"/>
          <w:color w:val="auto"/>
        </w:rPr>
        <w:t>, which was amended in January 2018 and requires an entity that leases assets to recognize on the balance sheet the assets and liabilities for the rights and obligations created by those leases. Leases will be classified as either financing or operating, similar to current accounting requirements, with the applicable classification determining the pattern of expense recognition in the statement of earnings. The Company elected to adopt the ASU in the first quarter of 2022 by applying its provisions prospectively and no transition adjustment is expected to be recognized as of January 1, 2022. The Company also expects to elect the package of practical expedients permitted under the transition guidance, which provides that an entity need not reassess: (i) whether any expired or existing contracts are or contain leases, (ii) the lease classification for any expired or existing leases, and (iii) initial direct costs for any existing leases. The Company anticipates recording lease assets and liabilities between approximately $17.0 million to $20.0 million on its consolidated balance sheets, with no material impact to its consolidated statements of operations. However, the ultimate impact of adopting ASU 2016-02 will depend on the Company’s lease portfolio as of the adoption date.</w:t>
      </w:r>
    </w:p>
    <w:p>
      <w:pPr>
        <w:spacing w:after="0" w:line="19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 (Topic 326)</w:t>
      </w:r>
      <w:r>
        <w:rPr>
          <w:rFonts w:ascii="Arial" w:cs="Arial" w:eastAsia="Arial" w:hAnsi="Arial"/>
          <w:sz w:val="16"/>
          <w:szCs w:val="16"/>
          <w:color w:val="auto"/>
        </w:rPr>
        <w:t>, with additional amendments issued subsequently. Topic 326 changes the impairment model for most financial assets. The new model uses a forward-looking expected loss method, which will generally result in earlier recognition of allowances for losses. Topic 326 is effective for fiscal years beginning after December 15, 2022, including interim periods within those fiscal years. Early adoption is permitted. The Company is currently evaluating the impact of the adoption of Topic 326 but does not expect the adoption of the standard to have a material impact on the Company's consolidated financial statements.</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Simplifying the Accounting for Income Taxes (“ASU 2019-12”), which modifies ASC 740 to reduce complexity while maintaining or improving the usefulness of the information provided to users of financial statements. ASU 2019-12 is effective for the Company for interim and annual reporting periods beginning after December 15, 2021. The Company is currently assessing the impact of ASU 2019-12 but does not expect the adoption of this guidance to have a material impact on the Company's consolidated financial statements.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U.S. GAAP to contracts, hedging relationships, and other transactions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by reference rate reform if certain criteria are met. The amendments apply only to contracts, hedging relationships, and other transactions that reference the London Inter-bank offered rate (“LIBOR”) or another reference rate expected to be discontinued because of reference rate reform. The standard is effective for all entities as of March 12, 2020 through December 31, 2022 and may be elected over time as reference rate reform activities occur. The Company plans to apply the amendments in this update to account for any contract modifications that result from changes in the reference rate used. The Company is currently evaluating the impact, but does not expect this guidance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1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All earnings prior to September 23, 2021, the date of the IPO, were entirely allocable to the non-controlling interest and, as a result, earnings per share information is not applicable for reporting periods prior to this date. Consequently, only earnings per share for net income for periods subsequent to September 22, 2021 are presented.</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Basic and diluted earnings per share of common stock for the period from September 23, 2021 to December 31, 2021 have been computed as follows (in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For the period September 23,</w:t>
            </w:r>
          </w:p>
        </w:tc>
      </w:tr>
      <w:tr>
        <w:trPr>
          <w:trHeight w:val="234"/>
        </w:trPr>
        <w:tc>
          <w:tcPr>
            <w:tcW w:w="8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2021 to December 31, 2021</w:t>
            </w:r>
          </w:p>
        </w:tc>
      </w:tr>
      <w:tr>
        <w:trPr>
          <w:trHeight w:val="27"/>
        </w:trPr>
        <w:tc>
          <w:tcPr>
            <w:tcW w:w="8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43"/>
        </w:trPr>
        <w:tc>
          <w:tcPr>
            <w:tcW w:w="8840" w:type="dxa"/>
            <w:vAlign w:val="bottom"/>
          </w:tcPr>
          <w:p>
            <w:pPr>
              <w:ind w:left="360"/>
              <w:spacing w:after="0"/>
              <w:rPr>
                <w:sz w:val="20"/>
                <w:szCs w:val="20"/>
                <w:color w:val="auto"/>
              </w:rPr>
            </w:pPr>
            <w:r>
              <w:rPr>
                <w:rFonts w:ascii="Arial" w:cs="Arial" w:eastAsia="Arial" w:hAnsi="Arial"/>
                <w:sz w:val="18"/>
                <w:szCs w:val="18"/>
                <w:color w:val="auto"/>
              </w:rPr>
              <w:t>Net income attributable to Brilliant Earth Group, Inc., 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7"/>
        </w:trPr>
        <w:tc>
          <w:tcPr>
            <w:tcW w:w="8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Add: Net income impact from assumed redemption of all LLC Units to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r>
      <w:tr>
        <w:trPr>
          <w:trHeight w:val="243"/>
        </w:trPr>
        <w:tc>
          <w:tcPr>
            <w:tcW w:w="8840" w:type="dxa"/>
            <w:vAlign w:val="bottom"/>
          </w:tcPr>
          <w:p>
            <w:pPr>
              <w:ind w:left="360"/>
              <w:spacing w:after="0"/>
              <w:rPr>
                <w:sz w:val="20"/>
                <w:szCs w:val="20"/>
                <w:color w:val="auto"/>
              </w:rPr>
            </w:pPr>
            <w:r>
              <w:rPr>
                <w:rFonts w:ascii="Arial" w:cs="Arial" w:eastAsia="Arial" w:hAnsi="Arial"/>
                <w:sz w:val="18"/>
                <w:szCs w:val="18"/>
                <w:color w:val="auto"/>
              </w:rPr>
              <w:t>Less: Income tax expense on net income attributable to NCI at 25.7%</w:t>
            </w: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(2,755)</w:t>
            </w:r>
          </w:p>
        </w:tc>
      </w:tr>
      <w:tr>
        <w:trPr>
          <w:trHeight w:val="27"/>
        </w:trPr>
        <w:tc>
          <w:tcPr>
            <w:tcW w:w="8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88"/>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 attributable to Brilliant Earth Group, Inc., after adjustment for assumed conversion,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360"/>
              <w:spacing w:after="0"/>
              <w:rPr>
                <w:sz w:val="20"/>
                <w:szCs w:val="20"/>
                <w:color w:val="auto"/>
              </w:rPr>
            </w:pPr>
            <w:r>
              <w:rPr>
                <w:rFonts w:ascii="Arial" w:cs="Arial" w:eastAsia="Arial" w:hAnsi="Arial"/>
                <w:sz w:val="18"/>
                <w:szCs w:val="18"/>
                <w:color w:val="auto"/>
              </w:rPr>
              <w:t>Weighted average shares of common stock outstanding, BASIC</w:t>
            </w: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9,590,443</w:t>
            </w:r>
          </w:p>
        </w:tc>
      </w:tr>
      <w:tr>
        <w:trPr>
          <w:trHeight w:val="27"/>
        </w:trPr>
        <w:tc>
          <w:tcPr>
            <w:tcW w:w="8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Dilutive effects of:</w:t>
            </w:r>
          </w:p>
        </w:tc>
        <w:tc>
          <w:tcPr>
            <w:tcW w:w="1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680"/>
              <w:spacing w:after="0"/>
              <w:rPr>
                <w:sz w:val="20"/>
                <w:szCs w:val="20"/>
                <w:color w:val="auto"/>
              </w:rPr>
            </w:pPr>
            <w:r>
              <w:rPr>
                <w:rFonts w:ascii="Arial" w:cs="Arial" w:eastAsia="Arial" w:hAnsi="Arial"/>
                <w:sz w:val="18"/>
                <w:szCs w:val="18"/>
                <w:color w:val="auto"/>
              </w:rPr>
              <w:t>Vested LLC Units that are exchangeable for common stock</w:t>
            </w: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85,105,060</w:t>
            </w:r>
          </w:p>
        </w:tc>
      </w:tr>
      <w:tr>
        <w:trPr>
          <w:trHeight w:val="27"/>
        </w:trPr>
        <w:tc>
          <w:tcPr>
            <w:tcW w:w="8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8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LLC Units, RSUs and stock options</w:t>
            </w:r>
          </w:p>
        </w:tc>
        <w:tc>
          <w:tcPr>
            <w:tcW w:w="1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2,045,918</w:t>
            </w:r>
          </w:p>
        </w:tc>
      </w:tr>
      <w:tr>
        <w:trPr>
          <w:trHeight w:val="263"/>
        </w:trPr>
        <w:tc>
          <w:tcPr>
            <w:tcW w:w="8840" w:type="dxa"/>
            <w:vAlign w:val="bottom"/>
          </w:tcPr>
          <w:p>
            <w:pPr>
              <w:ind w:left="360"/>
              <w:spacing w:after="0"/>
              <w:rPr>
                <w:sz w:val="20"/>
                <w:szCs w:val="20"/>
                <w:color w:val="auto"/>
              </w:rPr>
            </w:pPr>
            <w:r>
              <w:rPr>
                <w:rFonts w:ascii="Arial" w:cs="Arial" w:eastAsia="Arial" w:hAnsi="Arial"/>
                <w:sz w:val="18"/>
                <w:szCs w:val="18"/>
                <w:color w:val="auto"/>
              </w:rPr>
              <w:t>Weighted average shares of common stock outstanding, DILUTED</w:t>
            </w:r>
          </w:p>
        </w:tc>
        <w:tc>
          <w:tcPr>
            <w:tcW w:w="140" w:type="dxa"/>
            <w:vAlign w:val="bottom"/>
            <w:tcBorders>
              <w:top w:val="single" w:sz="8" w:color="auto"/>
              <w:bottom w:val="single" w:sz="8" w:color="auto"/>
            </w:tcBorders>
          </w:tcPr>
          <w:p>
            <w:pPr>
              <w:spacing w:after="0"/>
              <w:rPr>
                <w:sz w:val="22"/>
                <w:szCs w:val="22"/>
                <w:color w:val="auto"/>
              </w:rPr>
            </w:pP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96,741,421</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197"/>
        </w:trPr>
        <w:tc>
          <w:tcPr>
            <w:tcW w:w="8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0.16</w:t>
            </w:r>
          </w:p>
        </w:tc>
      </w:tr>
      <w:tr>
        <w:trPr>
          <w:trHeight w:val="27"/>
        </w:trPr>
        <w:tc>
          <w:tcPr>
            <w:tcW w:w="8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r>
      <w:tr>
        <w:trPr>
          <w:trHeight w:val="27"/>
        </w:trPr>
        <w:tc>
          <w:tcPr>
            <w:tcW w:w="8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income attributable to the non-controlling interest added back to net income in the fully dilutive computation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200"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For the period from September 23, 2021 to December 31, 2021, the dilutive impact of LLC Units convertible into common stock were included in the computation of diluted earnings per share under the if-converted method; the dilutive impact of unvested LLC Units, RSUs and stock options were included using the treasury stock method.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NOTE 4. INVENTORIES, NET</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Inventories, net consist of the following (in thousands):</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91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Loose diamonds</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4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Fine jewelry and other</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inventory obsolescence</w:t>
            </w:r>
          </w:p>
        </w:tc>
        <w:tc>
          <w:tcPr>
            <w:tcW w:w="1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63"/>
        </w:trPr>
        <w:tc>
          <w:tcPr>
            <w:tcW w:w="5080" w:type="dxa"/>
            <w:vAlign w:val="bottom"/>
          </w:tcPr>
          <w:p>
            <w:pPr>
              <w:ind w:left="140"/>
              <w:spacing w:after="0"/>
              <w:rPr>
                <w:sz w:val="20"/>
                <w:szCs w:val="20"/>
                <w:color w:val="auto"/>
              </w:rPr>
            </w:pPr>
            <w:r>
              <w:rPr>
                <w:rFonts w:ascii="Arial" w:cs="Arial" w:eastAsia="Arial" w:hAnsi="Arial"/>
                <w:sz w:val="18"/>
                <w:szCs w:val="18"/>
                <w:b w:val="1"/>
                <w:bCs w:val="1"/>
                <w:color w:val="auto"/>
              </w:rPr>
              <w:t>Total inventories, net</w:t>
            </w:r>
          </w:p>
        </w:tc>
        <w:tc>
          <w:tcPr>
            <w:tcW w:w="126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13,559</w:t>
            </w:r>
          </w:p>
        </w:tc>
        <w:tc>
          <w:tcPr>
            <w:tcW w:w="0" w:type="dxa"/>
            <w:vAlign w:val="bottom"/>
          </w:tcPr>
          <w:p>
            <w:pPr>
              <w:spacing w:after="0"/>
              <w:rPr>
                <w:sz w:val="1"/>
                <w:szCs w:val="1"/>
                <w:color w:val="auto"/>
              </w:rPr>
            </w:pPr>
          </w:p>
        </w:tc>
      </w:tr>
      <w:tr>
        <w:trPr>
          <w:trHeight w:val="21"/>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w w:val="96"/>
              </w:rPr>
              <w:t>The allowance for inventory obsolescence consists of the following (in thousands):</w:t>
            </w: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3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Change in allowance for inventory obsolescence</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at end of period</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for inventory obsolescence included in cost of sales in the consolidated statements of operations were less than $0.1 million for the years ended December 31, 2021, 2020 and 2019, respectively.</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2021 and December 31, 2020, the Company had $16.9 million and $11.7 million, respectively, in consigned inventory held on behalf of suppliers which is not recorded in the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7520" w:type="dxa"/>
            <w:vAlign w:val="bottom"/>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52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3"/>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7"/>
        </w:trPr>
        <w:tc>
          <w:tcPr>
            <w:tcW w:w="7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7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Software and website</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7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property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7"/>
        </w:trPr>
        <w:tc>
          <w:tcPr>
            <w:tcW w:w="7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property and equipment, net</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6,732</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Total depreciation expenses were approximately $0.9 million, $0.6 million, and $0.6 million for the years ended December 31, 2021, 2020 and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6. ACCRUED EXPENSES AND OTHER CURRENT LIABILITIES</w:t>
            </w: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6340" w:type="dxa"/>
            <w:vAlign w:val="bottom"/>
          </w:tcPr>
          <w:p>
            <w:pPr>
              <w:spacing w:after="0"/>
              <w:rPr>
                <w:sz w:val="20"/>
                <w:szCs w:val="20"/>
                <w:color w:val="auto"/>
              </w:rPr>
            </w:pPr>
            <w:r>
              <w:rPr>
                <w:rFonts w:ascii="Arial" w:cs="Arial" w:eastAsia="Arial" w:hAnsi="Arial"/>
                <w:sz w:val="18"/>
                <w:szCs w:val="18"/>
                <w:color w:val="auto"/>
                <w:w w:val="93"/>
              </w:rPr>
              <w:t>Accrued expenses and other current liabilities consist of the following (in thousands):</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13"/>
        </w:trPr>
        <w:tc>
          <w:tcPr>
            <w:tcW w:w="6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tcPr>
          <w:p>
            <w:pPr>
              <w:spacing w:after="0"/>
              <w:rPr>
                <w:sz w:val="24"/>
                <w:szCs w:val="24"/>
                <w:color w:val="auto"/>
              </w:rPr>
            </w:pPr>
          </w:p>
        </w:tc>
      </w:tr>
      <w:tr>
        <w:trPr>
          <w:trHeight w:val="27"/>
        </w:trPr>
        <w:tc>
          <w:tcPr>
            <w:tcW w:w="63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jc w:val="right"/>
              <w:ind w:right="930"/>
              <w:spacing w:after="0"/>
              <w:rPr>
                <w:sz w:val="20"/>
                <w:szCs w:val="20"/>
                <w:color w:val="auto"/>
              </w:rPr>
            </w:pPr>
            <w:r>
              <w:rPr>
                <w:rFonts w:ascii="Arial" w:cs="Arial" w:eastAsia="Arial" w:hAnsi="Arial"/>
                <w:sz w:val="18"/>
                <w:szCs w:val="18"/>
                <w:b w:val="1"/>
                <w:bCs w:val="1"/>
                <w:color w:val="auto"/>
              </w:rPr>
              <w:t>2020</w:t>
            </w:r>
          </w:p>
        </w:tc>
      </w:tr>
      <w:tr>
        <w:trPr>
          <w:trHeight w:val="27"/>
        </w:trPr>
        <w:tc>
          <w:tcPr>
            <w:tcW w:w="6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vendor expenses</w:t>
            </w:r>
          </w:p>
        </w:tc>
        <w:tc>
          <w:tcPr>
            <w:tcW w:w="160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Inventory received not billed</w:t>
            </w:r>
          </w:p>
        </w:tc>
        <w:tc>
          <w:tcPr>
            <w:tcW w:w="16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3,893</w:t>
            </w:r>
          </w:p>
        </w:tc>
      </w:tr>
      <w:tr>
        <w:trPr>
          <w:trHeight w:val="27"/>
        </w:trPr>
        <w:tc>
          <w:tcPr>
            <w:tcW w:w="6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expenses</w:t>
            </w:r>
          </w:p>
        </w:tc>
        <w:tc>
          <w:tcPr>
            <w:tcW w:w="1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Sales and other tax payable accrual</w:t>
            </w:r>
          </w:p>
        </w:tc>
        <w:tc>
          <w:tcPr>
            <w:tcW w:w="16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7"/>
        </w:trPr>
        <w:tc>
          <w:tcPr>
            <w:tcW w:w="6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sales returns and allowances</w:t>
            </w:r>
          </w:p>
        </w:tc>
        <w:tc>
          <w:tcPr>
            <w:tcW w:w="1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7"/>
        </w:trPr>
        <w:tc>
          <w:tcPr>
            <w:tcW w:w="6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28,756</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17,118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Included in accrued expenses and other current liabilities is a provision for sales returns and allowances. Returns are estimated based on past experience and current expectations and are recorded as an adjustment to revenue. Activity for the years ended December 31, 2021, 2020 and 2019 was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r>
      <w:tr>
        <w:trPr>
          <w:trHeight w:val="27"/>
        </w:trPr>
        <w:tc>
          <w:tcPr>
            <w:tcW w:w="38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16,712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13,346</w:t>
            </w:r>
          </w:p>
        </w:tc>
      </w:tr>
      <w:tr>
        <w:trPr>
          <w:trHeight w:val="27"/>
        </w:trPr>
        <w:tc>
          <w:tcPr>
            <w:tcW w:w="3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Returns and allowances</w:t>
            </w:r>
          </w:p>
        </w:tc>
        <w:tc>
          <w:tcPr>
            <w:tcW w:w="1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(12,455)</w:t>
            </w:r>
          </w:p>
        </w:tc>
      </w:tr>
      <w:tr>
        <w:trPr>
          <w:trHeight w:val="263"/>
        </w:trPr>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Balance at end of period</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1,339</w:t>
            </w:r>
          </w:p>
        </w:tc>
      </w:tr>
      <w:tr>
        <w:trPr>
          <w:trHeight w:val="20"/>
        </w:trPr>
        <w:tc>
          <w:tcPr>
            <w:tcW w:w="3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leases its showrooms and headquarters office space under operating leases. The fixed, non-cancelable terms of our real estate leases are generally 5-10 years and typically include renewal options. Most of the real estate leases require payment of real estate taxes, insurance and certain common area maintenance costs in addition to future minimum lease payments.</w:t>
      </w:r>
    </w:p>
    <w:p>
      <w:pPr>
        <w:spacing w:after="0" w:line="2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of December 31, 2021, no renewal option periods were included in the estimated minimum lease terms as the options were not deemed to be reasonably certain to be exercised. The depreciable life of assets under lease and leasehold improvements are limited by the expected lease term.</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the Company entered into new lease agreements and amended certain existing leases to extend their terms.</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operating lease expense recorded in selling, general and administrative expenses in the consolidated statements of operations were $3.3 million, $2.5 million and $1.9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aggregate future minimum lease payments under long-term non-cancelable operating leases, where the Company has taken physical possession of or has control of the physical use of these leased properties, as of December 31, 2021 are as follows (in thousands):</w:t>
      </w:r>
    </w:p>
    <w:p>
      <w:pPr>
        <w:spacing w:after="0" w:line="4" w:lineRule="exact"/>
        <w:rPr>
          <w:sz w:val="20"/>
          <w:szCs w:val="20"/>
          <w:color w:val="auto"/>
        </w:rPr>
      </w:pPr>
    </w:p>
    <w:tbl>
      <w:tblPr>
        <w:tblLayout w:type="fixed"/>
        <w:tblInd w:w="27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Amount</w:t>
            </w:r>
          </w:p>
        </w:tc>
      </w:tr>
      <w:tr>
        <w:trPr>
          <w:trHeight w:val="27"/>
        </w:trPr>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2022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3,530</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3,103</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r>
      <w:tr>
        <w:trPr>
          <w:trHeight w:val="263"/>
        </w:trPr>
        <w:tc>
          <w:tcPr>
            <w:tcW w:w="3900" w:type="dxa"/>
            <w:vAlign w:val="bottom"/>
          </w:tcPr>
          <w:p>
            <w:pPr>
              <w:ind w:left="120"/>
              <w:spacing w:after="0"/>
              <w:rPr>
                <w:sz w:val="20"/>
                <w:szCs w:val="20"/>
                <w:color w:val="auto"/>
              </w:rPr>
            </w:pPr>
            <w:r>
              <w:rPr>
                <w:rFonts w:ascii="Arial" w:cs="Arial" w:eastAsia="Arial" w:hAnsi="Arial"/>
                <w:sz w:val="18"/>
                <w:szCs w:val="18"/>
                <w:b w:val="1"/>
                <w:bCs w:val="1"/>
                <w:color w:val="auto"/>
              </w:rPr>
              <w:t>Total minimum lease payments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25,166</w:t>
            </w:r>
          </w:p>
        </w:tc>
      </w:tr>
      <w:tr>
        <w:trPr>
          <w:trHeight w:val="21"/>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net carrying amount of the Term Loan (as defined below) as of December 31, 2021 and December 31, 2020, net of debt issuance costs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December 31, 2020</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Outstanding</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Net carrying</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Outstanding</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principal</w:t>
            </w: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7"/>
              </w:rPr>
              <w:t>Debt issuance costs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principal</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7"/>
              </w:rPr>
              <w:t>Debt issuance costs</w:t>
            </w:r>
          </w:p>
        </w:tc>
        <w:tc>
          <w:tcPr>
            <w:tcW w:w="20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33"/>
        </w:trPr>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62,211</w:t>
            </w:r>
          </w:p>
        </w:tc>
      </w:tr>
      <w:tr>
        <w:trPr>
          <w:trHeight w:val="247"/>
        </w:trPr>
        <w:tc>
          <w:tcPr>
            <w:tcW w:w="2180" w:type="dxa"/>
            <w:vAlign w:val="bottom"/>
          </w:tcPr>
          <w:p>
            <w:pPr>
              <w:ind w:left="1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65,000</w:t>
            </w:r>
          </w:p>
        </w:tc>
        <w:tc>
          <w:tcPr>
            <w:tcW w:w="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65,000</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(2,789)</w:t>
            </w: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62,211</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0"/>
        </w:trPr>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6"/>
                <w:szCs w:val="16"/>
                <w:color w:val="auto"/>
              </w:rPr>
              <w:t>Current portion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30,789</w:t>
            </w:r>
          </w:p>
        </w:tc>
        <w:tc>
          <w:tcPr>
            <w:tcW w:w="8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30,789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34,211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62,211</w:t>
            </w:r>
          </w:p>
        </w:tc>
      </w:tr>
      <w:tr>
        <w:trPr>
          <w:trHeight w:val="247"/>
        </w:trPr>
        <w:tc>
          <w:tcPr>
            <w:tcW w:w="2180" w:type="dxa"/>
            <w:vAlign w:val="bottom"/>
          </w:tcPr>
          <w:p>
            <w:pPr>
              <w:ind w:left="1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65,000</w:t>
            </w:r>
          </w:p>
        </w:tc>
        <w:tc>
          <w:tcPr>
            <w:tcW w:w="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65,000</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(2,789)</w:t>
            </w: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62,211</w:t>
            </w:r>
          </w:p>
        </w:tc>
      </w:tr>
      <w:tr>
        <w:trPr>
          <w:trHeight w:val="24"/>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entered into a Loan and Security Agreement (the “Term Loan Agreement”) on September 30, 2019 with Runway Growth Credit Fund Inc. (the “Lender”) for a $40.0 million term loan, of which $35.0 million was defined as the First Tranche Term Loan and $5.0 million was the Second Tranche Term Loan. The $35.0 million First Tranche Term Loan was drawn on September 30, 2019. Payments were interest only through October 15, 2021 (first scheduled amortization payment) after which equal monthly payments of principal were due through April 15, 2023 (maturity date). Interest was at a variable rate equal to LIBOR (floor of 2.15%) plus 8.25%.</w:t>
      </w:r>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Term Loan (the “Term Loan”) under the Term Loan Agreement is secured by substantially all assets of the Company, and the Company is required to comply with certain covenants, including a covenant that requires the Company to reach certain minimum liquidity requirements of cash and cash equivalents as defined in the Term Loan Agreement. Prepayment fees of 3.00% declining to 0.00% were provided based on the anniversary date of payment.</w:t>
      </w:r>
    </w:p>
    <w:p>
      <w:pPr>
        <w:spacing w:after="0" w:line="2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Debt issuance costs of $2.6 million were capitalized and are being amortized to interest expense as an adjustment to yield using the effective interest method. Included in the debt issuance costs is the present value of a $1.6 million final payment due on April 15, 2023 (the “Final Payment”) which is being accreted to full value over the term.</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origination of the Term Loan Agreement, a warrant for 333,333 Class P Units was issued. The fair value of the warrant was $0.1 million at the time of issuance which was accounted for as a debt origination cost (contra-liability). The warrants had a carrying value of $6.4 million as of September 22, 2021 (after the mark-to-market adjustment as of the date of exercise) and were converted upon exercise into 534,589 newly issued LLC Units on a net settlement basis, elected at the option of the holder.</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December 17, 2020, the Company entered into a First Amendment to the Term Loan Agreement with the Lender (the “First Amendment”) to expand the Second Tranche Term Loan from $5.0 million to $30.0 million for a total commitment of $65.0 million. Up to $30.0 million of the proceeds from the Second Tranche Term Loan could be distributed to the holders of the equity interests within 90 days of closing. Other modifications in the First Amendment include:</w:t>
      </w:r>
    </w:p>
    <w:p>
      <w:pPr>
        <w:spacing w:after="0" w:line="21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Closing fee of $0.3 million related to this new facility;</w:t>
      </w:r>
    </w:p>
    <w:p>
      <w:pPr>
        <w:spacing w:after="0" w:line="23" w:lineRule="exact"/>
        <w:rPr>
          <w:rFonts w:ascii="Arial" w:cs="Arial" w:eastAsia="Arial" w:hAnsi="Arial"/>
          <w:sz w:val="18"/>
          <w:szCs w:val="18"/>
          <w:color w:val="auto"/>
        </w:rPr>
      </w:pPr>
    </w:p>
    <w:p>
      <w:pPr>
        <w:ind w:left="660" w:right="680" w:hanging="328"/>
        <w:spacing w:after="0" w:line="250"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Reduction in the LIBOR Floor on the entire facility from 2.15% to 1.00% (effective interest rate reduced from 10.40% to 9.25% based on LIBOR);</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the maturity to October 15,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the interest-only period by 6 months (first scheduled amortization payment on April 15,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Allowance of quarterly tax distributions to members;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the prepayment term trigger dates by 6 months;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Modification of the Final Payment, as defined, to include the present value of an additional $1.4 million, which represents the incremental increase in the Final Payment due to the increase in the Term Loan principal, and an additional $0.2 million, which are included in the debt issuance costs and are being accreted to full value as an adjustment to the interest rate; and</w:t>
      </w:r>
    </w:p>
    <w:p>
      <w:pPr>
        <w:spacing w:after="0" w:line="1" w:lineRule="exact"/>
        <w:rPr>
          <w:rFonts w:ascii="Arial" w:cs="Arial" w:eastAsia="Arial" w:hAnsi="Arial"/>
          <w:sz w:val="18"/>
          <w:szCs w:val="18"/>
          <w:color w:val="auto"/>
        </w:rPr>
      </w:pPr>
    </w:p>
    <w:p>
      <w:pPr>
        <w:jc w:val="both"/>
        <w:ind w:left="660" w:right="160" w:hanging="328"/>
        <w:spacing w:after="0" w:line="255"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 of 25,000 new warrants to the Lender with an exercise price of $10.00 per Unit with a term of 10 years. These warrants were accounted for using a similar methodology to the valuation of the original warrants discussed above, and the fair value was determined to be less than $0.1 million. The warrants were converted into LLC Units at the time of the IPO.</w:t>
      </w:r>
    </w:p>
    <w:p>
      <w:pPr>
        <w:spacing w:after="0" w:line="2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6, 2021, a second amendment was executed primarily to allow for contributions to the Brilliant Earth Foundation. On August 29, 2021, a third amendment was executed to among other matters, permit the Reorganization Transactions that were consummated by the Company in connection with the Up-C structure of the IPO transaction and reduce the variable interest rate from 8.25% to 7.75%; and the LIBOR Floor from 1.00% to 0.50%. The amendments were treated as debt modifications for accounting purposes.</w:t>
      </w:r>
    </w:p>
    <w:p>
      <w:pPr>
        <w:spacing w:after="0" w:line="214"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effective interest rate was 11.68%, 13.01%, and 11.90% for the years ended December 31, 2021, 2020, and 2019, respectively. Interest expense was $5.9 million, $3.8 million and $2.0 million; and the amortization of deferred issuance costs was $1.7 million, $1.1 million and $0.3 million for the years ended December 31, 2021, 2020, and 2019, respectively. The Company was in compliance with all covenants as of December 31, 2021.</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2021, the aggregate future principal payments under the Term Loan, including the Final Payment payable to the lender, are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Final</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Principal</w:t>
            </w:r>
          </w:p>
        </w:tc>
        <w:tc>
          <w:tcPr>
            <w:tcW w:w="34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payment</w:t>
            </w:r>
          </w:p>
        </w:tc>
        <w:tc>
          <w:tcPr>
            <w:tcW w:w="40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CCEEFF"/>
            </w:tcBorders>
            <w:shd w:val="clear" w:color="auto" w:fill="CCEEFF"/>
          </w:tcPr>
          <w:p>
            <w:pPr>
              <w:jc w:val="right"/>
              <w:ind w:right="3430"/>
              <w:spacing w:after="0"/>
              <w:rPr>
                <w:sz w:val="20"/>
                <w:szCs w:val="20"/>
                <w:color w:val="auto"/>
              </w:rPr>
            </w:pPr>
            <w:r>
              <w:rPr>
                <w:rFonts w:ascii="Arial" w:cs="Arial" w:eastAsia="Arial" w:hAnsi="Arial"/>
                <w:sz w:val="18"/>
                <w:szCs w:val="18"/>
                <w:b w:val="1"/>
                <w:bCs w:val="1"/>
                <w:color w:val="auto"/>
                <w:w w:val="89"/>
              </w:rPr>
              <w:t>Years ending December 31,</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640" w:type="dxa"/>
            <w:vAlign w:val="bottom"/>
          </w:tcPr>
          <w:p>
            <w:pPr>
              <w:jc w:val="right"/>
              <w:ind w:right="5050"/>
              <w:spacing w:after="0"/>
              <w:rPr>
                <w:sz w:val="20"/>
                <w:szCs w:val="20"/>
                <w:color w:val="auto"/>
              </w:rPr>
            </w:pPr>
            <w:r>
              <w:rPr>
                <w:rFonts w:ascii="Arial" w:cs="Arial" w:eastAsia="Arial" w:hAnsi="Arial"/>
                <w:sz w:val="18"/>
                <w:szCs w:val="18"/>
                <w:color w:val="auto"/>
              </w:rPr>
              <w:t>2022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30,789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30,789</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jc w:val="right"/>
              <w:ind w:right="50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34,211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37,362</w:t>
            </w:r>
          </w:p>
        </w:tc>
      </w:tr>
      <w:tr>
        <w:trPr>
          <w:trHeight w:val="264"/>
        </w:trPr>
        <w:tc>
          <w:tcPr>
            <w:tcW w:w="5640" w:type="dxa"/>
            <w:vAlign w:val="bottom"/>
          </w:tcPr>
          <w:p>
            <w:pPr>
              <w:jc w:val="right"/>
              <w:ind w:right="2070"/>
              <w:spacing w:after="0"/>
              <w:rPr>
                <w:sz w:val="20"/>
                <w:szCs w:val="20"/>
                <w:color w:val="auto"/>
              </w:rPr>
            </w:pPr>
            <w:r>
              <w:rPr>
                <w:rFonts w:ascii="Arial" w:cs="Arial" w:eastAsia="Arial" w:hAnsi="Arial"/>
                <w:sz w:val="18"/>
                <w:szCs w:val="18"/>
                <w:b w:val="1"/>
                <w:bCs w:val="1"/>
                <w:color w:val="auto"/>
                <w:w w:val="96"/>
              </w:rPr>
              <w:t>Total aggregate future principal payments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68,151</w:t>
            </w: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under Paycheck Protection Program</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April 2020, in connection with the significant negative business impact of the COVID-19 pandemic, the Company applied for and received a $2.7 million PPP Loan under the CARES Act that bore interest at 1.00% per annum. The Company elected to repay the PPP Loan in full early during the year ended December 31, 2020, including interest expense of less than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with Related Parties</w:t>
      </w:r>
    </w:p>
    <w:p>
      <w:pPr>
        <w:spacing w:after="0" w:line="2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Prior to January 1, 2019, the Company entered into a Note Purchase Agreement representing an aggregate $11.0 million in secured promissory notes due November 2020 at 10.00% interest per annum payable quarterly. The holders of these notes were investors in or affiliates of investors in the entity, which consisted of the Company’s principal outside equity investors, holding all the Class P Units. The promissory notes were repaid in September 2019 in connection with the Term Loan Agreement. Interest expense, related to these notes, was $1.0 million for the year ended December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AND MEMBERS UNITS INCLUDING REDEEMABLE CONVERTIBLE CLASS 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Units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Business and Organization, Conversion of Class F, P and M Units at Time of IPO,</w:t>
      </w:r>
      <w:r>
        <w:rPr>
          <w:rFonts w:ascii="Arial" w:cs="Arial" w:eastAsia="Arial" w:hAnsi="Arial"/>
          <w:sz w:val="18"/>
          <w:szCs w:val="18"/>
          <w:color w:val="auto"/>
        </w:rPr>
        <w:t xml:space="preserve"> the number of Class F, P and M Units presented in these financial statements for periods prior to the IPO have been retroactively adjusted to reflect the conversion ratios of 1.8942, 1.9080 and 1.7735 for the Class F Units, P Units and M Units, respectively. At September 22, 2021, the following summarizes the Company’s units authorized, issued and outstanding:</w:t>
      </w:r>
    </w:p>
    <w:p>
      <w:pPr>
        <w:spacing w:after="0" w:line="264"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Units issued and</w:t>
            </w:r>
          </w:p>
        </w:tc>
      </w:tr>
      <w:tr>
        <w:trPr>
          <w:trHeight w:val="234"/>
        </w:trPr>
        <w:tc>
          <w:tcPr>
            <w:tcW w:w="382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Units authorized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r>
      <w:tr>
        <w:trPr>
          <w:trHeight w:val="27"/>
        </w:trPr>
        <w:tc>
          <w:tcPr>
            <w:tcW w:w="3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F Units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50,954,445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50,232,863</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33,162,444</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32,435,595</w:t>
            </w:r>
          </w:p>
        </w:tc>
      </w:tr>
      <w:tr>
        <w:trPr>
          <w:trHeight w:val="27"/>
        </w:trPr>
        <w:tc>
          <w:tcPr>
            <w:tcW w:w="3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M Units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7,791,744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3,904,237</w:t>
            </w:r>
          </w:p>
        </w:tc>
      </w:tr>
      <w:tr>
        <w:trPr>
          <w:trHeight w:val="27"/>
        </w:trPr>
        <w:tc>
          <w:tcPr>
            <w:tcW w:w="38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Prior to the restructuring, offering and other transactions completed in connection with the IPO, the business and affairs of the Brilliant Earth, LLC were managed by a board. The Class F Unit holders elected four members and the Class P Unit holders elected three members to the board. The Class F Units and the Class P Units were voting units and the unit holders voted together as a single class on an as-converted basis. The Class M Units were non-voting Units.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Under the LLC Agreement prior to the restructuring, offering and other transactions completed in connection with the IPO, distributions were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Members in the following order and priority:</w:t>
      </w:r>
    </w:p>
    <w:p>
      <w:pPr>
        <w:spacing w:after="0" w:line="238" w:lineRule="exact"/>
        <w:rPr>
          <w:sz w:val="20"/>
          <w:szCs w:val="20"/>
          <w:color w:val="auto"/>
        </w:rPr>
      </w:pPr>
    </w:p>
    <w:p>
      <w:pPr>
        <w:ind w:left="660" w:right="280" w:hanging="328"/>
        <w:spacing w:after="0" w:line="25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First, ratably among the holders of the Class P Units, until each holder of Class P Units has received an aggregate amount per unit equal to the Original Class P Purchase Price;</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Second, ratably among the holders of the Class F Units until the holders of the Class F Units have received an aggregate amount per unit equal to the Original Class P Purchase Price; and</w:t>
      </w: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Third, ratably among the holders of the Class F Units, the Class P Units (treating each Class P Unit as the number of Class F Units into which it is then convertible) based on the total outstanding Units held by each Member and the Class M Units which participate only upon the occurrence of certain events as described in the LLC Agreement.</w:t>
      </w:r>
    </w:p>
    <w:p>
      <w:pPr>
        <w:spacing w:after="0" w:line="2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Distributions using reasonable efforts are allowed to provide cash for payment of income tax obligations which are treated as advance payment of distributions on liquidation and prior to liquidation.</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Allocation of profits and losses to the classes of member units were determined by Brilliant Earth, LLC based on the provisions in the LLC Agreement. Under the Agreement, cumulative net losses were allocated to the 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net income was allocated to the Class F Units until cumulative net losses have been recovered. Thereafter, net income was allocated pro rata to the Class P Units and Class F Units based on their relative percent of capital. The Class M Units share only in cumulative net profits in excess of thresholds determined on the date of grant.</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Through December 31, 2019, cumulative net losses were allocated to the Class F Units. For the year ended December 31, 2020, net income of $11.3 million was allocated to the Class F Units to recover previous cumulative net losses and the balance of $10.3 million was allocated pro rata to the Class F and Class P Units and no net income was allocable to the Class M Units. For the period ended September 22, 2021, net income of $14.0 million was allocated pro rata to the Class F and Class P Units and no net income was allocable to the Class M Units.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Notwithstanding anything to the contrary in the LLC Agreement, in December 2020, the requisite members and the board of the Company agreed to make a special/specified distribution to the Members holding Class P Units and Class F Units on a one-time basis in the amounts of $10.0 million and $20.0 million, respectively, using proceeds from a loan refinancing. This distribution was treated as an advance of, and was offset against, future distributions to be made under the LLC Agreement to such Specified Member.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Class P Units and Classification as Temporary Equity Carried at Redemption Value</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Class P Units had an embedded conversion feature which allowed the holders, at their option, to convert Class P Units into Class F Units on a one-for-one basis. The units also had an embedded redemption feature which was included in an investor rights agreement and was an integral part of the LLC Agreement that allowed the Class P Unit holders to “put” any or all of their units to the Company for settlement in cash currently, or if the Company was unable to satisfy the put in accordance with the investor rights agreement, over time under a senior secured promissory note with interest and principal due over two years. The repurchase price was the greater of the fair market value of the member units or the original purchase price less previous distributions, excluding tax distributions. The conversion and redemption features were evaluated under the guidance in ASC 815-10, and the Company determined that bifurcation was not required.</w:t>
      </w:r>
    </w:p>
    <w:p>
      <w:pPr>
        <w:spacing w:after="0" w:line="222"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The Class P Units were classified as temporary equity until such time as the conditions are removed or lapse, since the redemption feature is beyond the control of Brilliant Earth, LLC. Since the redemption feature was exercisable, the Class P Units were adjusted each reporting period to their redemption value through a reclassification from the carrying value of the Class F Units to the carrying value of the Class P Units for the change in the period.</w:t>
      </w:r>
    </w:p>
    <w:p>
      <w:pPr>
        <w:spacing w:after="0" w:line="1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discussed below, the carrying value of the redeemable convertible preferred units was increased by $327.2 million for the period ended September 22, 2021, decreased by $8.5 million for the year ended December 31, 2020, and increased by $18.3 million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Class P units and Fair Value Disclosures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Business and Organization</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the Restructuring, Offering and Other Transactions Completed in Connection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IPO</w:t>
      </w:r>
      <w:r>
        <w:rPr>
          <w:rFonts w:ascii="Arial" w:cs="Arial" w:eastAsia="Arial" w:hAnsi="Arial"/>
          <w:sz w:val="18"/>
          <w:szCs w:val="18"/>
          <w:color w:val="auto"/>
        </w:rPr>
        <w:t>, warrants were exercised to Class P Units into newly issued LLC Units on a net settlement basis as of September 22, 2021. Warrants for Class P Units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the following as of September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 units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 per</w:t>
            </w:r>
          </w:p>
        </w:tc>
      </w:tr>
      <w:tr>
        <w:trPr>
          <w:trHeight w:val="234"/>
        </w:trPr>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rPr>
              <w:t>under warrants</w:t>
            </w:r>
          </w:p>
        </w:tc>
        <w:tc>
          <w:tcPr>
            <w:tcW w:w="1860" w:type="dxa"/>
            <w:vAlign w:val="bottom"/>
            <w:gridSpan w:val="2"/>
          </w:tcPr>
          <w:p>
            <w:pPr>
              <w:ind w:left="500"/>
              <w:spacing w:after="0"/>
              <w:rPr>
                <w:sz w:val="20"/>
                <w:szCs w:val="20"/>
                <w:color w:val="auto"/>
              </w:rPr>
            </w:pPr>
            <w:r>
              <w:rPr>
                <w:rFonts w:ascii="Arial" w:cs="Arial" w:eastAsia="Arial" w:hAnsi="Arial"/>
                <w:sz w:val="18"/>
                <w:szCs w:val="18"/>
                <w:b w:val="1"/>
                <w:bCs w:val="1"/>
                <w:color w:val="auto"/>
              </w:rPr>
              <w:t>Issue date</w:t>
            </w:r>
          </w:p>
        </w:tc>
        <w:tc>
          <w:tcPr>
            <w:tcW w:w="18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Expiration date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Exercise price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warrant on issue date</w:t>
            </w:r>
          </w:p>
        </w:tc>
      </w:tr>
      <w:tr>
        <w:trPr>
          <w:trHeight w:val="27"/>
        </w:trPr>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497,292</w:t>
            </w:r>
          </w:p>
        </w:tc>
        <w:tc>
          <w:tcPr>
            <w:tcW w:w="17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9/30/2019</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9/30/2029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$0.17</w:t>
            </w:r>
          </w:p>
        </w:tc>
      </w:tr>
      <w:tr>
        <w:trPr>
          <w:trHeight w:val="243"/>
        </w:trPr>
        <w:tc>
          <w:tcPr>
            <w:tcW w:w="1760" w:type="dxa"/>
            <w:vAlign w:val="bottom"/>
          </w:tcPr>
          <w:p>
            <w:pPr>
              <w:jc w:val="right"/>
              <w:spacing w:after="0"/>
              <w:rPr>
                <w:sz w:val="20"/>
                <w:szCs w:val="20"/>
                <w:color w:val="auto"/>
              </w:rPr>
            </w:pPr>
            <w:r>
              <w:rPr>
                <w:rFonts w:ascii="Arial" w:cs="Arial" w:eastAsia="Arial" w:hAnsi="Arial"/>
                <w:sz w:val="18"/>
                <w:szCs w:val="18"/>
                <w:color w:val="auto"/>
              </w:rPr>
              <w:t>37,297</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12/17/2020</w:t>
            </w:r>
          </w:p>
        </w:tc>
        <w:tc>
          <w:tcPr>
            <w:tcW w:w="100" w:type="dxa"/>
            <w:vAlign w:val="bottom"/>
          </w:tcPr>
          <w:p>
            <w:pPr>
              <w:spacing w:after="0"/>
              <w:rPr>
                <w:sz w:val="21"/>
                <w:szCs w:val="21"/>
                <w:color w:val="auto"/>
              </w:rPr>
            </w:pP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12/17/2030</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$6.70</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$0.01</w:t>
            </w:r>
          </w:p>
        </w:tc>
      </w:tr>
      <w:tr>
        <w:trPr>
          <w:trHeight w:val="27"/>
        </w:trPr>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89"/>
        </w:trPr>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534,589</w:t>
            </w: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r>
      <w:tr>
        <w:trPr>
          <w:trHeight w:val="20"/>
        </w:trPr>
        <w:tc>
          <w:tcPr>
            <w:tcW w:w="17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Warrants for Class P Units were issued to the Lender in connection with borrowings. The fair value on the date of issue is recorded as a debt issuance cost (contra-liability) and a liability because the Class P Units underlying the warrants were classified outside of members’ deficit. The fair value of warrants was remeasured each reporting period using Level 3 inputs with the increase or decrease charged to other income or expense in the consolidated statements of operations. Fair value remeasurements during the period ended September 22, 2021 and for the years ended December 31, 2020 and 2019 are discussed below.</w:t>
      </w:r>
    </w:p>
    <w:p>
      <w:pPr>
        <w:spacing w:after="0" w:line="215" w:lineRule="exact"/>
        <w:rPr>
          <w:sz w:val="20"/>
          <w:szCs w:val="20"/>
          <w:color w:val="auto"/>
        </w:rPr>
      </w:pPr>
    </w:p>
    <w:p>
      <w:pPr>
        <w:ind w:right="4080"/>
        <w:spacing w:after="0" w:line="277" w:lineRule="auto"/>
        <w:rPr>
          <w:sz w:val="20"/>
          <w:szCs w:val="20"/>
          <w:color w:val="auto"/>
        </w:rPr>
      </w:pPr>
      <w:r>
        <w:rPr>
          <w:rFonts w:ascii="Arial" w:cs="Arial" w:eastAsia="Arial" w:hAnsi="Arial"/>
          <w:sz w:val="18"/>
          <w:szCs w:val="18"/>
          <w:b w:val="1"/>
          <w:bCs w:val="1"/>
          <w:i w:val="1"/>
          <w:iCs w:val="1"/>
          <w:color w:val="auto"/>
        </w:rPr>
        <w:t>Fair Value Measurement for Class P Unit Redemption Value, Warrants Exercisable into Class P Units, and Valuation as of the Grant Date of Class M Units</w:t>
      </w:r>
    </w:p>
    <w:p>
      <w:pPr>
        <w:spacing w:after="0" w:line="19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Measurements of the redemption value of the Class P Units, the fair value of warrants that were exercisable into Class P Units, and the valuation as of the grant date of Class M Units were the responsibility Brilliant Earth, LLC with assistance from independent third-party valuations.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Measurements of the redemption value of the Class P Units and the fair value warrants exercisable into Class P Units were determined in accordance with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The objective of fair value measurements is estimation of an exit price from the perspective of a market participant that holds the asset or owes the liability. As such, unobservable inputs reflect market participant assumptions about risk, both in terms of the inherent risks in a valuation technique, as well as the inputs to that valuation technique. Although unobservable inputs used in determining the fair value by market participants may consider Brilliant Earth, LLC's own data, the metrics are not entity-specific because they do not incorporate the asset’s current use or any specific advantages or disadvantages Brilliant Earth, LLC derives from the asset.</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Measurements of the grant date fair value of Class M Units were determined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718 defines fair value as the amount at which asset (or liability) could be bought (or incurred) or sold (or settled) in a current transaction between willing parties, that is, other than a forced or liquidated sale, and excludes the effect of certain conditions, restrictions and other features that would be considered in a true fair value measurement.</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six months ended June 30, 2021 and years ending December 31, 2020 and 2019, fair value measurements were based on an estimate of the implied equity value of the Company using a combination of guideline public company analysis, a guideline transaction analysis, and a discounted cash flows analysis, with a 33.3% weighting given to each method. The enterprise value was then adjusted for cash and interest-bearing debt to determine equity value. In determining fair value for the relevant period, the aggregate equity value for the Company was then allocated to each instrument with consideration given to the preferences of each class of units using a hypothetical distribution of value (commonly referred to as the “waterfall”). Then, the allocation to the fair value on the grant date for Class M Units were further adjusted using the Black-Scholes option pricing model.</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period from July 1, 2021 to September 22, 2021, the enterprise value determined using the method described in the preceding paragraph was further adjusted to reflect the potential for an exit event based on the contemplated initial public offering using a guideline company analysis. The derived equity value was then allocated to each instrument as described in the preceding paragraph. Key inputs included valuations of guideline companies and transactions. The guideline company and transaction methods also considered a control premium. The discounted cash flow analysis included estimates of the Company's future financial performance discounted at a rate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considered the cost of capital and venture capital required rates of return studies. All inputs were Level 3 in the fair value hierarchy. Level 3 inputs into the Black-Scholes model to Class M Units included the expected price volatility estimated by taking the average historic price volatility for industry peers consisting of several public companies in our industry that are of similar size, complexity, and stage of development and the risk-free interest rate for the expected term of the grant. All Class M Units were converted into Common LLC Units at the time of the IPO and ceased to exist as of September 22, 2021, and therefore, were no longer remeasured at fair value.</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quantitative information about certain significant Level 3 unobservable inputs for the three valuation methods and for Black-Scholes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gridSpan w:val="3"/>
          </w:tcPr>
          <w:p>
            <w:pPr>
              <w:ind w:left="360"/>
              <w:spacing w:after="0"/>
              <w:rPr>
                <w:sz w:val="20"/>
                <w:szCs w:val="20"/>
                <w:color w:val="auto"/>
              </w:rPr>
            </w:pPr>
            <w:r>
              <w:rPr>
                <w:rFonts w:ascii="Arial" w:cs="Arial" w:eastAsia="Arial" w:hAnsi="Arial"/>
                <w:sz w:val="18"/>
                <w:szCs w:val="18"/>
                <w:b w:val="1"/>
                <w:bCs w:val="1"/>
                <w:color w:val="auto"/>
              </w:rPr>
              <w:t>Periods ended</w:t>
            </w:r>
          </w:p>
        </w:tc>
        <w:tc>
          <w:tcPr>
            <w:tcW w:w="128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22,</w:t>
            </w:r>
          </w:p>
        </w:tc>
        <w:tc>
          <w:tcPr>
            <w:tcW w:w="2600" w:type="dxa"/>
            <w:vAlign w:val="bottom"/>
            <w:gridSpan w:val="3"/>
          </w:tcPr>
          <w:p>
            <w:pPr>
              <w:ind w:left="1420"/>
              <w:spacing w:after="0"/>
              <w:rPr>
                <w:sz w:val="20"/>
                <w:szCs w:val="20"/>
                <w:color w:val="auto"/>
              </w:rPr>
            </w:pPr>
            <w:r>
              <w:rPr>
                <w:rFonts w:ascii="Arial" w:cs="Arial" w:eastAsia="Arial" w:hAnsi="Arial"/>
                <w:sz w:val="18"/>
                <w:szCs w:val="18"/>
                <w:b w:val="1"/>
                <w:bCs w:val="1"/>
                <w:color w:val="auto"/>
                <w:w w:val="99"/>
              </w:rPr>
              <w:t>December 31,</w:t>
            </w:r>
          </w:p>
        </w:tc>
        <w:tc>
          <w:tcPr>
            <w:tcW w:w="128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52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Guideline company and transaction analysis:</w:t>
            </w: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Control premium</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20.00%</w:t>
            </w:r>
          </w:p>
        </w:tc>
        <w:tc>
          <w:tcPr>
            <w:tcW w:w="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center"/>
              <w:ind w:right="350"/>
              <w:spacing w:after="0"/>
              <w:rPr>
                <w:sz w:val="20"/>
                <w:szCs w:val="20"/>
                <w:color w:val="auto"/>
              </w:rPr>
            </w:pPr>
            <w:r>
              <w:rPr>
                <w:rFonts w:ascii="Arial" w:cs="Arial" w:eastAsia="Arial" w:hAnsi="Arial"/>
                <w:sz w:val="18"/>
                <w:szCs w:val="18"/>
                <w:color w:val="auto"/>
                <w:w w:val="91"/>
              </w:rPr>
              <w:t>20.00%</w:t>
            </w:r>
          </w:p>
        </w:tc>
      </w:tr>
      <w:tr>
        <w:trPr>
          <w:trHeight w:val="27"/>
        </w:trPr>
        <w:tc>
          <w:tcPr>
            <w:tcW w:w="5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Discounted cash flow analysis:</w:t>
            </w:r>
          </w:p>
        </w:tc>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22.00%</w:t>
            </w:r>
          </w:p>
        </w:tc>
        <w:tc>
          <w:tcPr>
            <w:tcW w:w="80" w:type="dxa"/>
            <w:vAlign w:val="bottom"/>
          </w:tcPr>
          <w:p>
            <w:pPr>
              <w:spacing w:after="0"/>
              <w:rPr>
                <w:sz w:val="21"/>
                <w:szCs w:val="21"/>
                <w:color w:val="auto"/>
              </w:rPr>
            </w:pPr>
          </w:p>
        </w:tc>
        <w:tc>
          <w:tcPr>
            <w:tcW w:w="2600" w:type="dxa"/>
            <w:vAlign w:val="bottom"/>
            <w:gridSpan w:val="3"/>
          </w:tcPr>
          <w:p>
            <w:pPr>
              <w:ind w:left="360"/>
              <w:spacing w:after="0"/>
              <w:rPr>
                <w:sz w:val="20"/>
                <w:szCs w:val="20"/>
                <w:color w:val="auto"/>
              </w:rPr>
            </w:pPr>
            <w:r>
              <w:rPr>
                <w:rFonts w:ascii="Arial" w:cs="Arial" w:eastAsia="Arial" w:hAnsi="Arial"/>
                <w:sz w:val="18"/>
                <w:szCs w:val="18"/>
                <w:color w:val="auto"/>
              </w:rPr>
              <w:t>22.00% to 25.00%</w:t>
            </w:r>
          </w:p>
        </w:tc>
        <w:tc>
          <w:tcPr>
            <w:tcW w:w="1280" w:type="dxa"/>
            <w:vAlign w:val="bottom"/>
          </w:tcPr>
          <w:p>
            <w:pPr>
              <w:jc w:val="center"/>
              <w:ind w:right="350"/>
              <w:spacing w:after="0"/>
              <w:rPr>
                <w:sz w:val="20"/>
                <w:szCs w:val="20"/>
                <w:color w:val="auto"/>
              </w:rPr>
            </w:pPr>
            <w:r>
              <w:rPr>
                <w:rFonts w:ascii="Arial" w:cs="Arial" w:eastAsia="Arial" w:hAnsi="Arial"/>
                <w:sz w:val="18"/>
                <w:szCs w:val="18"/>
                <w:color w:val="auto"/>
                <w:w w:val="91"/>
              </w:rPr>
              <w:t>25.00%</w:t>
            </w:r>
          </w:p>
        </w:tc>
      </w:tr>
      <w:tr>
        <w:trPr>
          <w:trHeight w:val="27"/>
        </w:trPr>
        <w:tc>
          <w:tcPr>
            <w:tcW w:w="5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 pricing model inputs for warrants and Class M Units:</w:t>
            </w:r>
          </w:p>
        </w:tc>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40.00%</w:t>
            </w:r>
          </w:p>
        </w:tc>
        <w:tc>
          <w:tcPr>
            <w:tcW w:w="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center"/>
              <w:ind w:right="350"/>
              <w:spacing w:after="0"/>
              <w:rPr>
                <w:sz w:val="20"/>
                <w:szCs w:val="20"/>
                <w:color w:val="auto"/>
              </w:rPr>
            </w:pPr>
            <w:r>
              <w:rPr>
                <w:rFonts w:ascii="Arial" w:cs="Arial" w:eastAsia="Arial" w:hAnsi="Arial"/>
                <w:sz w:val="18"/>
                <w:szCs w:val="18"/>
                <w:color w:val="auto"/>
                <w:w w:val="91"/>
              </w:rPr>
              <w:t>35.00%</w:t>
            </w:r>
          </w:p>
        </w:tc>
      </w:tr>
      <w:tr>
        <w:trPr>
          <w:trHeight w:val="27"/>
        </w:trPr>
        <w:tc>
          <w:tcPr>
            <w:tcW w:w="5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to Liquidity in years</w:t>
            </w:r>
          </w:p>
        </w:tc>
        <w:tc>
          <w:tcPr>
            <w:tcW w:w="2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0.8 to 1.0</w:t>
            </w:r>
          </w:p>
        </w:tc>
        <w:tc>
          <w:tcPr>
            <w:tcW w:w="26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1.2 to 1.5</w:t>
            </w:r>
          </w:p>
        </w:tc>
        <w:tc>
          <w:tcPr>
            <w:tcW w:w="1280" w:type="dxa"/>
            <w:vAlign w:val="bottom"/>
            <w:tcBorders>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87"/>
              </w:rPr>
              <w:t>2.4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0.07%</w:t>
            </w:r>
          </w:p>
        </w:tc>
        <w:tc>
          <w:tcPr>
            <w:tcW w:w="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center"/>
              <w:ind w:right="370"/>
              <w:spacing w:after="0"/>
              <w:rPr>
                <w:sz w:val="20"/>
                <w:szCs w:val="20"/>
                <w:color w:val="auto"/>
              </w:rPr>
            </w:pPr>
            <w:r>
              <w:rPr>
                <w:rFonts w:ascii="Arial" w:cs="Arial" w:eastAsia="Arial" w:hAnsi="Arial"/>
                <w:sz w:val="18"/>
                <w:szCs w:val="18"/>
                <w:color w:val="auto"/>
                <w:w w:val="90"/>
              </w:rPr>
              <w:t>1.60%</w:t>
            </w:r>
          </w:p>
        </w:tc>
      </w:tr>
      <w:tr>
        <w:trPr>
          <w:trHeight w:val="27"/>
        </w:trPr>
        <w:tc>
          <w:tcPr>
            <w:tcW w:w="5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for lack of marketability</w:t>
            </w: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7.50% to 10.00%</w:t>
            </w:r>
          </w:p>
        </w:tc>
        <w:tc>
          <w:tcPr>
            <w:tcW w:w="26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12.00% to 15.00%</w:t>
            </w:r>
          </w:p>
        </w:tc>
        <w:tc>
          <w:tcPr>
            <w:tcW w:w="128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18.00%</w:t>
            </w:r>
          </w:p>
        </w:tc>
      </w:tr>
      <w:tr>
        <w:trPr>
          <w:trHeight w:val="27"/>
        </w:trPr>
        <w:tc>
          <w:tcPr>
            <w:tcW w:w="5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amounts using Level 3 inputs from January 1, 2019 through September 22, 2021 were as follows (in thousands):</w:t>
      </w:r>
    </w:p>
    <w:p>
      <w:pPr>
        <w:spacing w:after="0" w:line="302"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Class P Unit redemption</w:t>
            </w:r>
          </w:p>
        </w:tc>
        <w:tc>
          <w:tcPr>
            <w:tcW w:w="18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Class P Unit warrant</w:t>
            </w:r>
          </w:p>
        </w:tc>
      </w:t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2000" w:type="dxa"/>
            <w:vAlign w:val="bottom"/>
          </w:tcPr>
          <w:p>
            <w:pPr>
              <w:jc w:val="right"/>
              <w:ind w:right="71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Increase/decrease</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Special distributions to members</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allocable to Class P Units</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Increase/decrease</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Tax distributions to members</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Net income allocable to Class P Units prior to the Reorganization</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7"/>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Transaction and IPO</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Increase/decrease</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327,189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6,331</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Transactions</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6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Balance, September 22,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the fair market value of the Class P Unit warrant liability was $6.3 million and recorded in other expense, net in the consolidated statements of operations for the year ended December 31, 2021.</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expected future company financial performance, discount rates, valuations and selection of comparable companies, and the probability of possible future events. Changes in any or all these estimates and assumptions or the relationships between those assumptions impact the Company’s valuations as of each valuation date and may have a material impact on the valuation of Class P Units.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Capitalization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capitalization and voting rights of the Company’s classes of equity as of December 31,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Issued &amp;</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Votes per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Economic</w:t>
            </w:r>
          </w:p>
        </w:tc>
      </w:tr>
      <w:tr>
        <w:trPr>
          <w:trHeight w:val="234"/>
        </w:trPr>
        <w:tc>
          <w:tcPr>
            <w:tcW w:w="3760" w:type="dxa"/>
            <w:vAlign w:val="bottom"/>
          </w:tcPr>
          <w:p>
            <w:pPr>
              <w:spacing w:after="0"/>
              <w:rPr>
                <w:sz w:val="20"/>
                <w:szCs w:val="20"/>
                <w:color w:val="auto"/>
              </w:rPr>
            </w:pPr>
          </w:p>
        </w:tc>
        <w:tc>
          <w:tcPr>
            <w:tcW w:w="1900" w:type="dxa"/>
            <w:vAlign w:val="bottom"/>
            <w:gridSpan w:val="2"/>
          </w:tcPr>
          <w:p>
            <w:pPr>
              <w:ind w:left="480"/>
              <w:spacing w:after="0"/>
              <w:rPr>
                <w:sz w:val="20"/>
                <w:szCs w:val="20"/>
                <w:color w:val="auto"/>
              </w:rPr>
            </w:pPr>
            <w:r>
              <w:rPr>
                <w:rFonts w:ascii="Arial" w:cs="Arial" w:eastAsia="Arial" w:hAnsi="Arial"/>
                <w:sz w:val="18"/>
                <w:szCs w:val="18"/>
                <w:b w:val="1"/>
                <w:bCs w:val="1"/>
                <w:color w:val="auto"/>
              </w:rPr>
              <w:t>Authorized</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r>
      <w:tr>
        <w:trPr>
          <w:trHeight w:val="27"/>
        </w:trPr>
        <w:tc>
          <w:tcPr>
            <w:tcW w:w="37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None</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37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40"/>
              <w:spacing w:after="0"/>
              <w:rPr>
                <w:sz w:val="20"/>
                <w:szCs w:val="20"/>
                <w:color w:val="auto"/>
              </w:rPr>
            </w:pPr>
            <w:r>
              <w:rPr>
                <w:rFonts w:ascii="Arial" w:cs="Arial" w:eastAsia="Arial" w:hAnsi="Arial"/>
                <w:sz w:val="18"/>
                <w:szCs w:val="18"/>
                <w:color w:val="auto"/>
              </w:rPr>
              <w:t>Class A</w:t>
            </w:r>
          </w:p>
        </w:tc>
        <w:tc>
          <w:tcPr>
            <w:tcW w:w="1800" w:type="dxa"/>
            <w:vAlign w:val="bottom"/>
          </w:tcPr>
          <w:p>
            <w:pPr>
              <w:jc w:val="right"/>
              <w:spacing w:after="0"/>
              <w:rPr>
                <w:sz w:val="20"/>
                <w:szCs w:val="20"/>
                <w:color w:val="auto"/>
              </w:rPr>
            </w:pPr>
            <w:r>
              <w:rPr>
                <w:rFonts w:ascii="Arial" w:cs="Arial" w:eastAsia="Arial" w:hAnsi="Arial"/>
                <w:sz w:val="18"/>
                <w:szCs w:val="18"/>
                <w:color w:val="auto"/>
              </w:rPr>
              <w:t>1,200,000,000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9,614,523</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35,658,013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43"/>
        </w:trPr>
        <w:tc>
          <w:tcPr>
            <w:tcW w:w="3760" w:type="dxa"/>
            <w:vAlign w:val="bottom"/>
          </w:tcPr>
          <w:p>
            <w:pPr>
              <w:ind w:left="240"/>
              <w:spacing w:after="0"/>
              <w:rPr>
                <w:sz w:val="20"/>
                <w:szCs w:val="20"/>
                <w:color w:val="auto"/>
              </w:rPr>
            </w:pPr>
            <w:r>
              <w:rPr>
                <w:rFonts w:ascii="Arial" w:cs="Arial" w:eastAsia="Arial" w:hAnsi="Arial"/>
                <w:sz w:val="18"/>
                <w:szCs w:val="18"/>
                <w:color w:val="auto"/>
              </w:rPr>
              <w:t>Class C</w:t>
            </w:r>
          </w:p>
        </w:tc>
        <w:tc>
          <w:tcPr>
            <w:tcW w:w="180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49,505,250</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7"/>
        </w:trPr>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None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70"/>
        </w:trPr>
        <w:tc>
          <w:tcPr>
            <w:tcW w:w="37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reserved for issuances:</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40"/>
              <w:spacing w:after="0"/>
              <w:rPr>
                <w:sz w:val="20"/>
                <w:szCs w:val="20"/>
                <w:color w:val="auto"/>
              </w:rPr>
            </w:pPr>
            <w:r>
              <w:rPr>
                <w:rFonts w:ascii="Arial" w:cs="Arial" w:eastAsia="Arial" w:hAnsi="Arial"/>
                <w:sz w:val="18"/>
                <w:szCs w:val="18"/>
                <w:color w:val="auto"/>
              </w:rPr>
              <w:t>Conversion of LLC Units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85,163,263</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Unvested LLC Units</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1,901,977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40"/>
              <w:spacing w:after="0"/>
              <w:rPr>
                <w:sz w:val="20"/>
                <w:szCs w:val="20"/>
                <w:color w:val="auto"/>
              </w:rPr>
            </w:pPr>
            <w:r>
              <w:rPr>
                <w:rFonts w:ascii="Arial" w:cs="Arial" w:eastAsia="Arial" w:hAnsi="Arial"/>
                <w:sz w:val="18"/>
                <w:szCs w:val="18"/>
                <w:color w:val="auto"/>
              </w:rPr>
              <w:t>Unvested RSUs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1,377,728</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 options</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1,449,181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37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LLC Units</w:t>
            </w: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85,163,263</w:t>
            </w:r>
          </w:p>
        </w:tc>
        <w:tc>
          <w:tcPr>
            <w:tcW w:w="10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7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December 31, 2021, no series of preferred stock have been issued.</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Shares of Class B and Class C common stock are not entitled to receive any distributions or dividends other than in connection with a liquidation and have no rights to convert into Class A common stock or Class D common stock, separate from an exchange or redemption of the LLC Interests corresponding to such shares of Class B common stock or Class C common stock, as applicable, as discussed below under </w:t>
      </w:r>
      <w:r>
        <w:rPr>
          <w:rFonts w:ascii="Arial" w:cs="Arial" w:eastAsia="Arial" w:hAnsi="Arial"/>
          <w:sz w:val="18"/>
          <w:szCs w:val="18"/>
          <w:i w:val="1"/>
          <w:iCs w:val="1"/>
          <w:color w:val="auto"/>
        </w:rPr>
        <w:t>Brilliant Earth, LLC</w:t>
      </w:r>
      <w:r>
        <w:rPr>
          <w:rFonts w:ascii="Arial" w:cs="Arial" w:eastAsia="Arial" w:hAnsi="Arial"/>
          <w:sz w:val="18"/>
          <w:szCs w:val="18"/>
          <w:color w:val="auto"/>
        </w:rPr>
        <w:t>. When a common unit is redeemed for cash or Class A or D common stock by a Continuing Equity Owner who holds shares of Class B common stock or Class C common stock, such Continuing Equity Owner will be required to surrender a share of Class B common stock or Class C common stock, as applicable, which will be cancelled for no consideration.</w:t>
      </w:r>
    </w:p>
    <w:p>
      <w:pPr>
        <w:spacing w:after="0" w:line="21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Company must, at all times, maintain (i) a one-to-one ratio between the number of shares of Class A common stock issued to Brilliant Earth Group, Inc. and the number of LLC Interests owned by Brilliant Earth Group, Inc., and (ii) maintain a one-to-one ratio between the number of shares of Class B and Class C common stock owned by the Continuing Equity Owners and the number of LLC Interests owned by them.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different classes of common stock as of December 31, 2021, are held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9,614,523 shares of Class A common stock were issued in the IPO, and through subsequent conversion of LLC Units and vesting of RSUs;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35,658,013 shares of Class B common stock are held by the Continuing Equity Owners excluding the Founders;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49,505,250 shares of Class C common stock are held by the Founders.</w:t>
      </w:r>
    </w:p>
    <w:p>
      <w:pPr>
        <w:spacing w:after="0" w:line="25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Class C and D common stock may only be held by the Founders and their respective permitted transferees. No shares of Class D common stock are outstanding, but may be issued in connection with an exchange by the Founders of their LLC Interests (along with an equal number of shares of Class C common stock and such shares shall be immediately cancelled).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Brilliant Earth, LLC</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Brilliant Earth Group, Inc. holds a 10.1% economic interest in, and consolidates Brilliant Earth, LLC, as the sole managing member. As of December 31, 2021, 9,614,523 shares of Class A common stock are outstanding. The remaining 85,163,263 shares of Class B and Class C common stock (also referred to as LLC units), representing an 89.9% interest, are held by the Continuing Equity Owners and presented in the consolidated financial statements as a non-controlling interest.</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at the Company's election, a cash payment equal to a volume weighted average market price of one share of Class A common stock for each LLC Interest so redeemed, in each case, in accordance with the terms of the Brilliant Earth LLC Agreement. The redemption feature qualifies for an exception from derivative accounting and, accordingly, its value is not bifurcated from the underlying LLC Unit.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LLC Units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w:t>
      </w: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Between September 23, 2021 and December 31, 2021, the Company caused Brilliant Earth, LLC to issue to the Company a total of 9,583,332 LLC Units in connection with the issuance of Class A common stock in the IPO and 3,138 LLC Units for RSUs that vested, net of shares withheld for payroll taxes, during the period. The Company also caused Brilliant Earth Group, Inc. to issue 144,031 shares of Class B common stock to the Continuing Equity Owners associated with LLC units which vested during the period, of which 28,053 shares of Class B common stock was converted to Class A common stock. No stock options were exercised during the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Members Related to Their Income Tax Liabilities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distributions to its members quarterly, based on an estimated tax rate and projected year-to-date taxable income, with a final accounting once actual taxable income or loss has been determined. Such distributions totaled approximately $21.4 million for the year ended December 31, 2021. No distributions were made in the year ended December 31, 2020 as these distributions to, on or behalf of, members associated with their estimated income tax obligations for the year ended December 31, 2020 were paid in the second quarter of 2021. No distributions were made in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Brilliant Earth, LLC Capitalization through September 23, 2021, the Date of the IPO</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the completion of the reorganization and IPO transactions, Brilliant Earth, LLC had LLC Interests outstanding in the form of Class F, Class P and Class M Units. These units were converted into common LLC Units at the time of the IPO. The Class P Units were classified as redeemable securities presented in temporary equity and conversion to LLC Units was in the form of redemption at a value of $389.2 million as of September 22, 2021 after a mark-to-market adjustment of $327.2 million for the period from December 31, 2020 to September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statement of changes in Class F, Class P, and Class M Units for the periods from January 1, 2019 to September 22, 2021:</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40" w:type="dxa"/>
            <w:vAlign w:val="bottom"/>
            <w:gridSpan w:val="8"/>
          </w:tcPr>
          <w:p>
            <w:pPr>
              <w:jc w:val="right"/>
              <w:ind w:right="346"/>
              <w:spacing w:after="0"/>
              <w:rPr>
                <w:sz w:val="20"/>
                <w:szCs w:val="20"/>
                <w:color w:val="auto"/>
              </w:rPr>
            </w:pPr>
            <w:r>
              <w:rPr>
                <w:rFonts w:ascii="Arial" w:cs="Arial" w:eastAsia="Arial" w:hAnsi="Arial"/>
                <w:sz w:val="11"/>
                <w:szCs w:val="11"/>
                <w:b w:val="1"/>
                <w:bCs w:val="1"/>
                <w:color w:val="auto"/>
              </w:rPr>
              <w:t>Brilliant Earth, LLC (prior to reorganization transaction)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3100" w:type="dxa"/>
            <w:vAlign w:val="bottom"/>
          </w:tcPr>
          <w:p>
            <w:pPr>
              <w:spacing w:after="0"/>
              <w:rPr>
                <w:sz w:val="3"/>
                <w:szCs w:val="3"/>
                <w:color w:val="auto"/>
              </w:rPr>
            </w:pPr>
          </w:p>
        </w:tc>
        <w:tc>
          <w:tcPr>
            <w:tcW w:w="2060" w:type="dxa"/>
            <w:vAlign w:val="bottom"/>
            <w:tcBorders>
              <w:bottom w:val="single" w:sz="8" w:color="auto"/>
            </w:tcBorders>
            <w:gridSpan w:val="5"/>
          </w:tcPr>
          <w:p>
            <w:pPr>
              <w:spacing w:after="0"/>
              <w:rPr>
                <w:sz w:val="3"/>
                <w:szCs w:val="3"/>
                <w:color w:val="auto"/>
              </w:rPr>
            </w:pPr>
          </w:p>
        </w:tc>
        <w:tc>
          <w:tcPr>
            <w:tcW w:w="2040" w:type="dxa"/>
            <w:vAlign w:val="bottom"/>
            <w:tcBorders>
              <w:bottom w:val="single" w:sz="8" w:color="auto"/>
            </w:tcBorders>
            <w:gridSpan w:val="5"/>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2060" w:type="dxa"/>
            <w:vAlign w:val="bottom"/>
            <w:tcBorders>
              <w:right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Class P LLC Units</w:t>
            </w:r>
          </w:p>
        </w:tc>
        <w:tc>
          <w:tcPr>
            <w:tcW w:w="2040" w:type="dxa"/>
            <w:vAlign w:val="bottom"/>
            <w:gridSpan w:val="5"/>
          </w:tcPr>
          <w:p>
            <w:pPr>
              <w:ind w:left="540"/>
              <w:spacing w:after="0"/>
              <w:rPr>
                <w:sz w:val="20"/>
                <w:szCs w:val="20"/>
                <w:color w:val="auto"/>
              </w:rPr>
            </w:pPr>
            <w:r>
              <w:rPr>
                <w:rFonts w:ascii="Arial" w:cs="Arial" w:eastAsia="Arial" w:hAnsi="Arial"/>
                <w:sz w:val="11"/>
                <w:szCs w:val="11"/>
                <w:b w:val="1"/>
                <w:bCs w:val="1"/>
                <w:color w:val="auto"/>
              </w:rPr>
              <w:t>Class F LLC Units</w:t>
            </w:r>
          </w:p>
        </w:tc>
        <w:tc>
          <w:tcPr>
            <w:tcW w:w="1700" w:type="dxa"/>
            <w:vAlign w:val="bottom"/>
            <w:gridSpan w:val="3"/>
          </w:tcPr>
          <w:p>
            <w:pPr>
              <w:jc w:val="right"/>
              <w:ind w:right="206"/>
              <w:spacing w:after="0"/>
              <w:rPr>
                <w:sz w:val="20"/>
                <w:szCs w:val="20"/>
                <w:color w:val="auto"/>
              </w:rPr>
            </w:pPr>
            <w:r>
              <w:rPr>
                <w:rFonts w:ascii="Arial" w:cs="Arial" w:eastAsia="Arial" w:hAnsi="Arial"/>
                <w:sz w:val="11"/>
                <w:szCs w:val="11"/>
                <w:b w:val="1"/>
                <w:bCs w:val="1"/>
                <w:color w:val="auto"/>
              </w:rPr>
              <w:t>Class M LLC Units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right"/>
              <w:ind w:right="186"/>
              <w:spacing w:after="0"/>
              <w:rPr>
                <w:sz w:val="20"/>
                <w:szCs w:val="20"/>
                <w:color w:val="auto"/>
              </w:rPr>
            </w:pPr>
            <w:r>
              <w:rPr>
                <w:rFonts w:ascii="Arial" w:cs="Arial" w:eastAsia="Arial" w:hAnsi="Arial"/>
                <w:sz w:val="11"/>
                <w:szCs w:val="11"/>
                <w:b w:val="1"/>
                <w:bCs w:val="1"/>
                <w:color w:val="auto"/>
              </w:rPr>
              <w:t>Class F Units and Class M Units</w:t>
            </w: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1020" w:type="dxa"/>
            <w:vAlign w:val="bottom"/>
            <w:gridSpan w:val="2"/>
          </w:tcPr>
          <w:p>
            <w:pPr>
              <w:ind w:left="360"/>
              <w:spacing w:after="0"/>
              <w:rPr>
                <w:sz w:val="20"/>
                <w:szCs w:val="20"/>
                <w:color w:val="auto"/>
              </w:rPr>
            </w:pPr>
            <w:r>
              <w:rPr>
                <w:rFonts w:ascii="Arial" w:cs="Arial" w:eastAsia="Arial" w:hAnsi="Arial"/>
                <w:sz w:val="11"/>
                <w:szCs w:val="11"/>
                <w:b w:val="1"/>
                <w:bCs w:val="1"/>
                <w:color w:val="auto"/>
              </w:rPr>
              <w:t>Units</w:t>
            </w:r>
          </w:p>
        </w:tc>
        <w:tc>
          <w:tcPr>
            <w:tcW w:w="180" w:type="dxa"/>
            <w:vAlign w:val="bottom"/>
          </w:tcPr>
          <w:p>
            <w:pPr>
              <w:spacing w:after="0"/>
              <w:rPr>
                <w:sz w:val="12"/>
                <w:szCs w:val="12"/>
                <w:color w:val="auto"/>
              </w:rPr>
            </w:pPr>
          </w:p>
        </w:tc>
        <w:tc>
          <w:tcPr>
            <w:tcW w:w="860" w:type="dxa"/>
            <w:vAlign w:val="bottom"/>
            <w:tcBorders>
              <w:right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20" w:type="dxa"/>
            <w:vAlign w:val="bottom"/>
            <w:gridSpan w:val="2"/>
          </w:tcPr>
          <w:p>
            <w:pPr>
              <w:ind w:left="360"/>
              <w:spacing w:after="0"/>
              <w:rPr>
                <w:sz w:val="20"/>
                <w:szCs w:val="20"/>
                <w:color w:val="auto"/>
              </w:rPr>
            </w:pPr>
            <w:r>
              <w:rPr>
                <w:rFonts w:ascii="Arial" w:cs="Arial" w:eastAsia="Arial" w:hAnsi="Arial"/>
                <w:sz w:val="11"/>
                <w:szCs w:val="11"/>
                <w:b w:val="1"/>
                <w:bCs w:val="1"/>
                <w:color w:val="auto"/>
              </w:rPr>
              <w:t>Units</w:t>
            </w:r>
          </w:p>
        </w:tc>
        <w:tc>
          <w:tcPr>
            <w:tcW w:w="16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Amounts</w:t>
            </w:r>
          </w:p>
        </w:tc>
        <w:tc>
          <w:tcPr>
            <w:tcW w:w="1020" w:type="dxa"/>
            <w:vAlign w:val="bottom"/>
            <w:gridSpan w:val="2"/>
          </w:tcPr>
          <w:p>
            <w:pPr>
              <w:ind w:left="360"/>
              <w:spacing w:after="0"/>
              <w:rPr>
                <w:sz w:val="20"/>
                <w:szCs w:val="20"/>
                <w:color w:val="auto"/>
              </w:rPr>
            </w:pPr>
            <w:r>
              <w:rPr>
                <w:rFonts w:ascii="Arial" w:cs="Arial" w:eastAsia="Arial" w:hAnsi="Arial"/>
                <w:sz w:val="11"/>
                <w:szCs w:val="11"/>
                <w:b w:val="1"/>
                <w:bCs w:val="1"/>
                <w:color w:val="auto"/>
              </w:rPr>
              <w:t>Units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Amounts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 Units</w:t>
            </w:r>
          </w:p>
        </w:tc>
        <w:tc>
          <w:tcPr>
            <w:tcW w:w="10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Total Amounts</w:t>
            </w: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20"/>
                <w:szCs w:val="20"/>
                <w:color w:val="auto"/>
              </w:rPr>
            </w:pPr>
            <w:r>
              <w:rPr>
                <w:rFonts w:ascii="Arial" w:cs="Arial" w:eastAsia="Arial" w:hAnsi="Arial"/>
                <w:sz w:val="11"/>
                <w:szCs w:val="11"/>
                <w:b w:val="1"/>
                <w:bCs w:val="1"/>
                <w:color w:val="auto"/>
              </w:rPr>
              <w:t>Balance, January 1, 2019</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32,435,595</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62,579</w:t>
            </w:r>
          </w:p>
        </w:tc>
        <w:tc>
          <w:tcPr>
            <w:tcW w:w="100" w:type="dxa"/>
            <w:vAlign w:val="bottom"/>
            <w:tcBorders>
              <w:right w:val="single" w:sz="8" w:color="auto"/>
            </w:tcBorders>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50,232,863</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(65,745)</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2,180,119</w:t>
            </w:r>
          </w:p>
        </w:tc>
        <w:tc>
          <w:tcPr>
            <w:tcW w:w="80" w:type="dxa"/>
            <w:vAlign w:val="bottom"/>
          </w:tcPr>
          <w:p>
            <w:pPr>
              <w:spacing w:after="0"/>
              <w:rPr>
                <w:sz w:val="12"/>
                <w:szCs w:val="12"/>
                <w:color w:val="auto"/>
              </w:rPr>
            </w:pPr>
          </w:p>
        </w:tc>
        <w:tc>
          <w:tcPr>
            <w:tcW w:w="680" w:type="dxa"/>
            <w:vAlign w:val="bottom"/>
          </w:tcPr>
          <w:p>
            <w:pPr>
              <w:jc w:val="right"/>
              <w:ind w:right="546"/>
              <w:spacing w:after="0"/>
              <w:rPr>
                <w:sz w:val="20"/>
                <w:szCs w:val="20"/>
                <w:color w:val="auto"/>
              </w:rPr>
            </w:pPr>
            <w:r>
              <w:rPr>
                <w:rFonts w:ascii="Arial" w:cs="Arial" w:eastAsia="Arial" w:hAnsi="Arial"/>
                <w:sz w:val="11"/>
                <w:szCs w:val="11"/>
                <w:b w:val="1"/>
                <w:bCs w:val="1"/>
                <w:color w:val="auto"/>
                <w:w w:val="97"/>
              </w:rPr>
              <w:t>$</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rPr>
              <w:t>211</w:t>
            </w:r>
          </w:p>
        </w:tc>
        <w:tc>
          <w:tcPr>
            <w:tcW w:w="8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52,412,982</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(65,534)</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Vested Class M Units</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86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182,825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182,825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Equity-based compensation</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86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Net income (loss)</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(7,778)</w:t>
            </w:r>
          </w:p>
        </w:tc>
        <w:tc>
          <w:tcPr>
            <w:tcW w:w="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(7,778)</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20"/>
                <w:szCs w:val="20"/>
                <w:color w:val="auto"/>
              </w:rPr>
            </w:pPr>
            <w:r>
              <w:rPr>
                <w:rFonts w:ascii="Arial" w:cs="Arial" w:eastAsia="Arial" w:hAnsi="Arial"/>
                <w:sz w:val="11"/>
                <w:szCs w:val="11"/>
                <w:color w:val="auto"/>
                <w:w w:val="93"/>
              </w:rPr>
              <w:t>Adjustment of redeemable convertible preferred units to redemption</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(18,250)</w:t>
            </w:r>
          </w:p>
        </w:tc>
        <w:tc>
          <w:tcPr>
            <w:tcW w:w="0" w:type="dxa"/>
            <w:vAlign w:val="bottom"/>
          </w:tcPr>
          <w:p>
            <w:pPr>
              <w:spacing w:after="0"/>
              <w:rPr>
                <w:sz w:val="1"/>
                <w:szCs w:val="1"/>
                <w:color w:val="auto"/>
              </w:rPr>
            </w:pPr>
          </w:p>
        </w:tc>
      </w:tr>
      <w:tr>
        <w:trPr>
          <w:trHeight w:val="136"/>
        </w:trPr>
        <w:tc>
          <w:tcPr>
            <w:tcW w:w="3100" w:type="dxa"/>
            <w:vAlign w:val="bottom"/>
          </w:tcPr>
          <w:p>
            <w:pPr>
              <w:spacing w:after="0"/>
              <w:rPr>
                <w:sz w:val="20"/>
                <w:szCs w:val="20"/>
                <w:color w:val="auto"/>
              </w:rPr>
            </w:pPr>
            <w:r>
              <w:rPr>
                <w:rFonts w:ascii="Arial" w:cs="Arial" w:eastAsia="Arial" w:hAnsi="Arial"/>
                <w:sz w:val="11"/>
                <w:szCs w:val="11"/>
                <w:color w:val="auto"/>
              </w:rPr>
              <w:t>value</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18,250</w:t>
            </w:r>
          </w:p>
        </w:tc>
        <w:tc>
          <w:tcPr>
            <w:tcW w:w="100" w:type="dxa"/>
            <w:vAlign w:val="bottom"/>
            <w:tcBorders>
              <w:right w:val="single" w:sz="8" w:color="auto"/>
            </w:tcBorders>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(18,250)</w:t>
            </w:r>
          </w:p>
        </w:tc>
        <w:tc>
          <w:tcPr>
            <w:tcW w:w="8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20"/>
                <w:szCs w:val="20"/>
                <w:color w:val="auto"/>
              </w:rPr>
            </w:pPr>
            <w:r>
              <w:rPr>
                <w:rFonts w:ascii="Arial" w:cs="Arial" w:eastAsia="Arial" w:hAnsi="Arial"/>
                <w:sz w:val="11"/>
                <w:szCs w:val="11"/>
                <w:b w:val="1"/>
                <w:bCs w:val="1"/>
                <w:color w:val="auto"/>
              </w:rPr>
              <w:t>Balance, December 31, 2019</w:t>
            </w:r>
          </w:p>
        </w:tc>
        <w:tc>
          <w:tcPr>
            <w:tcW w:w="940" w:type="dxa"/>
            <w:vAlign w:val="bottom"/>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80,829</w:t>
            </w:r>
          </w:p>
        </w:tc>
        <w:tc>
          <w:tcPr>
            <w:tcW w:w="100" w:type="dxa"/>
            <w:vAlign w:val="bottom"/>
            <w:tcBorders>
              <w:right w:val="single" w:sz="8" w:color="auto"/>
            </w:tcBorders>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50,232,863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(91,773)</w:t>
            </w: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b w:val="1"/>
                <w:bCs w:val="1"/>
                <w:color w:val="auto"/>
              </w:rPr>
              <w:t>2,362,944</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rPr>
              <w:t>254</w:t>
            </w:r>
          </w:p>
        </w:tc>
        <w:tc>
          <w:tcPr>
            <w:tcW w:w="8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52,595,807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(91,519)</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Special distribution to members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tcBorders>
              <w:right w:val="single" w:sz="8" w:color="auto"/>
            </w:tcBorders>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(20,000)</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(20,000)</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Vested Class M Units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174,847</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174,847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Equity-based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Net income (loss)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3,997</w:t>
            </w:r>
          </w:p>
        </w:tc>
        <w:tc>
          <w:tcPr>
            <w:tcW w:w="100" w:type="dxa"/>
            <w:vAlign w:val="bottom"/>
            <w:tcBorders>
              <w:right w:val="single" w:sz="8" w:color="auto"/>
            </w:tcBorders>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17,579</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17,579</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20"/>
                <w:szCs w:val="20"/>
                <w:color w:val="auto"/>
              </w:rPr>
            </w:pPr>
            <w:r>
              <w:rPr>
                <w:rFonts w:ascii="Arial" w:cs="Arial" w:eastAsia="Arial" w:hAnsi="Arial"/>
                <w:sz w:val="11"/>
                <w:szCs w:val="11"/>
                <w:color w:val="auto"/>
                <w:w w:val="93"/>
              </w:rPr>
              <w:t>Adjustment of redeemable convertible preferred units to redemption</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8,499</w:t>
            </w:r>
          </w:p>
        </w:tc>
        <w:tc>
          <w:tcPr>
            <w:tcW w:w="0" w:type="dxa"/>
            <w:vAlign w:val="bottom"/>
          </w:tcPr>
          <w:p>
            <w:pPr>
              <w:spacing w:after="0"/>
              <w:rPr>
                <w:sz w:val="1"/>
                <w:szCs w:val="1"/>
                <w:color w:val="auto"/>
              </w:rPr>
            </w:pPr>
          </w:p>
        </w:tc>
      </w:tr>
      <w:tr>
        <w:trPr>
          <w:trHeight w:val="136"/>
        </w:trPr>
        <w:tc>
          <w:tcPr>
            <w:tcW w:w="3100" w:type="dxa"/>
            <w:vAlign w:val="bottom"/>
          </w:tcPr>
          <w:p>
            <w:pPr>
              <w:spacing w:after="0"/>
              <w:rPr>
                <w:sz w:val="20"/>
                <w:szCs w:val="20"/>
                <w:color w:val="auto"/>
              </w:rPr>
            </w:pPr>
            <w:r>
              <w:rPr>
                <w:rFonts w:ascii="Arial" w:cs="Arial" w:eastAsia="Arial" w:hAnsi="Arial"/>
                <w:sz w:val="11"/>
                <w:szCs w:val="11"/>
                <w:color w:val="auto"/>
              </w:rPr>
              <w:t>value</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(8,499)</w:t>
            </w:r>
          </w:p>
        </w:tc>
        <w:tc>
          <w:tcPr>
            <w:tcW w:w="100" w:type="dxa"/>
            <w:vAlign w:val="bottom"/>
            <w:tcBorders>
              <w:right w:val="single" w:sz="8" w:color="auto"/>
            </w:tcBorders>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8,499</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20"/>
                <w:szCs w:val="20"/>
                <w:color w:val="auto"/>
              </w:rPr>
            </w:pPr>
            <w:r>
              <w:rPr>
                <w:rFonts w:ascii="Arial" w:cs="Arial" w:eastAsia="Arial" w:hAnsi="Arial"/>
                <w:sz w:val="11"/>
                <w:szCs w:val="11"/>
                <w:b w:val="1"/>
                <w:bCs w:val="1"/>
                <w:color w:val="auto"/>
              </w:rPr>
              <w:t>Balance, December 31, 2020</w:t>
            </w:r>
          </w:p>
        </w:tc>
        <w:tc>
          <w:tcPr>
            <w:tcW w:w="940" w:type="dxa"/>
            <w:vAlign w:val="bottom"/>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66,327</w:t>
            </w:r>
          </w:p>
        </w:tc>
        <w:tc>
          <w:tcPr>
            <w:tcW w:w="100" w:type="dxa"/>
            <w:vAlign w:val="bottom"/>
            <w:tcBorders>
              <w:right w:val="single" w:sz="8" w:color="auto"/>
            </w:tcBorders>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50,232,863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(85,695)</w:t>
            </w: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b w:val="1"/>
                <w:bCs w:val="1"/>
                <w:color w:val="auto"/>
              </w:rPr>
              <w:t>2,537,791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rPr>
              <w:t>300</w:t>
            </w:r>
          </w:p>
        </w:tc>
        <w:tc>
          <w:tcPr>
            <w:tcW w:w="8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52,770,654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(85,395)</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Tax distributions to members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(9,755)</w:t>
            </w:r>
          </w:p>
        </w:tc>
        <w:tc>
          <w:tcPr>
            <w:tcW w:w="100" w:type="dxa"/>
            <w:vAlign w:val="bottom"/>
            <w:tcBorders>
              <w:right w:val="single" w:sz="8" w:color="auto"/>
            </w:tcBorders>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(11,643)</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(11,643)</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Vested Class M Units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556,446</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556,446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Equity-based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246</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Net income prior to the Reorganization Transactions and IPO</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5,466</w:t>
            </w:r>
          </w:p>
        </w:tc>
        <w:tc>
          <w:tcPr>
            <w:tcW w:w="100" w:type="dxa"/>
            <w:vAlign w:val="bottom"/>
            <w:tcBorders>
              <w:right w:val="single" w:sz="8" w:color="auto"/>
            </w:tcBorders>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8,526</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8,526</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20"/>
                <w:szCs w:val="20"/>
                <w:color w:val="auto"/>
              </w:rPr>
            </w:pPr>
            <w:r>
              <w:rPr>
                <w:rFonts w:ascii="Arial" w:cs="Arial" w:eastAsia="Arial" w:hAnsi="Arial"/>
                <w:sz w:val="11"/>
                <w:szCs w:val="11"/>
                <w:color w:val="auto"/>
                <w:w w:val="93"/>
              </w:rPr>
              <w:t>Adjustment of redeemable convertible preferred units to redemption</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(327,189)</w:t>
            </w:r>
          </w:p>
        </w:tc>
        <w:tc>
          <w:tcPr>
            <w:tcW w:w="0" w:type="dxa"/>
            <w:vAlign w:val="bottom"/>
          </w:tcPr>
          <w:p>
            <w:pPr>
              <w:spacing w:after="0"/>
              <w:rPr>
                <w:sz w:val="1"/>
                <w:szCs w:val="1"/>
                <w:color w:val="auto"/>
              </w:rPr>
            </w:pPr>
          </w:p>
        </w:tc>
      </w:tr>
      <w:tr>
        <w:trPr>
          <w:trHeight w:val="136"/>
        </w:trPr>
        <w:tc>
          <w:tcPr>
            <w:tcW w:w="3100" w:type="dxa"/>
            <w:vAlign w:val="bottom"/>
          </w:tcPr>
          <w:p>
            <w:pPr>
              <w:spacing w:after="0"/>
              <w:rPr>
                <w:sz w:val="20"/>
                <w:szCs w:val="20"/>
                <w:color w:val="auto"/>
              </w:rPr>
            </w:pPr>
            <w:r>
              <w:rPr>
                <w:rFonts w:ascii="Arial" w:cs="Arial" w:eastAsia="Arial" w:hAnsi="Arial"/>
                <w:sz w:val="11"/>
                <w:szCs w:val="11"/>
                <w:color w:val="auto"/>
              </w:rPr>
              <w:t>value</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327,189</w:t>
            </w:r>
          </w:p>
        </w:tc>
        <w:tc>
          <w:tcPr>
            <w:tcW w:w="100" w:type="dxa"/>
            <w:vAlign w:val="bottom"/>
            <w:tcBorders>
              <w:right w:val="single" w:sz="8" w:color="auto"/>
            </w:tcBorders>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(327,189)</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1"/>
                <w:szCs w:val="11"/>
                <w:color w:val="auto"/>
              </w:rPr>
              <w:t>Reorganization Transactions</w:t>
            </w:r>
          </w:p>
        </w:tc>
        <w:tc>
          <w:tcPr>
            <w:tcW w:w="940" w:type="dxa"/>
            <w:vAlign w:val="bottom"/>
          </w:tcPr>
          <w:p>
            <w:pPr>
              <w:ind w:left="360"/>
              <w:spacing w:after="0"/>
              <w:rPr>
                <w:sz w:val="20"/>
                <w:szCs w:val="20"/>
                <w:color w:val="auto"/>
              </w:rPr>
            </w:pPr>
            <w:r>
              <w:rPr>
                <w:rFonts w:ascii="Arial" w:cs="Arial" w:eastAsia="Arial" w:hAnsi="Arial"/>
                <w:sz w:val="11"/>
                <w:szCs w:val="11"/>
                <w:color w:val="auto"/>
                <w:w w:val="89"/>
              </w:rPr>
              <w:t>(32,435,595)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(389,227)</w:t>
            </w:r>
          </w:p>
        </w:tc>
        <w:tc>
          <w:tcPr>
            <w:tcW w:w="100" w:type="dxa"/>
            <w:vAlign w:val="bottom"/>
            <w:tcBorders>
              <w:right w:val="single" w:sz="8" w:color="auto"/>
            </w:tcBorders>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(50,232,863)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416,001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(3,094,237)</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w w:val="85"/>
              </w:rPr>
              <w:t>(546)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(53,327,100)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415,455</w:t>
            </w: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1"/>
                <w:szCs w:val="11"/>
                <w:b w:val="1"/>
                <w:bCs w:val="1"/>
                <w:color w:val="auto"/>
                <w:w w:val="92"/>
              </w:rPr>
              <w:t>Balance, September 22, 2021 after Reorganization Transactions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46"/>
              <w:spacing w:after="0"/>
              <w:rPr>
                <w:sz w:val="20"/>
                <w:szCs w:val="20"/>
                <w:color w:val="auto"/>
              </w:rPr>
            </w:pPr>
            <w:r>
              <w:rPr>
                <w:rFonts w:ascii="Arial" w:cs="Arial" w:eastAsia="Arial" w:hAnsi="Arial"/>
                <w:sz w:val="11"/>
                <w:szCs w:val="11"/>
                <w:color w:val="auto"/>
                <w:w w:val="97"/>
              </w:rPr>
              <w:t>$</w:t>
            </w: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time of the IPO on September 23, 2021, the 2021 Incentive Award Plan and the 2021 Employee Stock Purchase Plan (the “2021 Plans”) were adopted to attract, retain, and motivate selected employees, consultants, and directors through the granting of equity-based compensation awards and cash-based performance bonus awards. The compensation committee or its approved designees, as defined, administer the 2021 Plans. Subject to the terms and conditions of the 2021 Plans,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Plans.</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2021 Incentive Award Plan, 10,923,912 shares of common stock were reserved for issuance pursuant to a variety of equity-based compensation awards, including stock options, stock appreciation rights, or SARs, restricted stock awards, restricted stock unit awards, and other equity-based awards. In addition, 1,638,586 shares of Class A common stock were reserved for issuance under our Employee Stock Purchase Plan. The number of shares initially reserved for issuance or transfer pursuant to awards under the 2021 Incentive Award Plan will be increased by an annual increase on the first day of each fiscal year beginning in 2022 and ending in 2031, equal to the lesser of (A) 5% of the shares of common stock outstanding (on an as converted basis) on the last day of the immediately preceding fiscal year and (B) such smaller number of shares of stock as determined by the board of directors; provided, however, that no more than 81,929,342 shares of stock may be issued upon the exercise of incentive stock options. As of December 31, 2021, 7,888,617 shares of common stock are available for future grant under the 2021 Incentive Award Plan. All of the shares of Class A common stock reserved for issuance remain available. Vesting is subject to certain change in control provisions as provided in the award agreements.</w:t>
      </w:r>
    </w:p>
    <w:p>
      <w:pPr>
        <w:spacing w:after="0" w:line="1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Prior to the IPO, Class M Units were granted to certain employees at the Company’s discretion in consideration of services provided by employees. The agreements generally provide for 25% vesting on the first anniversary from the date of grant (or a shorter period at the Company's board of directors' discretion), with the remainder vesting monthly over the subsequent three years. Compensation cost related to these Class M Units was measured as of the grant date based on the fair value of the award and is being expensed ratably over the service period. Class M Units were issued and outstanding as of the date of grant. As discussed in Note 1, </w:t>
      </w:r>
      <w:r>
        <w:rPr>
          <w:rFonts w:ascii="Arial" w:cs="Arial" w:eastAsia="Arial" w:hAnsi="Arial"/>
          <w:sz w:val="16"/>
          <w:szCs w:val="16"/>
          <w:i w:val="1"/>
          <w:iCs w:val="1"/>
          <w:color w:val="auto"/>
        </w:rPr>
        <w:t>Business and organization</w:t>
      </w:r>
      <w:r>
        <w:rPr>
          <w:rFonts w:ascii="Arial" w:cs="Arial" w:eastAsia="Arial" w:hAnsi="Arial"/>
          <w:sz w:val="16"/>
          <w:szCs w:val="16"/>
          <w:color w:val="auto"/>
        </w:rPr>
        <w:t xml:space="preserve">, under </w:t>
      </w:r>
      <w:r>
        <w:rPr>
          <w:rFonts w:ascii="Arial" w:cs="Arial" w:eastAsia="Arial" w:hAnsi="Arial"/>
          <w:sz w:val="16"/>
          <w:szCs w:val="16"/>
          <w:i w:val="1"/>
          <w:iCs w:val="1"/>
          <w:color w:val="auto"/>
        </w:rPr>
        <w:t>Conversion of Class F, P and M units at time of IPO,</w:t>
      </w:r>
      <w:r>
        <w:rPr>
          <w:rFonts w:ascii="Arial" w:cs="Arial" w:eastAsia="Arial" w:hAnsi="Arial"/>
          <w:sz w:val="16"/>
          <w:szCs w:val="16"/>
          <w:color w:val="auto"/>
        </w:rPr>
        <w:t xml:space="preserve"> at the time of the IPO, the LLC Agreement was amended and restated to recapitalize all 2,006,212 unvested Class M Units into 2,046,008 unvested LLC Units after applying a conversion ratio of 1.8588 with a further adjustment for a distribution threshold (which impacted their allocation of value) so the economic effect of the exchange was a like-for-like value. The unamortized compensation and remaining vesting period for these awards prior to the IPO has been carried forward after the IPO without adjustment. The number of unvested Class M Units presented in these financial statements for periods prior to the IPO have been retroactively adjusted to reflect the conversion ratio similar to the presentation of a stock-split.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Restricted Stock Units</w:t>
      </w:r>
    </w:p>
    <w:p>
      <w:pPr>
        <w:spacing w:after="0" w:line="225" w:lineRule="exact"/>
        <w:rPr>
          <w:sz w:val="20"/>
          <w:szCs w:val="20"/>
          <w:color w:val="auto"/>
        </w:rPr>
      </w:pPr>
    </w:p>
    <w:p>
      <w:pPr>
        <w:ind w:right="140"/>
        <w:spacing w:after="0" w:line="313" w:lineRule="auto"/>
        <w:rPr>
          <w:sz w:val="20"/>
          <w:szCs w:val="20"/>
          <w:color w:val="auto"/>
        </w:rPr>
      </w:pPr>
      <w:r>
        <w:rPr>
          <w:rFonts w:ascii="Arial" w:cs="Arial" w:eastAsia="Arial" w:hAnsi="Arial"/>
          <w:sz w:val="16"/>
          <w:szCs w:val="16"/>
          <w:color w:val="auto"/>
        </w:rPr>
        <w:t>RSUs have a time-based vesting requirement (based on continuous employment). Upon vesting, the RSUs convert into Class A common stock; unvested RSUs are not considered outstanding shares of Class A common stock. The agreements generally provide for 25% vesting at the first anniversary of the date of the grant (or a shorter period at the Company</w:t>
      </w:r>
      <w:r>
        <w:rPr>
          <w:rFonts w:ascii="Arial" w:cs="Arial" w:eastAsia="Arial" w:hAnsi="Arial"/>
          <w:sz w:val="17"/>
          <w:szCs w:val="17"/>
          <w:color w:val="auto"/>
        </w:rPr>
        <w:t>’</w:t>
      </w:r>
      <w:r>
        <w:rPr>
          <w:rFonts w:ascii="Arial" w:cs="Arial" w:eastAsia="Arial" w:hAnsi="Arial"/>
          <w:sz w:val="16"/>
          <w:szCs w:val="16"/>
          <w:color w:val="auto"/>
        </w:rPr>
        <w:t>s board of director</w:t>
      </w:r>
      <w:r>
        <w:rPr>
          <w:rFonts w:ascii="Arial" w:cs="Arial" w:eastAsia="Arial" w:hAnsi="Arial"/>
          <w:sz w:val="17"/>
          <w:szCs w:val="17"/>
          <w:color w:val="auto"/>
        </w:rPr>
        <w:t>’</w:t>
      </w:r>
      <w:r>
        <w:rPr>
          <w:rFonts w:ascii="Arial" w:cs="Arial" w:eastAsia="Arial" w:hAnsi="Arial"/>
          <w:sz w:val="16"/>
          <w:szCs w:val="16"/>
          <w:color w:val="auto"/>
        </w:rPr>
        <w:t>s discretion), with the remainder vesting quarterly over the following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RSUs for the year ended December 31, 2021:</w:t>
      </w:r>
    </w:p>
    <w:p>
      <w:pPr>
        <w:spacing w:after="0" w:line="5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Number of Restricted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4900" w:type="dxa"/>
            <w:vAlign w:val="bottom"/>
          </w:tcPr>
          <w:p>
            <w:pPr>
              <w:spacing w:after="0"/>
              <w:rPr>
                <w:sz w:val="20"/>
                <w:szCs w:val="20"/>
                <w:color w:val="auto"/>
              </w:rPr>
            </w:pP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grant date fair value</w:t>
            </w:r>
          </w:p>
        </w:tc>
      </w:tr>
      <w:tr>
        <w:trPr>
          <w:trHeight w:val="27"/>
        </w:trPr>
        <w:tc>
          <w:tcPr>
            <w:tcW w:w="4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6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spacing w:after="0"/>
              <w:rPr>
                <w:sz w:val="20"/>
                <w:szCs w:val="20"/>
                <w:color w:val="auto"/>
              </w:rPr>
            </w:pPr>
            <w:r>
              <w:rPr>
                <w:rFonts w:ascii="Arial" w:cs="Arial" w:eastAsia="Arial" w:hAnsi="Arial"/>
                <w:sz w:val="18"/>
                <w:szCs w:val="18"/>
                <w:color w:val="auto"/>
              </w:rPr>
              <w:t>1,417,231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7"/>
        </w:trPr>
        <w:tc>
          <w:tcPr>
            <w:tcW w:w="4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4900" w:type="dxa"/>
            <w:vAlign w:val="bottom"/>
          </w:tcPr>
          <w:p>
            <w:pPr>
              <w:ind w:left="60"/>
              <w:spacing w:after="0"/>
              <w:rPr>
                <w:sz w:val="20"/>
                <w:szCs w:val="20"/>
                <w:color w:val="auto"/>
              </w:rPr>
            </w:pPr>
            <w:r>
              <w:rPr>
                <w:rFonts w:ascii="Arial" w:cs="Arial" w:eastAsia="Arial" w:hAnsi="Arial"/>
                <w:sz w:val="18"/>
                <w:szCs w:val="18"/>
                <w:color w:val="auto"/>
              </w:rPr>
              <w:t>Forfeited</w:t>
            </w:r>
          </w:p>
        </w:tc>
        <w:tc>
          <w:tcPr>
            <w:tcW w:w="2020" w:type="dxa"/>
            <w:vAlign w:val="bottom"/>
          </w:tcPr>
          <w:p>
            <w:pPr>
              <w:jc w:val="right"/>
              <w:spacing w:after="0"/>
              <w:rPr>
                <w:sz w:val="20"/>
                <w:szCs w:val="20"/>
                <w:color w:val="auto"/>
              </w:rPr>
            </w:pPr>
            <w:r>
              <w:rPr>
                <w:rFonts w:ascii="Arial" w:cs="Arial" w:eastAsia="Arial" w:hAnsi="Arial"/>
                <w:sz w:val="18"/>
                <w:szCs w:val="18"/>
                <w:color w:val="auto"/>
              </w:rPr>
              <w:t>(34,752)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13.12</w:t>
            </w:r>
          </w:p>
        </w:tc>
      </w:tr>
      <w:tr>
        <w:trPr>
          <w:trHeight w:val="27"/>
        </w:trPr>
        <w:tc>
          <w:tcPr>
            <w:tcW w:w="49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88"/>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2021, unvested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1,377,728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Of the total RSUs vested, 1,613 RSUs were withheld to fund employee withholding taxes.</w:t>
      </w:r>
    </w:p>
    <w:p>
      <w:pPr>
        <w:spacing w:after="0" w:line="25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fair value of the RSUs was based on the fair value of a Class A share of common stock at the time of grant. Total compensation expense for RSUs was approximately $1.0 million for the period from September 23, 2021 to December 31, 2021, and is included in selling, general and administrative expenses in the consolidated statements of operations. No tax benefit was associated with the equity-based compensation expense for RSUs.</w:t>
      </w:r>
    </w:p>
    <w:p>
      <w:pPr>
        <w:spacing w:after="0" w:line="1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unamortized compensation cost related to RSUs of $17.1 million as of December 31, 2021 is expected to be recognized over a weighted-average period of approximately 3.8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outstanding and exercisable stock options: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remaining</w:t>
            </w: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Weighted average grant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 term</w:t>
            </w:r>
          </w:p>
        </w:tc>
      </w:tr>
      <w:tr>
        <w:trPr>
          <w:trHeight w:val="210"/>
        </w:trPr>
        <w:tc>
          <w:tcPr>
            <w:tcW w:w="478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Number of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 price</w:t>
            </w:r>
          </w:p>
        </w:tc>
        <w:tc>
          <w:tcPr>
            <w:tcW w:w="1360" w:type="dxa"/>
            <w:vAlign w:val="bottom"/>
          </w:tcPr>
          <w:p>
            <w:pPr>
              <w:ind w:left="360"/>
              <w:spacing w:after="0"/>
              <w:rPr>
                <w:sz w:val="20"/>
                <w:szCs w:val="20"/>
                <w:color w:val="auto"/>
              </w:rPr>
            </w:pPr>
            <w:r>
              <w:rPr>
                <w:rFonts w:ascii="Arial" w:cs="Arial" w:eastAsia="Arial" w:hAnsi="Arial"/>
                <w:sz w:val="16"/>
                <w:szCs w:val="16"/>
                <w:b w:val="1"/>
                <w:bCs w:val="1"/>
                <w:color w:val="auto"/>
                <w:w w:val="91"/>
              </w:rPr>
              <w:t>date fair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r>
      <w:tr>
        <w:trPr>
          <w:trHeight w:val="33"/>
        </w:trPr>
        <w:tc>
          <w:tcPr>
            <w:tcW w:w="4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w:t>
            </w:r>
          </w:p>
        </w:tc>
      </w:tr>
      <w:tr>
        <w:trPr>
          <w:trHeight w:val="223"/>
        </w:trPr>
        <w:tc>
          <w:tcPr>
            <w:tcW w:w="4780" w:type="dxa"/>
            <w:vAlign w:val="bottom"/>
          </w:tcPr>
          <w:p>
            <w:pPr>
              <w:ind w:left="8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1,618,064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3"/>
              </w:rPr>
              <w:t>4.28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4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3"/>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7"/>
        </w:trPr>
        <w:tc>
          <w:tcPr>
            <w:tcW w:w="4780" w:type="dxa"/>
            <w:vAlign w:val="bottom"/>
          </w:tcPr>
          <w:p>
            <w:pPr>
              <w:ind w:left="20"/>
              <w:spacing w:after="0"/>
              <w:rPr>
                <w:sz w:val="20"/>
                <w:szCs w:val="20"/>
                <w:color w:val="auto"/>
              </w:rPr>
            </w:pPr>
            <w:r>
              <w:rPr>
                <w:rFonts w:ascii="Arial" w:cs="Arial" w:eastAsia="Arial" w:hAnsi="Arial"/>
                <w:sz w:val="16"/>
                <w:szCs w:val="16"/>
                <w:color w:val="auto"/>
              </w:rPr>
              <w:t>Outstanding as of December 31, 2021</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1,612,133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3"/>
              </w:rPr>
              <w:t>4.28</w:t>
            </w:r>
          </w:p>
        </w:tc>
        <w:tc>
          <w:tcPr>
            <w:tcW w:w="100" w:type="dxa"/>
            <w:vAlign w:val="bottom"/>
          </w:tcPr>
          <w:p>
            <w:pPr>
              <w:spacing w:after="0"/>
              <w:rPr>
                <w:sz w:val="21"/>
                <w:szCs w:val="21"/>
                <w:color w:val="auto"/>
              </w:rPr>
            </w:pPr>
          </w:p>
        </w:tc>
        <w:tc>
          <w:tcPr>
            <w:tcW w:w="1380" w:type="dxa"/>
            <w:vAlign w:val="bottom"/>
          </w:tcPr>
          <w:p>
            <w:pPr>
              <w:ind w:left="1160"/>
              <w:spacing w:after="0"/>
              <w:rPr>
                <w:sz w:val="20"/>
                <w:szCs w:val="20"/>
                <w:color w:val="auto"/>
              </w:rPr>
            </w:pPr>
            <w:r>
              <w:rPr>
                <w:rFonts w:ascii="Arial" w:cs="Arial" w:eastAsia="Arial" w:hAnsi="Arial"/>
                <w:sz w:val="16"/>
                <w:szCs w:val="16"/>
                <w:color w:val="auto"/>
                <w:w w:val="89"/>
              </w:rPr>
              <w:t>9.7</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86"/>
        </w:trPr>
        <w:tc>
          <w:tcPr>
            <w:tcW w:w="47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color w:val="auto"/>
              </w:rPr>
              <w:t>Exercisable as of December 31, 2021</w:t>
            </w:r>
          </w:p>
        </w:tc>
        <w:tc>
          <w:tcPr>
            <w:tcW w:w="1520" w:type="dxa"/>
            <w:vAlign w:val="bottom"/>
          </w:tcPr>
          <w:p>
            <w:pPr>
              <w:jc w:val="right"/>
              <w:spacing w:after="0"/>
              <w:rPr>
                <w:sz w:val="20"/>
                <w:szCs w:val="20"/>
                <w:color w:val="auto"/>
              </w:rPr>
            </w:pPr>
            <w:r>
              <w:rPr>
                <w:rFonts w:ascii="Arial" w:cs="Arial" w:eastAsia="Arial" w:hAnsi="Arial"/>
                <w:sz w:val="16"/>
                <w:szCs w:val="16"/>
                <w:color w:val="auto"/>
              </w:rPr>
              <w:t>162,952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3"/>
              </w:rPr>
              <w:t>4.20</w:t>
            </w:r>
          </w:p>
        </w:tc>
        <w:tc>
          <w:tcPr>
            <w:tcW w:w="100" w:type="dxa"/>
            <w:vAlign w:val="bottom"/>
          </w:tcPr>
          <w:p>
            <w:pPr>
              <w:spacing w:after="0"/>
              <w:rPr>
                <w:sz w:val="19"/>
                <w:szCs w:val="19"/>
                <w:color w:val="auto"/>
              </w:rPr>
            </w:pPr>
          </w:p>
        </w:tc>
        <w:tc>
          <w:tcPr>
            <w:tcW w:w="1380" w:type="dxa"/>
            <w:vAlign w:val="bottom"/>
          </w:tcPr>
          <w:p>
            <w:pPr>
              <w:ind w:left="1160"/>
              <w:spacing w:after="0"/>
              <w:rPr>
                <w:sz w:val="20"/>
                <w:szCs w:val="20"/>
                <w:color w:val="auto"/>
              </w:rPr>
            </w:pPr>
            <w:r>
              <w:rPr>
                <w:rFonts w:ascii="Arial" w:cs="Arial" w:eastAsia="Arial" w:hAnsi="Arial"/>
                <w:sz w:val="16"/>
                <w:szCs w:val="16"/>
                <w:color w:val="auto"/>
                <w:w w:val="89"/>
              </w:rPr>
              <w:t>9.7</w:t>
            </w:r>
          </w:p>
        </w:tc>
      </w:tr>
      <w:tr>
        <w:trPr>
          <w:trHeight w:val="33"/>
        </w:trPr>
        <w:tc>
          <w:tcPr>
            <w:tcW w:w="4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1,449,181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3"/>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w w:val="89"/>
              </w:rPr>
              <w:t>9.7</w:t>
            </w:r>
          </w:p>
        </w:tc>
      </w:tr>
      <w:tr>
        <w:trPr>
          <w:trHeight w:val="247"/>
        </w:trPr>
        <w:tc>
          <w:tcPr>
            <w:tcW w:w="4780" w:type="dxa"/>
            <w:vAlign w:val="bottom"/>
          </w:tcPr>
          <w:p>
            <w:pPr>
              <w:ind w:left="20"/>
              <w:spacing w:after="0"/>
              <w:rPr>
                <w:sz w:val="20"/>
                <w:szCs w:val="20"/>
                <w:color w:val="auto"/>
              </w:rPr>
            </w:pPr>
            <w:r>
              <w:rPr>
                <w:rFonts w:ascii="Arial" w:cs="Arial" w:eastAsia="Arial" w:hAnsi="Arial"/>
                <w:sz w:val="16"/>
                <w:szCs w:val="16"/>
                <w:color w:val="auto"/>
              </w:rPr>
              <w:t>Vested and expected to vest as of December 31, 2021</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1,612,133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3"/>
              </w:rPr>
              <w:t>4.28</w:t>
            </w:r>
          </w:p>
        </w:tc>
        <w:tc>
          <w:tcPr>
            <w:tcW w:w="100" w:type="dxa"/>
            <w:vAlign w:val="bottom"/>
          </w:tcPr>
          <w:p>
            <w:pPr>
              <w:spacing w:after="0"/>
              <w:rPr>
                <w:sz w:val="21"/>
                <w:szCs w:val="21"/>
                <w:color w:val="auto"/>
              </w:rPr>
            </w:pPr>
          </w:p>
        </w:tc>
        <w:tc>
          <w:tcPr>
            <w:tcW w:w="1380" w:type="dxa"/>
            <w:vAlign w:val="bottom"/>
          </w:tcPr>
          <w:p>
            <w:pPr>
              <w:ind w:left="1160"/>
              <w:spacing w:after="0"/>
              <w:rPr>
                <w:sz w:val="20"/>
                <w:szCs w:val="20"/>
                <w:color w:val="auto"/>
              </w:rPr>
            </w:pPr>
            <w:r>
              <w:rPr>
                <w:rFonts w:ascii="Arial" w:cs="Arial" w:eastAsia="Arial" w:hAnsi="Arial"/>
                <w:sz w:val="16"/>
                <w:szCs w:val="16"/>
                <w:color w:val="auto"/>
                <w:w w:val="89"/>
              </w:rPr>
              <w:t>9.7</w:t>
            </w:r>
          </w:p>
        </w:tc>
      </w:tr>
      <w:tr>
        <w:trPr>
          <w:trHeight w:val="24"/>
        </w:trPr>
        <w:tc>
          <w:tcPr>
            <w:tcW w:w="4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bl>
    <w:p>
      <w:pPr>
        <w:spacing w:after="0" w:line="3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September 22, 2021, options to purchase 1,618,064 shares of Class A common stock with a strike price of $12.00 (per share underlying the option) were granted to certain executives, employees and members of the Board with the number of shares underlying the options determined based on the number of Class M Units reduced in the conversion of LLC Units. The awards have a time-based vesting requirement (based on continuous employment). Upon vesting, the stock options are exercisable into Class A common stock. Vesting is generally over four years from the date of grant of the related Class M Units and options may be exercised up to 10 years from the date of issuance.</w:t>
      </w:r>
    </w:p>
    <w:p>
      <w:pPr>
        <w:spacing w:after="0" w:line="2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2021, the vested stock options had an aggregated intrinsic value of $1.0 million. The stock option awards have weighted average remaining contractual terms of 9.7 years with an aggregate intrinsic value of $9.8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Since options represent equity awards, such awards are fair valued as of the grant date for the purposes of measurement and recognition under U.S. GAAP. To measure the fair value of an option, the Black Scholes valuation model was utilized. The value of the common stock underlying the award is based on the fair value of a share of Class A common stock. The valuation model requires the input of other highly subjective assumptions. Inputs to model for awards granted during the period from September 22, 2021 through December 31, 2021, are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Expected volatility</w:t>
            </w:r>
          </w:p>
        </w:tc>
        <w:tc>
          <w:tcPr>
            <w:tcW w:w="3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Expected dividend yield</w:t>
            </w:r>
          </w:p>
        </w:tc>
        <w:tc>
          <w:tcPr>
            <w:tcW w:w="3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Nil</w:t>
            </w:r>
          </w:p>
        </w:tc>
      </w:tr>
      <w:tr>
        <w:trPr>
          <w:trHeight w:val="27"/>
        </w:trPr>
        <w:tc>
          <w:tcPr>
            <w:tcW w:w="5660" w:type="dxa"/>
            <w:vAlign w:val="bottom"/>
          </w:tcPr>
          <w:p>
            <w:pPr>
              <w:spacing w:after="0"/>
              <w:rPr>
                <w:sz w:val="2"/>
                <w:szCs w:val="2"/>
                <w:color w:val="auto"/>
              </w:rPr>
            </w:pPr>
          </w:p>
        </w:tc>
        <w:tc>
          <w:tcPr>
            <w:tcW w:w="4420" w:type="dxa"/>
            <w:vAlign w:val="bottom"/>
            <w:gridSpan w:val="2"/>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Expected term (in years)</w:t>
            </w:r>
          </w:p>
        </w:tc>
        <w:tc>
          <w:tcPr>
            <w:tcW w:w="4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to 6.3 Years</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Risk free interest rate</w:t>
            </w:r>
          </w:p>
        </w:tc>
        <w:tc>
          <w:tcPr>
            <w:tcW w:w="386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Total compensation expense for stock options was approximately $1.4 million for the period from September 22, 2021 to December 31, 2021, and is included in selling, general and administrative expenses in the consolidated statements of operations. No tax benefit was associated with the equity-based compensation expense for stock options.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2021, total compensation expense related to unvested option awards not yet recognized was $5.5 million and the weighted-average period over which the compensation is expected to be recognized is 3.1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M Units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being recapitalized into Outstanding Restricted LLC Units as discussed in Note 1, </w:t>
      </w:r>
      <w:r>
        <w:rPr>
          <w:rFonts w:ascii="Arial" w:cs="Arial" w:eastAsia="Arial" w:hAnsi="Arial"/>
          <w:sz w:val="18"/>
          <w:szCs w:val="18"/>
          <w:i w:val="1"/>
          <w:iCs w:val="1"/>
          <w:color w:val="auto"/>
        </w:rPr>
        <w:t>Business and Organization, Summary of the 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Offering and Other Transactions Completed in connection with the IPO</w:t>
      </w:r>
      <w:r>
        <w:rPr>
          <w:rFonts w:ascii="Arial" w:cs="Arial" w:eastAsia="Arial" w:hAnsi="Arial"/>
          <w:sz w:val="18"/>
          <w:szCs w:val="18"/>
          <w:color w:val="auto"/>
        </w:rPr>
        <w:t>, Class M Units were profit interests granted to certain employees at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without consideration. The agreements granted to date generally provide for 25.0% vesting on the first anniversary from the date of grant (or shorter period at management’s discretion), with the remainder vesting monthly over the subsequent three years. Compensation cost related to these Class M Units was measured as of the grant date based on the fair value of the award and was expensed ratably over the service period. Class M Units were deemed issued and outstanding as they vested.</w:t>
      </w:r>
    </w:p>
    <w:p>
      <w:pPr>
        <w:spacing w:after="0" w:line="21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fair value of grants of restricted Class M Units was based on the fair value of an unrestricted Class M Unit underlying the award until the recapitalization which occurred on September 22, 2021 as discussed in the table within the subsection "</w:t>
      </w:r>
      <w:r>
        <w:rPr>
          <w:rFonts w:ascii="Arial" w:cs="Arial" w:eastAsia="Arial" w:hAnsi="Arial"/>
          <w:sz w:val="18"/>
          <w:szCs w:val="18"/>
          <w:i w:val="1"/>
          <w:iCs w:val="1"/>
          <w:color w:val="auto"/>
        </w:rPr>
        <w:t>Outstanding Restricted LLC Units (formerly M</w:t>
      </w:r>
      <w:r>
        <w:rPr>
          <w:rFonts w:ascii="Arial" w:cs="Arial" w:eastAsia="Arial" w:hAnsi="Arial"/>
          <w:sz w:val="18"/>
          <w:szCs w:val="18"/>
          <w:color w:val="auto"/>
        </w:rPr>
        <w:t xml:space="preserve"> </w:t>
      </w:r>
      <w:r>
        <w:rPr>
          <w:rFonts w:ascii="Arial" w:cs="Arial" w:eastAsia="Arial" w:hAnsi="Arial"/>
          <w:sz w:val="18"/>
          <w:szCs w:val="18"/>
          <w:i w:val="1"/>
          <w:iCs w:val="1"/>
          <w:color w:val="auto"/>
        </w:rPr>
        <w:t>Units)</w:t>
      </w:r>
      <w:r>
        <w:rPr>
          <w:rFonts w:ascii="Arial" w:cs="Arial" w:eastAsia="Arial" w:hAnsi="Arial"/>
          <w:sz w:val="18"/>
          <w:szCs w:val="18"/>
          <w:color w:val="auto"/>
        </w:rPr>
        <w:t>" below.</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Vested Class M Units were subject to repurchase at the option of the Company upon termination of the holder’s employment based on the then fair value of the units. No units had been repurchased through September 22,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Restricted LLC Units (formerly M Units)</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As discussed above, restricted LLC Units were granted to certain executives, employees and members of the Board prior to the IPO and have been retroactively adjusted as described in Note 1, </w:t>
      </w:r>
      <w:r>
        <w:rPr>
          <w:rFonts w:ascii="Arial" w:cs="Arial" w:eastAsia="Arial" w:hAnsi="Arial"/>
          <w:sz w:val="16"/>
          <w:szCs w:val="16"/>
          <w:i w:val="1"/>
          <w:iCs w:val="1"/>
          <w:color w:val="auto"/>
        </w:rPr>
        <w:t>Business and Organization</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of Class F, P and M Units at Time of IPO</w:t>
      </w:r>
      <w:r>
        <w:rPr>
          <w:rFonts w:ascii="Arial" w:cs="Arial" w:eastAsia="Arial" w:hAnsi="Arial"/>
          <w:sz w:val="16"/>
          <w:szCs w:val="16"/>
          <w:color w:val="auto"/>
        </w:rPr>
        <w:t>. The awards have a time-based vesting requirement (based on continuous employment). Upon grant, the awards are issued and outstanding common LLC Units but subject to forfeiture in the event of a termination of service; unvested awards are outstanding LLC units. Vesting is generally over four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The following table summarizes the activity related to the unvested LLC Units: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81"/>
        </w:trPr>
        <w:tc>
          <w:tcPr>
            <w:tcW w:w="6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6720" w:type="dxa"/>
            <w:vAlign w:val="bottom"/>
          </w:tcPr>
          <w:p>
            <w:pPr>
              <w:spacing w:after="0"/>
              <w:rPr>
                <w:sz w:val="20"/>
                <w:szCs w:val="20"/>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LLC Units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grant date fair value</w:t>
            </w:r>
          </w:p>
        </w:tc>
      </w:tr>
      <w:tr>
        <w:trPr>
          <w:trHeight w:val="27"/>
        </w:trPr>
        <w:tc>
          <w:tcPr>
            <w:tcW w:w="6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2019,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487,091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spacing w:after="0"/>
              <w:rPr>
                <w:sz w:val="20"/>
                <w:szCs w:val="20"/>
                <w:color w:val="auto"/>
              </w:rPr>
            </w:pPr>
            <w:r>
              <w:rPr>
                <w:rFonts w:ascii="Arial" w:cs="Arial" w:eastAsia="Arial" w:hAnsi="Arial"/>
                <w:sz w:val="18"/>
                <w:szCs w:val="18"/>
                <w:color w:val="auto"/>
              </w:rPr>
              <w:t>177,346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7"/>
        </w:trPr>
        <w:tc>
          <w:tcPr>
            <w:tcW w:w="6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Vested</w:t>
            </w:r>
          </w:p>
        </w:tc>
        <w:tc>
          <w:tcPr>
            <w:tcW w:w="2020" w:type="dxa"/>
            <w:vAlign w:val="bottom"/>
          </w:tcPr>
          <w:p>
            <w:pPr>
              <w:jc w:val="right"/>
              <w:spacing w:after="0"/>
              <w:rPr>
                <w:sz w:val="20"/>
                <w:szCs w:val="20"/>
                <w:color w:val="auto"/>
              </w:rPr>
            </w:pPr>
            <w:r>
              <w:rPr>
                <w:rFonts w:ascii="Arial" w:cs="Arial" w:eastAsia="Arial" w:hAnsi="Arial"/>
                <w:sz w:val="18"/>
                <w:szCs w:val="18"/>
                <w:color w:val="auto"/>
              </w:rPr>
              <w:t>(182,825)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67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2020,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457,227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spacing w:after="0"/>
              <w:rPr>
                <w:sz w:val="20"/>
                <w:szCs w:val="20"/>
                <w:color w:val="auto"/>
              </w:rPr>
            </w:pPr>
            <w:r>
              <w:rPr>
                <w:rFonts w:ascii="Arial" w:cs="Arial" w:eastAsia="Arial" w:hAnsi="Arial"/>
                <w:sz w:val="18"/>
                <w:szCs w:val="18"/>
                <w:color w:val="auto"/>
              </w:rPr>
              <w:t>1,444,831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7"/>
        </w:trPr>
        <w:tc>
          <w:tcPr>
            <w:tcW w:w="6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(241,265)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Vested</w:t>
            </w:r>
          </w:p>
        </w:tc>
        <w:tc>
          <w:tcPr>
            <w:tcW w:w="2020" w:type="dxa"/>
            <w:vAlign w:val="bottom"/>
          </w:tcPr>
          <w:p>
            <w:pPr>
              <w:jc w:val="right"/>
              <w:spacing w:after="0"/>
              <w:rPr>
                <w:sz w:val="20"/>
                <w:szCs w:val="20"/>
                <w:color w:val="auto"/>
              </w:rPr>
            </w:pPr>
            <w:r>
              <w:rPr>
                <w:rFonts w:ascii="Arial" w:cs="Arial" w:eastAsia="Arial" w:hAnsi="Arial"/>
                <w:sz w:val="18"/>
                <w:szCs w:val="18"/>
                <w:color w:val="auto"/>
              </w:rPr>
              <w:t>(174,847)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67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1,485,946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Granted prior to September 22, 2021</w:t>
            </w:r>
          </w:p>
        </w:tc>
        <w:tc>
          <w:tcPr>
            <w:tcW w:w="2020" w:type="dxa"/>
            <w:vAlign w:val="bottom"/>
          </w:tcPr>
          <w:p>
            <w:pPr>
              <w:jc w:val="right"/>
              <w:spacing w:after="0"/>
              <w:rPr>
                <w:sz w:val="20"/>
                <w:szCs w:val="20"/>
                <w:color w:val="auto"/>
              </w:rPr>
            </w:pPr>
            <w:r>
              <w:rPr>
                <w:rFonts w:ascii="Arial" w:cs="Arial" w:eastAsia="Arial" w:hAnsi="Arial"/>
                <w:sz w:val="18"/>
                <w:szCs w:val="18"/>
                <w:color w:val="auto"/>
              </w:rPr>
              <w:t>1,515,276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7"/>
        </w:trPr>
        <w:tc>
          <w:tcPr>
            <w:tcW w:w="6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(398,768)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Vested</w:t>
            </w:r>
          </w:p>
        </w:tc>
        <w:tc>
          <w:tcPr>
            <w:tcW w:w="2020" w:type="dxa"/>
            <w:vAlign w:val="bottom"/>
          </w:tcPr>
          <w:p>
            <w:pPr>
              <w:jc w:val="right"/>
              <w:spacing w:after="0"/>
              <w:rPr>
                <w:sz w:val="20"/>
                <w:szCs w:val="20"/>
                <w:color w:val="auto"/>
              </w:rPr>
            </w:pPr>
            <w:r>
              <w:rPr>
                <w:rFonts w:ascii="Arial" w:cs="Arial" w:eastAsia="Arial" w:hAnsi="Arial"/>
                <w:sz w:val="18"/>
                <w:szCs w:val="18"/>
                <w:color w:val="auto"/>
              </w:rPr>
              <w:t>(700,477)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67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 unvested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1,901,977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fair value of restricted LLC Units was based on the fair value of an unrestricted LLC Unit at the date of grant. Total compensation expense for LLC Units recorded in selling, general and administrative expenses in the consolidated statements of operations were approximately $0.3 million, less than $0.1 million, and less than $0.1 million for the years ended December 31, 2021, 2020, and 2019, respectively.</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unamortized LLC Unit compensation cost of $0.9 million as of December 31, 2021 is expected to be recognized over a weighted-average period of approximately 3.0 years.</w:t>
      </w:r>
    </w:p>
    <w:p>
      <w:pPr>
        <w:spacing w:after="0" w:line="19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The quantitative information about certain significant Level 3 unobservable inputs for the three valuation methods and for Black-Scholes are summarized in Note 9, </w:t>
      </w:r>
      <w:r>
        <w:rPr>
          <w:rFonts w:ascii="Arial" w:cs="Arial" w:eastAsia="Arial" w:hAnsi="Arial"/>
          <w:sz w:val="16"/>
          <w:szCs w:val="16"/>
          <w:i w:val="1"/>
          <w:iCs w:val="1"/>
          <w:color w:val="auto"/>
        </w:rPr>
        <w:t>Stockholders’ and Members’ Equity, Fair Value Measurement for Class P Unit Redemption Value, Warrants Exercisable into Class P Units,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Valuation as of the Grant Date of Class M Units </w:t>
      </w:r>
      <w:r>
        <w:rPr>
          <w:rFonts w:ascii="Arial" w:cs="Arial" w:eastAsia="Arial" w:hAnsi="Arial"/>
          <w:sz w:val="16"/>
          <w:szCs w:val="16"/>
          <w:color w:val="auto"/>
        </w:rPr>
        <w:t>for the period ended September 22, 2021 and the years ended December 31, 2020 and 2019,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 AND TAX RECEIVABLE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Income Taxes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consolidated financial statements under U.S. GAAP.</w:t>
      </w:r>
    </w:p>
    <w:p>
      <w:pPr>
        <w:spacing w:after="0" w:line="22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and Deferred Tax Asset</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September 23, 2021 in connection to the Reorganization Transaction, the Company recorded a deferred tax asset related to the outside basis difference between U.S. GAAP and reporting for income tax purposes of the Brilliant Earth Group, Inc.’s investment in Brilliant Earth, LLC of $4.4 million. The basis difference resulted from the step-up in basis allowed under Section 743(b) and 197 of the Internal Revenue Code related to the purchase of</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1,249,999 LLC Units from the Continuing Equity Owners discussed in Note 1, </w:t>
      </w:r>
      <w:r>
        <w:rPr>
          <w:rFonts w:ascii="Arial" w:cs="Arial" w:eastAsia="Arial" w:hAnsi="Arial"/>
          <w:sz w:val="16"/>
          <w:szCs w:val="16"/>
          <w:i w:val="1"/>
          <w:iCs w:val="1"/>
          <w:color w:val="auto"/>
        </w:rPr>
        <w:t>Business and organization,</w:t>
      </w:r>
      <w:r>
        <w:rPr>
          <w:rFonts w:ascii="Arial" w:cs="Arial" w:eastAsia="Arial" w:hAnsi="Arial"/>
          <w:sz w:val="16"/>
          <w:szCs w:val="16"/>
          <w:color w:val="auto"/>
        </w:rPr>
        <w:t xml:space="preserve"> which is expected to be amortized over the useful lives of the underlying assets. In assessing the realizability of deferred tax assets, management determined that it was more likely than not that the deferred tax assets will be realized. No deferred taxes were provided on the outside basis difference resulting from the direct purchase of 8,333,333 newly-issued membership units from Brilliant Earth, LLC since such difference is subject to the indefinite reversal criteria of ASC 740, </w:t>
      </w:r>
      <w:r>
        <w:rPr>
          <w:rFonts w:ascii="Arial" w:cs="Arial" w:eastAsia="Arial" w:hAnsi="Arial"/>
          <w:sz w:val="16"/>
          <w:szCs w:val="16"/>
          <w:i w:val="1"/>
          <w:iCs w:val="1"/>
          <w:color w:val="auto"/>
        </w:rPr>
        <w:t>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Brilliant Earth Group, Inc.'s income tax benefit was $0.3 million for the period from September 23, 2021 to December 31, 2021. Brilliant Earth Group,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had no business transactions or activities prior to the IPO, and accordingly, no amounts related to income taxes were incurred by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Total Company earnings used to compute income taxes is as follows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For the period from September 23, to</w:t>
            </w:r>
          </w:p>
        </w:tc>
      </w:t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7"/>
        </w:trPr>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Pre-tax earnings of the Company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25,940</w:t>
            </w:r>
          </w:p>
        </w:tc>
      </w:tr>
      <w:tr>
        <w:trPr>
          <w:trHeight w:val="243"/>
        </w:trPr>
        <w:tc>
          <w:tcPr>
            <w:tcW w:w="6080" w:type="dxa"/>
            <w:vAlign w:val="bottom"/>
          </w:tcPr>
          <w:p>
            <w:pPr>
              <w:ind w:left="220"/>
              <w:spacing w:after="0"/>
              <w:rPr>
                <w:sz w:val="20"/>
                <w:szCs w:val="20"/>
                <w:color w:val="auto"/>
              </w:rPr>
            </w:pPr>
            <w:r>
              <w:rPr>
                <w:rFonts w:ascii="Arial" w:cs="Arial" w:eastAsia="Arial" w:hAnsi="Arial"/>
                <w:sz w:val="18"/>
                <w:szCs w:val="18"/>
                <w:color w:val="auto"/>
              </w:rPr>
              <w:t>Earnings allocable to NCI (not allocable to the Company)</w:t>
            </w:r>
          </w:p>
        </w:tc>
        <w:tc>
          <w:tcPr>
            <w:tcW w:w="240" w:type="dxa"/>
            <w:vAlign w:val="bottom"/>
          </w:tcPr>
          <w:p>
            <w:pPr>
              <w:spacing w:after="0"/>
              <w:rPr>
                <w:sz w:val="21"/>
                <w:szCs w:val="21"/>
                <w:color w:val="auto"/>
              </w:rPr>
            </w:pP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(24,728)</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Pre-tax earnings of Brilliant Earth, Inc.</w:t>
            </w:r>
          </w:p>
        </w:tc>
        <w:tc>
          <w:tcPr>
            <w:tcW w:w="2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1,212</w:t>
            </w:r>
          </w:p>
        </w:tc>
      </w:tr>
      <w:tr>
        <w:trPr>
          <w:trHeight w:val="243"/>
        </w:trPr>
        <w:tc>
          <w:tcPr>
            <w:tcW w:w="6080" w:type="dxa"/>
            <w:vAlign w:val="bottom"/>
          </w:tcPr>
          <w:p>
            <w:pPr>
              <w:ind w:left="220"/>
              <w:spacing w:after="0"/>
              <w:rPr>
                <w:sz w:val="20"/>
                <w:szCs w:val="20"/>
                <w:color w:val="auto"/>
              </w:rPr>
            </w:pPr>
            <w:r>
              <w:rPr>
                <w:rFonts w:ascii="Arial" w:cs="Arial" w:eastAsia="Arial" w:hAnsi="Arial"/>
                <w:sz w:val="18"/>
                <w:szCs w:val="18"/>
                <w:color w:val="auto"/>
              </w:rPr>
              <w:t>Income tax benefit recognized by Brilliant Earth, Inc.</w:t>
            </w:r>
          </w:p>
        </w:tc>
        <w:tc>
          <w:tcPr>
            <w:tcW w:w="240" w:type="dxa"/>
            <w:vAlign w:val="bottom"/>
          </w:tcPr>
          <w:p>
            <w:pPr>
              <w:spacing w:after="0"/>
              <w:rPr>
                <w:sz w:val="21"/>
                <w:szCs w:val="21"/>
                <w:color w:val="auto"/>
              </w:rPr>
            </w:pP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316</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88"/>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tax earnings of Brilliant Earth Group,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benefit from income taxes are as follows as of December 31, 2021:</w:t>
      </w:r>
    </w:p>
    <w:p>
      <w:pPr>
        <w:spacing w:after="0" w:line="30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80" w:type="dxa"/>
            <w:vAlign w:val="bottom"/>
          </w:tcPr>
          <w:p>
            <w:pPr>
              <w:jc w:val="right"/>
              <w:ind w:right="830"/>
              <w:spacing w:after="0"/>
              <w:rPr>
                <w:sz w:val="20"/>
                <w:szCs w:val="20"/>
                <w:color w:val="auto"/>
              </w:rPr>
            </w:pPr>
            <w:r>
              <w:rPr>
                <w:rFonts w:ascii="Arial" w:cs="Arial" w:eastAsia="Arial" w:hAnsi="Arial"/>
                <w:sz w:val="18"/>
                <w:szCs w:val="18"/>
                <w:b w:val="1"/>
                <w:bCs w:val="1"/>
                <w:color w:val="auto"/>
              </w:rPr>
              <w:t>December 31, 2021</w:t>
            </w:r>
          </w:p>
        </w:tc>
      </w:tr>
      <w:tr>
        <w:trPr>
          <w:trHeight w:val="27"/>
        </w:trPr>
        <w:tc>
          <w:tcPr>
            <w:tcW w:w="5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Current tax benefit</w:t>
            </w:r>
          </w:p>
        </w:tc>
        <w:tc>
          <w:tcPr>
            <w:tcW w:w="118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880"/>
              <w:spacing w:after="0"/>
              <w:rPr>
                <w:sz w:val="20"/>
                <w:szCs w:val="20"/>
                <w:color w:val="auto"/>
              </w:rPr>
            </w:pPr>
            <w:r>
              <w:rPr>
                <w:rFonts w:ascii="Arial" w:cs="Arial" w:eastAsia="Arial" w:hAnsi="Arial"/>
                <w:sz w:val="18"/>
                <w:szCs w:val="18"/>
                <w:color w:val="auto"/>
              </w:rPr>
              <w:t>Federal</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State</w:t>
            </w:r>
          </w:p>
        </w:tc>
        <w:tc>
          <w:tcPr>
            <w:tcW w:w="118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5660" w:type="dxa"/>
            <w:vAlign w:val="bottom"/>
          </w:tcPr>
          <w:p>
            <w:pPr>
              <w:ind w:left="660"/>
              <w:spacing w:after="0"/>
              <w:rPr>
                <w:sz w:val="20"/>
                <w:szCs w:val="20"/>
                <w:color w:val="auto"/>
              </w:rPr>
            </w:pPr>
            <w:r>
              <w:rPr>
                <w:rFonts w:ascii="Arial" w:cs="Arial" w:eastAsia="Arial" w:hAnsi="Arial"/>
                <w:sz w:val="18"/>
                <w:szCs w:val="18"/>
                <w:color w:val="auto"/>
              </w:rPr>
              <w:t>Total current income tax benefit</w:t>
            </w:r>
          </w:p>
        </w:tc>
        <w:tc>
          <w:tcPr>
            <w:tcW w:w="118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b w:val="1"/>
                <w:bCs w:val="1"/>
                <w:color w:val="auto"/>
              </w:rPr>
              <w:t>Deferred tax benefit</w:t>
            </w:r>
          </w:p>
        </w:tc>
        <w:tc>
          <w:tcPr>
            <w:tcW w:w="118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Federal</w:t>
            </w:r>
          </w:p>
        </w:tc>
        <w:tc>
          <w:tcPr>
            <w:tcW w:w="118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r>
      <w:tr>
        <w:trPr>
          <w:trHeight w:val="243"/>
        </w:trPr>
        <w:tc>
          <w:tcPr>
            <w:tcW w:w="5660" w:type="dxa"/>
            <w:vAlign w:val="bottom"/>
          </w:tcPr>
          <w:p>
            <w:pPr>
              <w:ind w:left="88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27"/>
        </w:trPr>
        <w:tc>
          <w:tcPr>
            <w:tcW w:w="5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deferred income tax benefit</w:t>
            </w:r>
          </w:p>
        </w:tc>
        <w:tc>
          <w:tcPr>
            <w:tcW w:w="118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70"/>
        </w:trPr>
        <w:tc>
          <w:tcPr>
            <w:tcW w:w="566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tcPr>
          <w:p>
            <w:pPr>
              <w:spacing w:after="0"/>
              <w:rPr>
                <w:sz w:val="23"/>
                <w:szCs w:val="23"/>
                <w:color w:val="auto"/>
              </w:rPr>
            </w:pPr>
          </w:p>
        </w:tc>
      </w:tr>
      <w:tr>
        <w:trPr>
          <w:trHeight w:val="288"/>
        </w:trPr>
        <w:tc>
          <w:tcPr>
            <w:tcW w:w="5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Benefit from income taxes</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expected federal statutory rate of 21.0% to the effective rate is as follows (amount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Tax effect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jc w:val="right"/>
              <w:ind w:right="13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Brilliant Earth Group, Inc. expected tax expense at statutory rate</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21.0%</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Less: equity interest in earnings of subsidiary not taxable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19"/>
                <w:szCs w:val="19"/>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(22.4)%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(permanent difference)</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Brilliant Earth Group, Inc. level pre-tax loss as adjusted for tax</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(1.4)%</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Loss from investee per K-1 (inside basis difference)</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8"/>
              </w:rPr>
              <w:t>(12.2)%</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step up in outside basis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(12.5)%</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Income tax benefit at effective rate</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(26.1)%</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560" w:type="dxa"/>
            <w:vAlign w:val="bottom"/>
            <w:gridSpan w:val="5"/>
          </w:tcPr>
          <w:p>
            <w:pPr>
              <w:jc w:val="right"/>
              <w:ind w:right="650"/>
              <w:spacing w:after="0"/>
              <w:rPr>
                <w:sz w:val="20"/>
                <w:szCs w:val="20"/>
                <w:color w:val="auto"/>
              </w:rPr>
            </w:pPr>
            <w:r>
              <w:rPr>
                <w:rFonts w:ascii="Arial" w:cs="Arial" w:eastAsia="Arial" w:hAnsi="Arial"/>
                <w:sz w:val="18"/>
                <w:szCs w:val="18"/>
                <w:color w:val="auto"/>
                <w:w w:val="89"/>
              </w:rPr>
              <w:t>As of December 31, 2021, the components of deferred tax assets are as follows (in thousands):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520" w:type="dxa"/>
            <w:vAlign w:val="bottom"/>
            <w:tcBorders>
              <w:bottom w:val="single" w:sz="8" w:color="CCEEFF"/>
            </w:tcBorders>
            <w:gridSpan w:val="2"/>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Outside basis difference in investment</w:t>
            </w: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4,091</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5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deferred tax asset</w:t>
            </w:r>
          </w:p>
        </w:tc>
        <w:tc>
          <w:tcPr>
            <w:tcW w:w="8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4,407</w:t>
            </w: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recognizes deferred tax assets to the extent it believes, based on available evidence, that it is more likely than not that they will be realized. In making such a determination, the Company considers all available positive and negative evidence, including future reversals of existing taxable temporary differences, projected future taxable income, tax planning strategies, and recent results of operations. For the period from September 23, 2021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31, 2021, the Company evaluated the likelihood it would realize its deferred tax assets and determined the probability to be more likely than not, and accordingly, no valuation allowance was recognized.</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2021, the Company has total federal net operating loss carryforwards (“NOLs”) of $1.2 million that have no expiration date. The Company also has various immaterial state NOLs that begin to expire in 2036. Management believes on a more likely than not basis that the Company will be able to realize the tax benefit of its NOLs carryforwards.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Company follows the provisions of FASB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2021, the Company had not incurred or recorded any penalties or interest related to income taxes in the consolidated statements of operations. Additionally, the Company did not record any uncertain tax positions on the consolidated balance sheets as management concluded that no such positions existed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examination for tax years beginning with the year ended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spacing w:after="0" w:line="21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as part of the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purchase of 1,249,999 LLC Units from the Continuing Equity Owners triggered a tax basis increase subject to the provisions of the TRA.</w:t>
      </w:r>
    </w:p>
    <w:p>
      <w:pPr>
        <w:spacing w:after="0" w:line="2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 of December 31, 2021, related to the TRA, the Company has recorded (i) a deferred tax asset in the amount of $4.1 million, (ii) a corresponding estimated liability with a balance of $3.8 million representing 85% of the projected tax benefits to the TRA Owners, and (iii) $0.3 million of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 632.7. The plaintiff seeks statutory damages, injunctive relief, attorneys’ fees and costs, and other unspecified damages. The Company has obtained an extension of time to file a response, the time to file such response has not yet passed, and as of the date of this Annual Report on Form 10-K, the Company has not responded to the complaint. The Company believes these claims have no merit, and intends to vigorously defend against this lawsuit, though there can be no assurance regarding its ultimate outcome. At this time, any liability related to the alleged claims is not currently probable or reasonably estimable.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Related Taxes</w:t>
      </w:r>
    </w:p>
    <w:p>
      <w:pPr>
        <w:spacing w:after="0" w:line="25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From time to time in the normal course of business, the Company will enter into agreements with suppliers or service providers. As of December 31, 2021, unconditional future minimum payments under agreements to purchase services primarily related to software maintenance and marketing and advertising spending. The Company does not have a material amount of purchase obligations from contracts with a remaining term in excess of 12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may enter into commitments to expand various locations, which generally include design, store construction and improvements. As of December 31, 2021, these commitments totaled $1.6 million, related to the opening of new locations.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2021, the Company has an unused letter of credit in the amount of $0.2 million, which was issued in lieu of a security deposit at one of its showroom locations. The certificate of deposit used to secure this letter of credit is recorded as restricted cash on the Company’s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Company maintains a qualified defined contribution plan under Section 401(k) of the Internal Revenue Code, which provides for voluntary contributions from the Company and its employees. Contributions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were $0.5 million, $0.4 million and $0.3 million, for the years ended December 31, 2021, 2020 and 2019,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43" w:lineRule="exact"/>
        <w:rPr>
          <w:sz w:val="20"/>
          <w:szCs w:val="20"/>
          <w:color w:val="auto"/>
        </w:rPr>
      </w:pPr>
    </w:p>
    <w:p>
      <w:pPr>
        <w:jc w:val="both"/>
        <w:ind w:right="380"/>
        <w:spacing w:after="0" w:line="235" w:lineRule="auto"/>
        <w:rPr>
          <w:sz w:val="20"/>
          <w:szCs w:val="20"/>
          <w:color w:val="auto"/>
        </w:rPr>
      </w:pPr>
      <w:r>
        <w:rPr>
          <w:rFonts w:ascii="Arial" w:cs="Arial" w:eastAsia="Arial" w:hAnsi="Arial"/>
          <w:sz w:val="18"/>
          <w:szCs w:val="18"/>
          <w:color w:val="auto"/>
        </w:rPr>
        <w:t>The Company entered into six new lease agreements in additional locations in the U.S. for showrooms, where the Company had not yet taken physical possession of nor had control of the physical use of these leased properties, with future minimum aggregate rent payments totaling approximately $4.5 million.</w:t>
      </w:r>
    </w:p>
    <w:p>
      <w:pPr>
        <w:spacing w:after="0" w:line="21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February 2, 2022, the Board of Directors authorized the grant of approximately 600,000 RSUs with a fair value of $11.84 per unit with a four year vesting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 and procedures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judgement in evaluating the benefits of possible controls relative to their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Annual Report on Form 10-K. Based on this evaluation, our principal executive officer and principal financial officer concluded that, as of December 31, 2021, our disclosure controls and procedures were effective at the reasonable assurance level.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9" w:right="57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3" w:lineRule="exact"/>
        <w:rPr>
          <w:sz w:val="20"/>
          <w:szCs w:val="20"/>
          <w:color w:val="auto"/>
        </w:rPr>
      </w:pPr>
    </w:p>
    <w:p>
      <w:pPr>
        <w:ind w:right="480"/>
        <w:spacing w:after="0" w:line="223" w:lineRule="auto"/>
        <w:rPr>
          <w:sz w:val="20"/>
          <w:szCs w:val="20"/>
          <w:color w:val="auto"/>
        </w:rPr>
      </w:pPr>
      <w:r>
        <w:rPr>
          <w:rFonts w:ascii="Arial" w:cs="Arial" w:eastAsia="Arial" w:hAnsi="Arial"/>
          <w:sz w:val="18"/>
          <w:szCs w:val="18"/>
          <w:color w:val="auto"/>
        </w:rPr>
        <w:t>We have adopted a written code of business conduct and ethics, which applies to all of our directors, officers and employees, including our principal executive officer and our principal financial and accounting officer. Our Code of Business Conduct and Ethics is available on our website www.brilliantearth.com in the “Investor Relations” section under “Governance.” In addition, we intend to post on our website all disclosures that are required by law or</w:t>
      </w:r>
    </w:p>
    <w:p>
      <w:pPr>
        <w:spacing w:after="0" w:line="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listing rules of the Nasdaq Global Market concerning any amendments to, or waivers from, any provision of our Code of Business Conduct and Ethics. The information contained on our website is not incorporated by reference into this Annual Report on Form 10-K.</w:t>
      </w:r>
    </w:p>
    <w:p>
      <w:pPr>
        <w:spacing w:after="0" w:line="20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information required by this item will be included under the caption “Directors, Executive Officers, and Corporate Governance” in our Proxy Statement for our 2022 Annual Meeting of Stockholders to be filed with the SEC within 120 days of the fiscal year ended December 31, 2021 (the “2022 Proxy Statement”) and is incorporated herein by reference. The information required by this item regarding delinquent filers pursuant to Item 405 of Regulation S-K, if any, will be included under the caption “Section 16(a) Beneficial Ownership Reporting Compliance” in the 2022 Proxy Statement and is incorporated herein by reference.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information required by this item will be included under the captions “Director Compensation,” “Executive Compensation” and “Directors, Executive Officers, and Corporate Governance—Corporate Governance and Board Matters—Compensation Committee Interlocks and Insider Participation” in the 2022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under the captions “Common Stock Ownership of Certain Beneficial Owners and Management” and “Equity Compensation Plan Information” in the 2022 Proxy Statement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information required by this item will be included under the captions “Certain Relationships and Related Transactions” and “Directors, Executive Officers, and Corporate Governance—Corporate Governance and Board Matters—Director Independence” in the 2022 Proxy Statement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required by this item will be included under the caption “Independent Registered Public Accounting Firm” in the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 Exhibits and Financial Statement Schedule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color w:val="auto"/>
              </w:rPr>
              <w:t>Incorporated by Reference</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6"/>
        </w:trPr>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332"/>
        </w:trPr>
        <w:tc>
          <w:tcPr>
            <w:tcW w:w="1140" w:type="dxa"/>
            <w:vAlign w:val="bottom"/>
          </w:tcPr>
          <w:p>
            <w:pPr>
              <w:jc w:val="center"/>
              <w:spacing w:after="0"/>
              <w:rPr>
                <w:sz w:val="20"/>
                <w:szCs w:val="20"/>
                <w:color w:val="auto"/>
              </w:rPr>
            </w:pPr>
            <w:r>
              <w:rPr>
                <w:rFonts w:ascii="Arial" w:cs="Arial" w:eastAsia="Arial" w:hAnsi="Arial"/>
                <w:sz w:val="14"/>
                <w:szCs w:val="14"/>
                <w:color w:val="auto"/>
                <w:w w:val="98"/>
              </w:rPr>
              <w:t>Exhibit Number</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4"/>
          </w:tcPr>
          <w:p>
            <w:pPr>
              <w:ind w:left="780"/>
              <w:spacing w:after="0"/>
              <w:rPr>
                <w:sz w:val="20"/>
                <w:szCs w:val="20"/>
                <w:color w:val="auto"/>
              </w:rPr>
            </w:pPr>
            <w:r>
              <w:rPr>
                <w:rFonts w:ascii="Arial" w:cs="Arial" w:eastAsia="Arial" w:hAnsi="Arial"/>
                <w:sz w:val="14"/>
                <w:szCs w:val="14"/>
                <w:color w:val="auto"/>
              </w:rPr>
              <w:t>Exhibit Description</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Form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File No.</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9"/>
              </w:rPr>
              <w:t>Exhibit</w:t>
            </w:r>
          </w:p>
        </w:tc>
        <w:tc>
          <w:tcPr>
            <w:tcW w:w="1220" w:type="dxa"/>
            <w:vAlign w:val="bottom"/>
          </w:tcPr>
          <w:p>
            <w:pPr>
              <w:jc w:val="center"/>
              <w:ind w:right="68"/>
              <w:spacing w:after="0"/>
              <w:rPr>
                <w:sz w:val="20"/>
                <w:szCs w:val="20"/>
                <w:color w:val="auto"/>
              </w:rPr>
            </w:pPr>
            <w:r>
              <w:rPr>
                <w:rFonts w:ascii="Arial" w:cs="Arial" w:eastAsia="Arial" w:hAnsi="Arial"/>
                <w:sz w:val="14"/>
                <w:szCs w:val="14"/>
                <w:color w:val="auto"/>
                <w:w w:val="95"/>
              </w:rPr>
              <w:t>Filing Date</w:t>
            </w:r>
          </w:p>
        </w:tc>
        <w:tc>
          <w:tcPr>
            <w:tcW w:w="1680" w:type="dxa"/>
            <w:vAlign w:val="bottom"/>
          </w:tcPr>
          <w:p>
            <w:pPr>
              <w:ind w:left="60"/>
              <w:spacing w:after="0"/>
              <w:rPr>
                <w:sz w:val="20"/>
                <w:szCs w:val="20"/>
                <w:color w:val="auto"/>
              </w:rPr>
            </w:pPr>
            <w:r>
              <w:rPr>
                <w:rFonts w:ascii="Arial" w:cs="Arial" w:eastAsia="Arial" w:hAnsi="Arial"/>
                <w:sz w:val="14"/>
                <w:szCs w:val="14"/>
                <w:color w:val="auto"/>
                <w:w w:val="97"/>
              </w:rPr>
              <w:t>Filed / Furnished Herewith</w:t>
            </w:r>
          </w:p>
        </w:tc>
      </w:tr>
      <w:tr>
        <w:trPr>
          <w:trHeight w:val="26"/>
        </w:trPr>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9"/>
        </w:trPr>
        <w:tc>
          <w:tcPr>
            <w:tcW w:w="11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3980" w:type="dxa"/>
            <w:vAlign w:val="bottom"/>
            <w:tcBorders>
              <w:bottom w:val="single" w:sz="8" w:color="0000FF"/>
            </w:tcBorders>
            <w:gridSpan w:val="5"/>
          </w:tcPr>
          <w:p>
            <w:pPr>
              <w:spacing w:after="0"/>
              <w:rPr>
                <w:rFonts w:ascii="Arial" w:cs="Arial" w:eastAsia="Arial" w:hAnsi="Arial"/>
                <w:sz w:val="14"/>
                <w:szCs w:val="14"/>
                <w:color w:val="0000FF"/>
                <w:w w:val="94"/>
              </w:rPr>
            </w:pPr>
            <w:hyperlink r:id="rId149">
              <w:r>
                <w:rPr>
                  <w:rFonts w:ascii="Arial" w:cs="Arial" w:eastAsia="Arial" w:hAnsi="Arial"/>
                  <w:sz w:val="14"/>
                  <w:szCs w:val="14"/>
                  <w:color w:val="0000FF"/>
                  <w:w w:val="94"/>
                </w:rPr>
                <w:t>Amended and Restated Certificate of Incorporation of Brilliant Earth</w:t>
              </w:r>
            </w:hyperlink>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2"/>
              </w:rPr>
              <w:t>3.1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4020" w:type="dxa"/>
            <w:vAlign w:val="bottom"/>
            <w:gridSpan w:val="6"/>
          </w:tcPr>
          <w:p>
            <w:pPr>
              <w:spacing w:after="0" w:line="155" w:lineRule="exact"/>
              <w:rPr>
                <w:rFonts w:ascii="Arial" w:cs="Arial" w:eastAsia="Arial" w:hAnsi="Arial"/>
                <w:sz w:val="14"/>
                <w:szCs w:val="14"/>
                <w:color w:val="0000FF"/>
              </w:rPr>
            </w:pPr>
            <w:hyperlink r:id="rId149">
              <w:r>
                <w:rPr>
                  <w:rFonts w:ascii="Arial" w:cs="Arial" w:eastAsia="Arial" w:hAnsi="Arial"/>
                  <w:sz w:val="14"/>
                  <w:szCs w:val="14"/>
                  <w:color w:val="0000FF"/>
                </w:rPr>
                <w:t>Group, Inc.</w:t>
              </w:r>
            </w:hyperlink>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1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4020" w:type="dxa"/>
            <w:vAlign w:val="bottom"/>
            <w:gridSpan w:val="6"/>
          </w:tcPr>
          <w:p>
            <w:pPr>
              <w:spacing w:after="0"/>
              <w:rPr>
                <w:rFonts w:ascii="Arial" w:cs="Arial" w:eastAsia="Arial" w:hAnsi="Arial"/>
                <w:sz w:val="14"/>
                <w:szCs w:val="14"/>
                <w:color w:val="0000FF"/>
              </w:rPr>
            </w:pPr>
            <w:hyperlink r:id="rId150">
              <w:r>
                <w:rPr>
                  <w:rFonts w:ascii="Arial" w:cs="Arial" w:eastAsia="Arial" w:hAnsi="Arial"/>
                  <w:sz w:val="14"/>
                  <w:szCs w:val="14"/>
                  <w:color w:val="0000FF"/>
                </w:rPr>
                <w:t>Amended and Restated Bylaws of Brilliant Earth Group, Inc.</w:t>
              </w:r>
            </w:hyperlink>
          </w:p>
        </w:tc>
        <w:tc>
          <w:tcPr>
            <w:tcW w:w="92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2"/>
              </w:rPr>
              <w:t>3.2</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1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3860" w:type="dxa"/>
            <w:vAlign w:val="bottom"/>
            <w:tcBorders>
              <w:bottom w:val="single" w:sz="8" w:color="0000FF"/>
            </w:tcBorders>
            <w:gridSpan w:val="4"/>
          </w:tcPr>
          <w:p>
            <w:pPr>
              <w:spacing w:after="0"/>
              <w:rPr>
                <w:rFonts w:ascii="Arial" w:cs="Arial" w:eastAsia="Arial" w:hAnsi="Arial"/>
                <w:sz w:val="14"/>
                <w:szCs w:val="14"/>
                <w:color w:val="0000FF"/>
                <w:w w:val="92"/>
              </w:rPr>
            </w:pPr>
            <w:hyperlink r:id="rId151">
              <w:r>
                <w:rPr>
                  <w:rFonts w:ascii="Arial" w:cs="Arial" w:eastAsia="Arial" w:hAnsi="Arial"/>
                  <w:sz w:val="14"/>
                  <w:szCs w:val="14"/>
                  <w:color w:val="0000FF"/>
                  <w:w w:val="92"/>
                </w:rPr>
                <w:t>Specimen Stock Certificate evidencing shares of Class A Common</w:t>
              </w:r>
            </w:hyperlink>
          </w:p>
        </w:tc>
        <w:tc>
          <w:tcPr>
            <w:tcW w:w="160" w:type="dxa"/>
            <w:vAlign w:val="bottom"/>
            <w:gridSpan w:val="2"/>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2"/>
              </w:rPr>
              <w:t>4.1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9/14/2021</w:t>
            </w:r>
          </w:p>
        </w:tc>
        <w:tc>
          <w:tcPr>
            <w:tcW w:w="1680" w:type="dxa"/>
            <w:vAlign w:val="bottom"/>
          </w:tcPr>
          <w:p>
            <w:pPr>
              <w:spacing w:after="0"/>
              <w:rPr>
                <w:sz w:val="18"/>
                <w:szCs w:val="18"/>
                <w:color w:val="auto"/>
              </w:rPr>
            </w:pPr>
          </w:p>
        </w:tc>
      </w:tr>
      <w:tr>
        <w:trPr>
          <w:trHeight w:val="156"/>
        </w:trPr>
        <w:tc>
          <w:tcPr>
            <w:tcW w:w="1140" w:type="dxa"/>
            <w:vAlign w:val="bottom"/>
          </w:tcPr>
          <w:p>
            <w:pPr>
              <w:spacing w:after="0"/>
              <w:rPr>
                <w:sz w:val="13"/>
                <w:szCs w:val="13"/>
                <w:color w:val="auto"/>
              </w:rPr>
            </w:pPr>
          </w:p>
        </w:tc>
        <w:tc>
          <w:tcPr>
            <w:tcW w:w="340" w:type="dxa"/>
            <w:vAlign w:val="bottom"/>
            <w:tcBorders>
              <w:bottom w:val="single" w:sz="8" w:color="0000FF"/>
            </w:tcBorders>
          </w:tcPr>
          <w:p>
            <w:pPr>
              <w:spacing w:after="0" w:line="155" w:lineRule="exact"/>
              <w:rPr>
                <w:rFonts w:ascii="Arial" w:cs="Arial" w:eastAsia="Arial" w:hAnsi="Arial"/>
                <w:sz w:val="14"/>
                <w:szCs w:val="14"/>
                <w:color w:val="0000FF"/>
                <w:w w:val="91"/>
              </w:rPr>
            </w:pPr>
            <w:hyperlink r:id="rId151">
              <w:r>
                <w:rPr>
                  <w:rFonts w:ascii="Arial" w:cs="Arial" w:eastAsia="Arial" w:hAnsi="Arial"/>
                  <w:sz w:val="14"/>
                  <w:szCs w:val="14"/>
                  <w:color w:val="0000FF"/>
                  <w:w w:val="91"/>
                </w:rPr>
                <w:t>Stock</w:t>
              </w:r>
            </w:hyperlink>
          </w:p>
        </w:tc>
        <w:tc>
          <w:tcPr>
            <w:tcW w:w="36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bl>
    <w:p>
      <w:pPr>
        <w:spacing w:after="0" w:line="55" w:lineRule="exact"/>
        <w:rPr>
          <w:sz w:val="20"/>
          <w:szCs w:val="20"/>
          <w:color w:val="auto"/>
        </w:rPr>
      </w:pPr>
    </w:p>
    <w:p>
      <w:pPr>
        <w:sectPr>
          <w:pgSz w:w="11900" w:h="16838" w:orient="portrait"/>
          <w:cols w:equalWidth="0" w:num="1">
            <w:col w:w="11240"/>
          </w:cols>
          <w:pgMar w:left="320" w:top="139" w:right="339" w:bottom="1440" w:gutter="0" w:footer="0" w:header="0"/>
        </w:sectPr>
      </w:pPr>
    </w:p>
    <w:tbl>
      <w:tblPr>
        <w:tblLayout w:type="fixed"/>
        <w:tblInd w:w="380" w:type="dxa"/>
        <w:tblCellMar>
          <w:top w:w="0" w:type="dxa"/>
          <w:left w:w="0" w:type="dxa"/>
          <w:bottom w:w="0" w:type="dxa"/>
          <w:right w:w="0" w:type="dxa"/>
        </w:tblCellMar>
      </w:tblPr>
      <w:tr>
        <w:trPr>
          <w:trHeight w:val="161"/>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2"/>
              </w:rPr>
              <w:t>4.2</w:t>
            </w:r>
          </w:p>
        </w:tc>
        <w:tc>
          <w:tcPr>
            <w:tcW w:w="3940" w:type="dxa"/>
            <w:vAlign w:val="bottom"/>
            <w:gridSpan w:val="27"/>
          </w:tcPr>
          <w:p>
            <w:pPr>
              <w:spacing w:after="0"/>
              <w:rPr>
                <w:rFonts w:ascii="Arial" w:cs="Arial" w:eastAsia="Arial" w:hAnsi="Arial"/>
                <w:sz w:val="14"/>
                <w:szCs w:val="14"/>
                <w:color w:val="0000FF"/>
              </w:rPr>
            </w:pPr>
            <w:hyperlink w:anchor="page132">
              <w:r>
                <w:rPr>
                  <w:rFonts w:ascii="Arial" w:cs="Arial" w:eastAsia="Arial" w:hAnsi="Arial"/>
                  <w:sz w:val="14"/>
                  <w:szCs w:val="14"/>
                  <w:color w:val="0000FF"/>
                </w:rPr>
                <w:t>Description of Capital Stock</w:t>
              </w:r>
            </w:hyperlink>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10.1</w:t>
            </w:r>
          </w:p>
        </w:tc>
        <w:tc>
          <w:tcPr>
            <w:tcW w:w="3940" w:type="dxa"/>
            <w:vAlign w:val="bottom"/>
            <w:gridSpan w:val="27"/>
          </w:tcPr>
          <w:p>
            <w:pPr>
              <w:spacing w:after="0"/>
              <w:rPr>
                <w:rFonts w:ascii="Arial" w:cs="Arial" w:eastAsia="Arial" w:hAnsi="Arial"/>
                <w:sz w:val="14"/>
                <w:szCs w:val="14"/>
                <w:color w:val="0000FF"/>
                <w:w w:val="98"/>
              </w:rPr>
            </w:pPr>
            <w:hyperlink r:id="rId152">
              <w:r>
                <w:rPr>
                  <w:rFonts w:ascii="Arial" w:cs="Arial" w:eastAsia="Arial" w:hAnsi="Arial"/>
                  <w:sz w:val="14"/>
                  <w:szCs w:val="14"/>
                  <w:color w:val="0000FF"/>
                  <w:w w:val="98"/>
                </w:rPr>
                <w:t>Amended and Restated Limited Liability Company Agreement of</w:t>
              </w:r>
            </w:hyperlink>
          </w:p>
        </w:tc>
      </w:tr>
      <w:tr>
        <w:trPr>
          <w:trHeight w:val="142"/>
        </w:trPr>
        <w:tc>
          <w:tcPr>
            <w:tcW w:w="760" w:type="dxa"/>
            <w:vAlign w:val="bottom"/>
          </w:tcPr>
          <w:p>
            <w:pPr>
              <w:spacing w:after="0"/>
              <w:rPr>
                <w:sz w:val="12"/>
                <w:szCs w:val="12"/>
                <w:color w:val="auto"/>
              </w:rPr>
            </w:pPr>
          </w:p>
        </w:tc>
        <w:tc>
          <w:tcPr>
            <w:tcW w:w="3820" w:type="dxa"/>
            <w:vAlign w:val="bottom"/>
            <w:tcBorders>
              <w:top w:val="single" w:sz="8" w:color="0000FF"/>
            </w:tcBorders>
            <w:gridSpan w:val="21"/>
          </w:tcPr>
          <w:p>
            <w:pPr>
              <w:spacing w:after="0" w:line="142" w:lineRule="exact"/>
              <w:rPr>
                <w:rFonts w:ascii="Arial" w:cs="Arial" w:eastAsia="Arial" w:hAnsi="Arial"/>
                <w:sz w:val="14"/>
                <w:szCs w:val="14"/>
                <w:color w:val="0000FF"/>
              </w:rPr>
            </w:pPr>
            <w:hyperlink r:id="rId152">
              <w:r>
                <w:rPr>
                  <w:rFonts w:ascii="Arial" w:cs="Arial" w:eastAsia="Arial" w:hAnsi="Arial"/>
                  <w:sz w:val="14"/>
                  <w:szCs w:val="14"/>
                  <w:color w:val="0000FF"/>
                </w:rPr>
                <w:t>Brilliant Earth, LLC, dated as of September 22, 2021</w:t>
              </w:r>
              <w:r>
                <w:rPr>
                  <w:rFonts w:ascii="Arial" w:cs="Arial" w:eastAsia="Arial" w:hAnsi="Arial"/>
                  <w:sz w:val="14"/>
                  <w:szCs w:val="14"/>
                  <w:color w:val="000000"/>
                </w:rPr>
                <w:t>.</w:t>
              </w:r>
            </w:hyperlink>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10.2</w:t>
            </w:r>
          </w:p>
        </w:tc>
        <w:tc>
          <w:tcPr>
            <w:tcW w:w="3920" w:type="dxa"/>
            <w:vAlign w:val="bottom"/>
            <w:tcBorders>
              <w:bottom w:val="single" w:sz="8" w:color="0000FF"/>
            </w:tcBorders>
            <w:gridSpan w:val="26"/>
          </w:tcPr>
          <w:p>
            <w:pPr>
              <w:spacing w:after="0"/>
              <w:rPr>
                <w:rFonts w:ascii="Arial" w:cs="Arial" w:eastAsia="Arial" w:hAnsi="Arial"/>
                <w:sz w:val="14"/>
                <w:szCs w:val="14"/>
                <w:color w:val="0000FF"/>
                <w:w w:val="91"/>
              </w:rPr>
            </w:pPr>
            <w:hyperlink r:id="rId153">
              <w:r>
                <w:rPr>
                  <w:rFonts w:ascii="Arial" w:cs="Arial" w:eastAsia="Arial" w:hAnsi="Arial"/>
                  <w:sz w:val="14"/>
                  <w:szCs w:val="14"/>
                  <w:color w:val="0000FF"/>
                  <w:w w:val="91"/>
                </w:rPr>
                <w:t>Tax Receivable Agreement, dated as of September 22, 2021, by and</w:t>
              </w:r>
            </w:hyperlink>
          </w:p>
        </w:tc>
        <w:tc>
          <w:tcPr>
            <w:tcW w:w="20" w:type="dxa"/>
            <w:vAlign w:val="bottom"/>
          </w:tcPr>
          <w:p>
            <w:pPr>
              <w:spacing w:after="0"/>
              <w:rPr>
                <w:sz w:val="17"/>
                <w:szCs w:val="17"/>
                <w:color w:val="auto"/>
              </w:rPr>
            </w:pPr>
          </w:p>
        </w:tc>
      </w:tr>
      <w:tr>
        <w:trPr>
          <w:trHeight w:val="142"/>
        </w:trPr>
        <w:tc>
          <w:tcPr>
            <w:tcW w:w="760" w:type="dxa"/>
            <w:vAlign w:val="bottom"/>
          </w:tcPr>
          <w:p>
            <w:pPr>
              <w:spacing w:after="0"/>
              <w:rPr>
                <w:sz w:val="12"/>
                <w:szCs w:val="12"/>
                <w:color w:val="auto"/>
              </w:rPr>
            </w:pPr>
          </w:p>
        </w:tc>
        <w:tc>
          <w:tcPr>
            <w:tcW w:w="3920" w:type="dxa"/>
            <w:vAlign w:val="bottom"/>
            <w:gridSpan w:val="26"/>
          </w:tcPr>
          <w:p>
            <w:pPr>
              <w:spacing w:after="0" w:line="142" w:lineRule="exact"/>
              <w:rPr>
                <w:rFonts w:ascii="Arial" w:cs="Arial" w:eastAsia="Arial" w:hAnsi="Arial"/>
                <w:sz w:val="14"/>
                <w:szCs w:val="14"/>
                <w:color w:val="0000FF"/>
              </w:rPr>
            </w:pPr>
            <w:hyperlink r:id="rId153">
              <w:r>
                <w:rPr>
                  <w:rFonts w:ascii="Arial" w:cs="Arial" w:eastAsia="Arial" w:hAnsi="Arial"/>
                  <w:sz w:val="14"/>
                  <w:szCs w:val="14"/>
                  <w:color w:val="0000FF"/>
                </w:rPr>
                <w:t>among Brilliant Earth Group, Inc., Brilliant Earth LLC and its</w:t>
              </w:r>
            </w:hyperlink>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58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r:id="rId153">
              <w:r>
                <w:rPr>
                  <w:rFonts w:ascii="Arial" w:cs="Arial" w:eastAsia="Arial" w:hAnsi="Arial"/>
                  <w:sz w:val="14"/>
                  <w:szCs w:val="14"/>
                  <w:color w:val="0000FF"/>
                </w:rPr>
                <w:t>Members</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10.3</w:t>
            </w:r>
          </w:p>
        </w:tc>
        <w:tc>
          <w:tcPr>
            <w:tcW w:w="3820" w:type="dxa"/>
            <w:vAlign w:val="bottom"/>
            <w:tcBorders>
              <w:bottom w:val="single" w:sz="8" w:color="0000FF"/>
            </w:tcBorders>
            <w:gridSpan w:val="22"/>
          </w:tcPr>
          <w:p>
            <w:pPr>
              <w:spacing w:after="0"/>
              <w:rPr>
                <w:rFonts w:ascii="Arial" w:cs="Arial" w:eastAsia="Arial" w:hAnsi="Arial"/>
                <w:sz w:val="14"/>
                <w:szCs w:val="14"/>
                <w:color w:val="0000FF"/>
                <w:w w:val="91"/>
              </w:rPr>
            </w:pPr>
            <w:hyperlink r:id="rId154">
              <w:r>
                <w:rPr>
                  <w:rFonts w:ascii="Arial" w:cs="Arial" w:eastAsia="Arial" w:hAnsi="Arial"/>
                  <w:sz w:val="14"/>
                  <w:szCs w:val="14"/>
                  <w:color w:val="0000FF"/>
                  <w:w w:val="91"/>
                </w:rPr>
                <w:t>Registration Rights Agreement, dated September 22, 2021, by and</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760" w:type="dxa"/>
            <w:vAlign w:val="bottom"/>
          </w:tcPr>
          <w:p>
            <w:pPr>
              <w:spacing w:after="0"/>
              <w:rPr>
                <w:sz w:val="12"/>
                <w:szCs w:val="12"/>
                <w:color w:val="auto"/>
              </w:rPr>
            </w:pPr>
          </w:p>
        </w:tc>
        <w:tc>
          <w:tcPr>
            <w:tcW w:w="3820" w:type="dxa"/>
            <w:vAlign w:val="bottom"/>
            <w:gridSpan w:val="22"/>
          </w:tcPr>
          <w:p>
            <w:pPr>
              <w:spacing w:after="0" w:line="142" w:lineRule="exact"/>
              <w:rPr>
                <w:rFonts w:ascii="Arial" w:cs="Arial" w:eastAsia="Arial" w:hAnsi="Arial"/>
                <w:sz w:val="14"/>
                <w:szCs w:val="14"/>
                <w:color w:val="0000FF"/>
              </w:rPr>
            </w:pPr>
            <w:hyperlink r:id="rId154">
              <w:r>
                <w:rPr>
                  <w:rFonts w:ascii="Arial" w:cs="Arial" w:eastAsia="Arial" w:hAnsi="Arial"/>
                  <w:sz w:val="14"/>
                  <w:szCs w:val="14"/>
                  <w:color w:val="0000FF"/>
                </w:rPr>
                <w:t>among Brilliant Earth Group, Inc., Brilliant Earth LLC and its</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58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r:id="rId154">
              <w:r>
                <w:rPr>
                  <w:rFonts w:ascii="Arial" w:cs="Arial" w:eastAsia="Arial" w:hAnsi="Arial"/>
                  <w:sz w:val="14"/>
                  <w:szCs w:val="14"/>
                  <w:color w:val="0000FF"/>
                </w:rPr>
                <w:t>Original Equity Owners</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10.4</w:t>
            </w:r>
          </w:p>
        </w:tc>
        <w:tc>
          <w:tcPr>
            <w:tcW w:w="3900" w:type="dxa"/>
            <w:vAlign w:val="bottom"/>
            <w:tcBorders>
              <w:bottom w:val="single" w:sz="8" w:color="0000FF"/>
            </w:tcBorders>
            <w:gridSpan w:val="25"/>
          </w:tcPr>
          <w:p>
            <w:pPr>
              <w:spacing w:after="0"/>
              <w:rPr>
                <w:rFonts w:ascii="Arial" w:cs="Arial" w:eastAsia="Arial" w:hAnsi="Arial"/>
                <w:sz w:val="14"/>
                <w:szCs w:val="14"/>
                <w:color w:val="0000FF"/>
                <w:w w:val="91"/>
              </w:rPr>
            </w:pPr>
            <w:hyperlink r:id="rId155">
              <w:r>
                <w:rPr>
                  <w:rFonts w:ascii="Arial" w:cs="Arial" w:eastAsia="Arial" w:hAnsi="Arial"/>
                  <w:sz w:val="14"/>
                  <w:szCs w:val="14"/>
                  <w:color w:val="0000FF"/>
                  <w:w w:val="91"/>
                </w:rPr>
                <w:t>Stockholders Agreement, dated September 22, 2021, by and among</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760" w:type="dxa"/>
            <w:vAlign w:val="bottom"/>
          </w:tcPr>
          <w:p>
            <w:pPr>
              <w:spacing w:after="0"/>
              <w:rPr>
                <w:sz w:val="12"/>
                <w:szCs w:val="12"/>
                <w:color w:val="auto"/>
              </w:rPr>
            </w:pPr>
          </w:p>
        </w:tc>
        <w:tc>
          <w:tcPr>
            <w:tcW w:w="3900" w:type="dxa"/>
            <w:vAlign w:val="bottom"/>
            <w:gridSpan w:val="25"/>
          </w:tcPr>
          <w:p>
            <w:pPr>
              <w:spacing w:after="0" w:line="142" w:lineRule="exact"/>
              <w:rPr>
                <w:rFonts w:ascii="Arial" w:cs="Arial" w:eastAsia="Arial" w:hAnsi="Arial"/>
                <w:sz w:val="14"/>
                <w:szCs w:val="14"/>
                <w:color w:val="0000FF"/>
              </w:rPr>
            </w:pPr>
            <w:hyperlink r:id="rId155">
              <w:r>
                <w:rPr>
                  <w:rFonts w:ascii="Arial" w:cs="Arial" w:eastAsia="Arial" w:hAnsi="Arial"/>
                  <w:sz w:val="14"/>
                  <w:szCs w:val="14"/>
                  <w:color w:val="0000FF"/>
                </w:rPr>
                <w:t>Brilliant Earth Group, Inc., Brilliant Earth LLC and the Original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70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55">
              <w:r>
                <w:rPr>
                  <w:rFonts w:ascii="Arial" w:cs="Arial" w:eastAsia="Arial" w:hAnsi="Arial"/>
                  <w:sz w:val="14"/>
                  <w:szCs w:val="14"/>
                  <w:color w:val="0000FF"/>
                </w:rPr>
                <w:t>Members</w:t>
              </w:r>
              <w:r>
                <w:rPr>
                  <w:rFonts w:ascii="Arial" w:cs="Arial" w:eastAsia="Arial" w:hAnsi="Arial"/>
                  <w:sz w:val="14"/>
                  <w:szCs w:val="14"/>
                  <w:color w:val="000000"/>
                </w:rPr>
                <w:t>.</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10.5</w:t>
            </w:r>
          </w:p>
        </w:tc>
        <w:tc>
          <w:tcPr>
            <w:tcW w:w="3500" w:type="dxa"/>
            <w:vAlign w:val="bottom"/>
            <w:tcBorders>
              <w:bottom w:val="single" w:sz="8" w:color="0000FF"/>
            </w:tcBorders>
            <w:gridSpan w:val="13"/>
          </w:tcPr>
          <w:p>
            <w:pPr>
              <w:spacing w:after="0"/>
              <w:rPr>
                <w:rFonts w:ascii="Arial" w:cs="Arial" w:eastAsia="Arial" w:hAnsi="Arial"/>
                <w:sz w:val="14"/>
                <w:szCs w:val="14"/>
                <w:color w:val="0000FF"/>
                <w:w w:val="91"/>
              </w:rPr>
            </w:pPr>
            <w:hyperlink r:id="rId156">
              <w:r>
                <w:rPr>
                  <w:rFonts w:ascii="Arial" w:cs="Arial" w:eastAsia="Arial" w:hAnsi="Arial"/>
                  <w:sz w:val="14"/>
                  <w:szCs w:val="14"/>
                  <w:color w:val="0000FF"/>
                  <w:w w:val="91"/>
                </w:rPr>
                <w:t>Offer letter, dated as of September 22, 2021, by and between</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760" w:type="dxa"/>
            <w:vAlign w:val="bottom"/>
          </w:tcPr>
          <w:p>
            <w:pPr>
              <w:spacing w:after="0"/>
              <w:rPr>
                <w:sz w:val="12"/>
                <w:szCs w:val="12"/>
                <w:color w:val="auto"/>
              </w:rPr>
            </w:pPr>
          </w:p>
        </w:tc>
        <w:tc>
          <w:tcPr>
            <w:tcW w:w="3500" w:type="dxa"/>
            <w:vAlign w:val="bottom"/>
            <w:gridSpan w:val="13"/>
          </w:tcPr>
          <w:p>
            <w:pPr>
              <w:spacing w:after="0" w:line="142" w:lineRule="exact"/>
              <w:rPr>
                <w:rFonts w:ascii="Arial" w:cs="Arial" w:eastAsia="Arial" w:hAnsi="Arial"/>
                <w:sz w:val="14"/>
                <w:szCs w:val="14"/>
                <w:color w:val="0000FF"/>
              </w:rPr>
            </w:pPr>
            <w:hyperlink r:id="rId156">
              <w:r>
                <w:rPr>
                  <w:rFonts w:ascii="Arial" w:cs="Arial" w:eastAsia="Arial" w:hAnsi="Arial"/>
                  <w:sz w:val="14"/>
                  <w:szCs w:val="14"/>
                  <w:color w:val="0000FF"/>
                </w:rPr>
                <w:t>Brilliant Earth Group, Inc. and Beth Gerstein</w:t>
              </w:r>
              <w:r>
                <w:rPr>
                  <w:rFonts w:ascii="Arial" w:cs="Arial" w:eastAsia="Arial" w:hAnsi="Arial"/>
                  <w:sz w:val="14"/>
                  <w:szCs w:val="14"/>
                  <w:color w:val="000000"/>
                </w:rPr>
                <w:t>.</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10.6</w:t>
            </w:r>
          </w:p>
        </w:tc>
        <w:tc>
          <w:tcPr>
            <w:tcW w:w="3940" w:type="dxa"/>
            <w:vAlign w:val="bottom"/>
            <w:gridSpan w:val="27"/>
          </w:tcPr>
          <w:p>
            <w:pPr>
              <w:spacing w:after="0"/>
              <w:rPr>
                <w:rFonts w:ascii="Arial" w:cs="Arial" w:eastAsia="Arial" w:hAnsi="Arial"/>
                <w:sz w:val="14"/>
                <w:szCs w:val="14"/>
                <w:color w:val="0000FF"/>
              </w:rPr>
            </w:pPr>
            <w:hyperlink r:id="rId157">
              <w:r>
                <w:rPr>
                  <w:rFonts w:ascii="Arial" w:cs="Arial" w:eastAsia="Arial" w:hAnsi="Arial"/>
                  <w:sz w:val="14"/>
                  <w:szCs w:val="14"/>
                  <w:color w:val="0000FF"/>
                </w:rPr>
                <w:t>Offer letter, dated as of September 22, 2021, by and between</w:t>
              </w:r>
            </w:hyperlink>
          </w:p>
        </w:tc>
      </w:tr>
      <w:tr>
        <w:trPr>
          <w:trHeight w:val="142"/>
        </w:trPr>
        <w:tc>
          <w:tcPr>
            <w:tcW w:w="760" w:type="dxa"/>
            <w:vAlign w:val="bottom"/>
          </w:tcPr>
          <w:p>
            <w:pPr>
              <w:spacing w:after="0"/>
              <w:rPr>
                <w:sz w:val="12"/>
                <w:szCs w:val="12"/>
                <w:color w:val="auto"/>
              </w:rPr>
            </w:pPr>
          </w:p>
        </w:tc>
        <w:tc>
          <w:tcPr>
            <w:tcW w:w="3500" w:type="dxa"/>
            <w:vAlign w:val="bottom"/>
            <w:tcBorders>
              <w:top w:val="single" w:sz="8" w:color="0000FF"/>
            </w:tcBorders>
            <w:gridSpan w:val="13"/>
          </w:tcPr>
          <w:p>
            <w:pPr>
              <w:spacing w:after="0" w:line="142" w:lineRule="exact"/>
              <w:rPr>
                <w:rFonts w:ascii="Arial" w:cs="Arial" w:eastAsia="Arial" w:hAnsi="Arial"/>
                <w:sz w:val="14"/>
                <w:szCs w:val="14"/>
                <w:color w:val="0000FF"/>
              </w:rPr>
            </w:pPr>
            <w:hyperlink r:id="rId157">
              <w:r>
                <w:rPr>
                  <w:rFonts w:ascii="Arial" w:cs="Arial" w:eastAsia="Arial" w:hAnsi="Arial"/>
                  <w:sz w:val="14"/>
                  <w:szCs w:val="14"/>
                  <w:color w:val="0000FF"/>
                </w:rPr>
                <w:t>Brilliant Earth Group, Inc. and Eric Grossman</w:t>
              </w:r>
              <w:r>
                <w:rPr>
                  <w:rFonts w:ascii="Arial" w:cs="Arial" w:eastAsia="Arial" w:hAnsi="Arial"/>
                  <w:sz w:val="14"/>
                  <w:szCs w:val="14"/>
                  <w:color w:val="000000"/>
                </w:rPr>
                <w:t>.</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10.7</w:t>
            </w:r>
          </w:p>
        </w:tc>
        <w:tc>
          <w:tcPr>
            <w:tcW w:w="3940" w:type="dxa"/>
            <w:vAlign w:val="bottom"/>
            <w:gridSpan w:val="27"/>
          </w:tcPr>
          <w:p>
            <w:pPr>
              <w:spacing w:after="0"/>
              <w:rPr>
                <w:rFonts w:ascii="Arial" w:cs="Arial" w:eastAsia="Arial" w:hAnsi="Arial"/>
                <w:sz w:val="14"/>
                <w:szCs w:val="14"/>
                <w:color w:val="0000FF"/>
              </w:rPr>
            </w:pPr>
            <w:hyperlink r:id="rId158">
              <w:r>
                <w:rPr>
                  <w:rFonts w:ascii="Arial" w:cs="Arial" w:eastAsia="Arial" w:hAnsi="Arial"/>
                  <w:sz w:val="14"/>
                  <w:szCs w:val="14"/>
                  <w:color w:val="0000FF"/>
                </w:rPr>
                <w:t>Offer letter, dated as of September 22, 2021, by and between</w:t>
              </w:r>
            </w:hyperlink>
          </w:p>
        </w:tc>
      </w:tr>
      <w:tr>
        <w:trPr>
          <w:trHeight w:val="142"/>
        </w:trPr>
        <w:tc>
          <w:tcPr>
            <w:tcW w:w="760" w:type="dxa"/>
            <w:vAlign w:val="bottom"/>
          </w:tcPr>
          <w:p>
            <w:pPr>
              <w:spacing w:after="0"/>
              <w:rPr>
                <w:sz w:val="12"/>
                <w:szCs w:val="12"/>
                <w:color w:val="auto"/>
              </w:rPr>
            </w:pPr>
          </w:p>
        </w:tc>
        <w:tc>
          <w:tcPr>
            <w:tcW w:w="3500" w:type="dxa"/>
            <w:vAlign w:val="bottom"/>
            <w:tcBorders>
              <w:top w:val="single" w:sz="8" w:color="0000FF"/>
            </w:tcBorders>
            <w:gridSpan w:val="13"/>
          </w:tcPr>
          <w:p>
            <w:pPr>
              <w:spacing w:after="0" w:line="142" w:lineRule="exact"/>
              <w:rPr>
                <w:rFonts w:ascii="Arial" w:cs="Arial" w:eastAsia="Arial" w:hAnsi="Arial"/>
                <w:sz w:val="14"/>
                <w:szCs w:val="14"/>
                <w:color w:val="0000FF"/>
              </w:rPr>
            </w:pPr>
            <w:hyperlink r:id="rId158">
              <w:r>
                <w:rPr>
                  <w:rFonts w:ascii="Arial" w:cs="Arial" w:eastAsia="Arial" w:hAnsi="Arial"/>
                  <w:sz w:val="14"/>
                  <w:szCs w:val="14"/>
                  <w:color w:val="0000FF"/>
                </w:rPr>
                <w:t>Brilliant Earth Group, Inc. and Jeffrey Kuo</w:t>
              </w:r>
              <w:r>
                <w:rPr>
                  <w:rFonts w:ascii="Arial" w:cs="Arial" w:eastAsia="Arial" w:hAnsi="Arial"/>
                  <w:sz w:val="14"/>
                  <w:szCs w:val="14"/>
                  <w:color w:val="000000"/>
                </w:rPr>
                <w:t>.</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10.8</w:t>
            </w:r>
          </w:p>
        </w:tc>
        <w:tc>
          <w:tcPr>
            <w:tcW w:w="3940" w:type="dxa"/>
            <w:vAlign w:val="bottom"/>
            <w:gridSpan w:val="27"/>
          </w:tcPr>
          <w:p>
            <w:pPr>
              <w:spacing w:after="0"/>
              <w:rPr>
                <w:rFonts w:ascii="Arial" w:cs="Arial" w:eastAsia="Arial" w:hAnsi="Arial"/>
                <w:sz w:val="14"/>
                <w:szCs w:val="14"/>
                <w:color w:val="0000FF"/>
              </w:rPr>
            </w:pPr>
            <w:hyperlink r:id="rId159">
              <w:r>
                <w:rPr>
                  <w:rFonts w:ascii="Arial" w:cs="Arial" w:eastAsia="Arial" w:hAnsi="Arial"/>
                  <w:sz w:val="14"/>
                  <w:szCs w:val="14"/>
                  <w:color w:val="0000FF"/>
                </w:rPr>
                <w:t>Brilliant Earth Group, Inc. 2021 Incentive Award Plan</w:t>
              </w:r>
            </w:hyperlink>
            <w:r>
              <w:rPr>
                <w:rFonts w:ascii="Arial" w:cs="Arial" w:eastAsia="Arial" w:hAnsi="Arial"/>
                <w:sz w:val="14"/>
                <w:szCs w:val="14"/>
                <w:color w:val="000000"/>
              </w:rPr>
              <w:t>.</w:t>
            </w: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10.9</w:t>
            </w:r>
          </w:p>
        </w:tc>
        <w:tc>
          <w:tcPr>
            <w:tcW w:w="3940" w:type="dxa"/>
            <w:vAlign w:val="bottom"/>
            <w:gridSpan w:val="27"/>
          </w:tcPr>
          <w:p>
            <w:pPr>
              <w:spacing w:after="0"/>
              <w:rPr>
                <w:rFonts w:ascii="Arial" w:cs="Arial" w:eastAsia="Arial" w:hAnsi="Arial"/>
                <w:sz w:val="14"/>
                <w:szCs w:val="14"/>
                <w:color w:val="0000FF"/>
                <w:w w:val="99"/>
              </w:rPr>
            </w:pPr>
            <w:hyperlink r:id="rId160">
              <w:r>
                <w:rPr>
                  <w:rFonts w:ascii="Arial" w:cs="Arial" w:eastAsia="Arial" w:hAnsi="Arial"/>
                  <w:sz w:val="14"/>
                  <w:szCs w:val="14"/>
                  <w:color w:val="0000FF"/>
                  <w:w w:val="99"/>
                </w:rPr>
                <w:t>Brilliant Earth Group, Inc. 2021 Employee Stock Purchase Plan</w:t>
              </w:r>
            </w:hyperlink>
            <w:r>
              <w:rPr>
                <w:rFonts w:ascii="Arial" w:cs="Arial" w:eastAsia="Arial" w:hAnsi="Arial"/>
                <w:sz w:val="14"/>
                <w:szCs w:val="14"/>
                <w:color w:val="000000"/>
                <w:w w:val="99"/>
              </w:rPr>
              <w:t>.</w:t>
            </w: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10.10</w:t>
            </w:r>
          </w:p>
        </w:tc>
        <w:tc>
          <w:tcPr>
            <w:tcW w:w="3940" w:type="dxa"/>
            <w:vAlign w:val="bottom"/>
            <w:gridSpan w:val="27"/>
          </w:tcPr>
          <w:p>
            <w:pPr>
              <w:spacing w:after="0"/>
              <w:rPr>
                <w:rFonts w:ascii="Arial" w:cs="Arial" w:eastAsia="Arial" w:hAnsi="Arial"/>
                <w:sz w:val="14"/>
                <w:szCs w:val="14"/>
                <w:color w:val="0000FF"/>
                <w:w w:val="98"/>
              </w:rPr>
            </w:pPr>
            <w:hyperlink r:id="rId161">
              <w:r>
                <w:rPr>
                  <w:rFonts w:ascii="Arial" w:cs="Arial" w:eastAsia="Arial" w:hAnsi="Arial"/>
                  <w:sz w:val="14"/>
                  <w:szCs w:val="14"/>
                  <w:color w:val="0000FF"/>
                  <w:w w:val="98"/>
                </w:rPr>
                <w:t>Form of Brilliant Earth, LLC Unit Restriction Agreement (Class M</w:t>
              </w:r>
            </w:hyperlink>
          </w:p>
        </w:tc>
      </w:tr>
      <w:tr>
        <w:trPr>
          <w:trHeight w:val="142"/>
        </w:trPr>
        <w:tc>
          <w:tcPr>
            <w:tcW w:w="760" w:type="dxa"/>
            <w:vAlign w:val="bottom"/>
          </w:tcPr>
          <w:p>
            <w:pPr>
              <w:spacing w:after="0"/>
              <w:rPr>
                <w:sz w:val="12"/>
                <w:szCs w:val="12"/>
                <w:color w:val="auto"/>
              </w:rPr>
            </w:pPr>
          </w:p>
        </w:tc>
        <w:tc>
          <w:tcPr>
            <w:tcW w:w="388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61">
              <w:r>
                <w:rPr>
                  <w:rFonts w:ascii="Arial" w:cs="Arial" w:eastAsia="Arial" w:hAnsi="Arial"/>
                  <w:sz w:val="14"/>
                  <w:szCs w:val="14"/>
                  <w:color w:val="0000FF"/>
                </w:rPr>
                <w:t>Units).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28"/>
              <w:spacing w:after="0"/>
              <w:rPr>
                <w:sz w:val="20"/>
                <w:szCs w:val="20"/>
                <w:color w:val="auto"/>
              </w:rPr>
            </w:pPr>
            <w:r>
              <w:rPr>
                <w:rFonts w:ascii="Arial" w:cs="Arial" w:eastAsia="Arial" w:hAnsi="Arial"/>
                <w:sz w:val="14"/>
                <w:szCs w:val="14"/>
                <w:color w:val="auto"/>
                <w:w w:val="91"/>
              </w:rPr>
              <w:t>10.11</w:t>
            </w:r>
          </w:p>
        </w:tc>
        <w:tc>
          <w:tcPr>
            <w:tcW w:w="3940" w:type="dxa"/>
            <w:vAlign w:val="bottom"/>
            <w:gridSpan w:val="27"/>
          </w:tcPr>
          <w:p>
            <w:pPr>
              <w:spacing w:after="0"/>
              <w:rPr>
                <w:rFonts w:ascii="Arial" w:cs="Arial" w:eastAsia="Arial" w:hAnsi="Arial"/>
                <w:sz w:val="14"/>
                <w:szCs w:val="14"/>
                <w:color w:val="0000FF"/>
                <w:w w:val="98"/>
              </w:rPr>
            </w:pPr>
            <w:hyperlink r:id="rId162">
              <w:r>
                <w:rPr>
                  <w:rFonts w:ascii="Arial" w:cs="Arial" w:eastAsia="Arial" w:hAnsi="Arial"/>
                  <w:sz w:val="14"/>
                  <w:szCs w:val="14"/>
                  <w:color w:val="0000FF"/>
                  <w:w w:val="98"/>
                </w:rPr>
                <w:t>Form of Stock Option Grant Notice and Stock Option Agreement</w:t>
              </w:r>
            </w:hyperlink>
          </w:p>
        </w:tc>
      </w:tr>
      <w:tr>
        <w:trPr>
          <w:trHeight w:val="142"/>
        </w:trPr>
        <w:tc>
          <w:tcPr>
            <w:tcW w:w="760" w:type="dxa"/>
            <w:vAlign w:val="bottom"/>
          </w:tcPr>
          <w:p>
            <w:pPr>
              <w:spacing w:after="0"/>
              <w:rPr>
                <w:sz w:val="12"/>
                <w:szCs w:val="12"/>
                <w:color w:val="auto"/>
              </w:rPr>
            </w:pPr>
          </w:p>
        </w:tc>
        <w:tc>
          <w:tcPr>
            <w:tcW w:w="378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162">
              <w:r>
                <w:rPr>
                  <w:rFonts w:ascii="Arial" w:cs="Arial" w:eastAsia="Arial" w:hAnsi="Arial"/>
                  <w:sz w:val="14"/>
                  <w:szCs w:val="14"/>
                  <w:color w:val="0000FF"/>
                </w:rPr>
                <w:t>under the 2021 Incentive Award Plan.</w:t>
              </w:r>
            </w:hyperlink>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218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10.12</w:t>
            </w:r>
          </w:p>
        </w:tc>
        <w:tc>
          <w:tcPr>
            <w:tcW w:w="3820" w:type="dxa"/>
            <w:vAlign w:val="bottom"/>
            <w:tcBorders>
              <w:bottom w:val="single" w:sz="8" w:color="0000FF"/>
            </w:tcBorders>
            <w:gridSpan w:val="22"/>
          </w:tcPr>
          <w:p>
            <w:pPr>
              <w:spacing w:after="0"/>
              <w:rPr>
                <w:rFonts w:ascii="Arial" w:cs="Arial" w:eastAsia="Arial" w:hAnsi="Arial"/>
                <w:sz w:val="14"/>
                <w:szCs w:val="14"/>
                <w:color w:val="0000FF"/>
                <w:w w:val="94"/>
              </w:rPr>
            </w:pPr>
            <w:hyperlink r:id="rId163">
              <w:r>
                <w:rPr>
                  <w:rFonts w:ascii="Arial" w:cs="Arial" w:eastAsia="Arial" w:hAnsi="Arial"/>
                  <w:sz w:val="14"/>
                  <w:szCs w:val="14"/>
                  <w:color w:val="0000FF"/>
                  <w:w w:val="94"/>
                </w:rPr>
                <w:t>Form of Restricted Stock Unit Award Grant Notice and Restricted</w:t>
              </w:r>
            </w:hyperlink>
          </w:p>
        </w:tc>
        <w:tc>
          <w:tcPr>
            <w:tcW w:w="120" w:type="dxa"/>
            <w:vAlign w:val="bottom"/>
            <w:gridSpan w:val="5"/>
          </w:tcPr>
          <w:p>
            <w:pPr>
              <w:spacing w:after="0"/>
              <w:rPr>
                <w:sz w:val="24"/>
                <w:szCs w:val="24"/>
                <w:color w:val="auto"/>
              </w:rPr>
            </w:pPr>
          </w:p>
        </w:tc>
      </w:tr>
      <w:tr>
        <w:trPr>
          <w:trHeight w:val="156"/>
        </w:trPr>
        <w:tc>
          <w:tcPr>
            <w:tcW w:w="760" w:type="dxa"/>
            <w:vAlign w:val="bottom"/>
          </w:tcPr>
          <w:p>
            <w:pPr>
              <w:spacing w:after="0"/>
              <w:rPr>
                <w:sz w:val="13"/>
                <w:szCs w:val="13"/>
                <w:color w:val="auto"/>
              </w:rPr>
            </w:pPr>
          </w:p>
        </w:tc>
        <w:tc>
          <w:tcPr>
            <w:tcW w:w="3940" w:type="dxa"/>
            <w:vAlign w:val="bottom"/>
            <w:tcBorders>
              <w:bottom w:val="single" w:sz="8" w:color="0000FF"/>
            </w:tcBorders>
            <w:gridSpan w:val="27"/>
          </w:tcPr>
          <w:p>
            <w:pPr>
              <w:spacing w:after="0" w:line="155" w:lineRule="exact"/>
              <w:rPr>
                <w:rFonts w:ascii="Arial" w:cs="Arial" w:eastAsia="Arial" w:hAnsi="Arial"/>
                <w:sz w:val="14"/>
                <w:szCs w:val="14"/>
                <w:color w:val="0000FF"/>
                <w:w w:val="93"/>
              </w:rPr>
            </w:pPr>
            <w:hyperlink r:id="rId163">
              <w:r>
                <w:rPr>
                  <w:rFonts w:ascii="Arial" w:cs="Arial" w:eastAsia="Arial" w:hAnsi="Arial"/>
                  <w:sz w:val="14"/>
                  <w:szCs w:val="14"/>
                  <w:color w:val="0000FF"/>
                  <w:w w:val="93"/>
                </w:rPr>
                <w:t>Stock Unit Award Agreement under the 2021 Incentive Award Plan.</w:t>
              </w:r>
            </w:hyperlink>
          </w:p>
        </w:tc>
      </w:tr>
      <w:tr>
        <w:trPr>
          <w:trHeight w:val="493"/>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10.13</w:t>
            </w:r>
          </w:p>
        </w:tc>
        <w:tc>
          <w:tcPr>
            <w:tcW w:w="2840" w:type="dxa"/>
            <w:vAlign w:val="bottom"/>
            <w:tcBorders>
              <w:bottom w:val="single" w:sz="8" w:color="0000FF"/>
            </w:tcBorders>
            <w:gridSpan w:val="10"/>
          </w:tcPr>
          <w:p>
            <w:pPr>
              <w:spacing w:after="0"/>
              <w:rPr>
                <w:rFonts w:ascii="Arial" w:cs="Arial" w:eastAsia="Arial" w:hAnsi="Arial"/>
                <w:sz w:val="14"/>
                <w:szCs w:val="14"/>
                <w:color w:val="0000FF"/>
                <w:w w:val="93"/>
              </w:rPr>
            </w:pPr>
            <w:hyperlink r:id="rId164">
              <w:r>
                <w:rPr>
                  <w:rFonts w:ascii="Arial" w:cs="Arial" w:eastAsia="Arial" w:hAnsi="Arial"/>
                  <w:sz w:val="14"/>
                  <w:szCs w:val="14"/>
                  <w:color w:val="0000FF"/>
                  <w:w w:val="93"/>
                </w:rPr>
                <w:t>Non-Employee Director Compensation Program.</w:t>
              </w:r>
            </w:hyperlink>
          </w:p>
        </w:tc>
        <w:tc>
          <w:tcPr>
            <w:tcW w:w="1100" w:type="dxa"/>
            <w:vAlign w:val="bottom"/>
            <w:gridSpan w:val="17"/>
          </w:tcPr>
          <w:p>
            <w:pPr>
              <w:spacing w:after="0"/>
              <w:rPr>
                <w:sz w:val="24"/>
                <w:szCs w:val="24"/>
                <w:color w:val="auto"/>
              </w:rPr>
            </w:pPr>
          </w:p>
        </w:tc>
      </w:tr>
      <w:tr>
        <w:trPr>
          <w:trHeight w:val="223"/>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10.14</w:t>
            </w:r>
          </w:p>
        </w:tc>
        <w:tc>
          <w:tcPr>
            <w:tcW w:w="2180" w:type="dxa"/>
            <w:vAlign w:val="bottom"/>
            <w:tcBorders>
              <w:bottom w:val="single" w:sz="8" w:color="0000FF"/>
            </w:tcBorders>
            <w:gridSpan w:val="5"/>
          </w:tcPr>
          <w:p>
            <w:pPr>
              <w:spacing w:after="0"/>
              <w:rPr>
                <w:rFonts w:ascii="Arial" w:cs="Arial" w:eastAsia="Arial" w:hAnsi="Arial"/>
                <w:sz w:val="14"/>
                <w:szCs w:val="14"/>
                <w:color w:val="0000FF"/>
                <w:w w:val="96"/>
              </w:rPr>
            </w:pPr>
            <w:hyperlink r:id="rId165">
              <w:r>
                <w:rPr>
                  <w:rFonts w:ascii="Arial" w:cs="Arial" w:eastAsia="Arial" w:hAnsi="Arial"/>
                  <w:sz w:val="14"/>
                  <w:szCs w:val="14"/>
                  <w:color w:val="0000FF"/>
                  <w:w w:val="96"/>
                </w:rPr>
                <w:t>Form of Indemnification Agreement.</w:t>
              </w:r>
            </w:hyperlink>
          </w:p>
        </w:tc>
        <w:tc>
          <w:tcPr>
            <w:tcW w:w="1760" w:type="dxa"/>
            <w:vAlign w:val="bottom"/>
            <w:gridSpan w:val="22"/>
          </w:tcPr>
          <w:p>
            <w:pPr>
              <w:spacing w:after="0"/>
              <w:rPr>
                <w:sz w:val="19"/>
                <w:szCs w:val="19"/>
                <w:color w:val="auto"/>
              </w:rPr>
            </w:pPr>
          </w:p>
        </w:tc>
      </w:tr>
      <w:tr>
        <w:trPr>
          <w:trHeight w:val="21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88"/>
              </w:rPr>
              <w:t>10.15†</w:t>
            </w:r>
          </w:p>
        </w:tc>
        <w:tc>
          <w:tcPr>
            <w:tcW w:w="2480" w:type="dxa"/>
            <w:vAlign w:val="bottom"/>
            <w:tcBorders>
              <w:bottom w:val="single" w:sz="8" w:color="0000FF"/>
            </w:tcBorders>
            <w:gridSpan w:val="6"/>
          </w:tcPr>
          <w:p>
            <w:pPr>
              <w:spacing w:after="0"/>
              <w:rPr>
                <w:rFonts w:ascii="Arial" w:cs="Arial" w:eastAsia="Arial" w:hAnsi="Arial"/>
                <w:sz w:val="14"/>
                <w:szCs w:val="14"/>
                <w:color w:val="0000FF"/>
                <w:w w:val="93"/>
              </w:rPr>
            </w:pPr>
            <w:hyperlink r:id="rId166">
              <w:r>
                <w:rPr>
                  <w:rFonts w:ascii="Arial" w:cs="Arial" w:eastAsia="Arial" w:hAnsi="Arial"/>
                  <w:sz w:val="14"/>
                  <w:szCs w:val="14"/>
                  <w:color w:val="0000FF"/>
                  <w:w w:val="93"/>
                </w:rPr>
                <w:t>Loan and Security Agreement, dated as of</w:t>
              </w:r>
            </w:hyperlink>
          </w:p>
        </w:tc>
        <w:tc>
          <w:tcPr>
            <w:tcW w:w="1360" w:type="dxa"/>
            <w:vAlign w:val="bottom"/>
            <w:tcBorders>
              <w:bottom w:val="single" w:sz="8" w:color="0000FF"/>
            </w:tcBorders>
            <w:gridSpan w:val="17"/>
          </w:tcPr>
          <w:p>
            <w:pPr>
              <w:spacing w:after="0"/>
              <w:rPr>
                <w:rFonts w:ascii="Arial" w:cs="Arial" w:eastAsia="Arial" w:hAnsi="Arial"/>
                <w:sz w:val="14"/>
                <w:szCs w:val="14"/>
                <w:color w:val="0000FF"/>
                <w:w w:val="89"/>
              </w:rPr>
            </w:pPr>
            <w:hyperlink r:id="rId166">
              <w:r>
                <w:rPr>
                  <w:rFonts w:ascii="Arial" w:cs="Arial" w:eastAsia="Arial" w:hAnsi="Arial"/>
                  <w:sz w:val="14"/>
                  <w:szCs w:val="14"/>
                  <w:color w:val="0000FF"/>
                  <w:w w:val="89"/>
                </w:rPr>
                <w:t>September 30, 2019, by</w:t>
              </w:r>
            </w:hyperlink>
          </w:p>
        </w:tc>
        <w:tc>
          <w:tcPr>
            <w:tcW w:w="100" w:type="dxa"/>
            <w:vAlign w:val="bottom"/>
            <w:gridSpan w:val="4"/>
          </w:tcPr>
          <w:p>
            <w:pPr>
              <w:spacing w:after="0"/>
              <w:rPr>
                <w:sz w:val="18"/>
                <w:szCs w:val="18"/>
                <w:color w:val="auto"/>
              </w:rPr>
            </w:pPr>
          </w:p>
        </w:tc>
      </w:tr>
      <w:tr>
        <w:trPr>
          <w:trHeight w:val="109"/>
        </w:trPr>
        <w:tc>
          <w:tcPr>
            <w:tcW w:w="760" w:type="dxa"/>
            <w:vAlign w:val="bottom"/>
          </w:tcPr>
          <w:p>
            <w:pPr>
              <w:spacing w:after="0"/>
              <w:rPr>
                <w:sz w:val="9"/>
                <w:szCs w:val="9"/>
                <w:color w:val="auto"/>
              </w:rPr>
            </w:pPr>
          </w:p>
        </w:tc>
        <w:tc>
          <w:tcPr>
            <w:tcW w:w="3940" w:type="dxa"/>
            <w:vAlign w:val="bottom"/>
            <w:gridSpan w:val="27"/>
          </w:tcPr>
          <w:p>
            <w:pPr>
              <w:spacing w:after="0" w:line="109" w:lineRule="exact"/>
              <w:rPr>
                <w:rFonts w:ascii="Arial" w:cs="Arial" w:eastAsia="Arial" w:hAnsi="Arial"/>
                <w:sz w:val="12"/>
                <w:szCs w:val="12"/>
                <w:color w:val="0000FF"/>
              </w:rPr>
            </w:pPr>
            <w:hyperlink r:id="rId166">
              <w:r>
                <w:rPr>
                  <w:rFonts w:ascii="Arial" w:cs="Arial" w:eastAsia="Arial" w:hAnsi="Arial"/>
                  <w:sz w:val="12"/>
                  <w:szCs w:val="12"/>
                  <w:color w:val="0000FF"/>
                </w:rPr>
                <w:t>and among Brilliant Earth, LLC, the Lenders party thereto and</w:t>
              </w:r>
            </w:hyperlink>
          </w:p>
        </w:tc>
      </w:tr>
      <w:tr>
        <w:trPr>
          <w:trHeight w:val="128"/>
        </w:trPr>
        <w:tc>
          <w:tcPr>
            <w:tcW w:w="760" w:type="dxa"/>
            <w:vAlign w:val="bottom"/>
          </w:tcPr>
          <w:p>
            <w:pPr>
              <w:spacing w:after="0"/>
              <w:rPr>
                <w:sz w:val="11"/>
                <w:szCs w:val="11"/>
                <w:color w:val="auto"/>
              </w:rPr>
            </w:pPr>
          </w:p>
        </w:tc>
        <w:tc>
          <w:tcPr>
            <w:tcW w:w="360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166">
              <w:r>
                <w:rPr>
                  <w:rFonts w:ascii="Arial" w:cs="Arial" w:eastAsia="Arial" w:hAnsi="Arial"/>
                  <w:sz w:val="14"/>
                  <w:szCs w:val="14"/>
                  <w:color w:val="0000FF"/>
                </w:rPr>
                <w:t>Runway Growth Credit Fund Inc., as Agent</w:t>
              </w:r>
            </w:hyperlink>
          </w:p>
        </w:tc>
        <w:tc>
          <w:tcPr>
            <w:tcW w:w="14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140" w:type="dxa"/>
            <w:vAlign w:val="bottom"/>
            <w:gridSpan w:val="7"/>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2520" w:type="dxa"/>
            <w:vAlign w:val="bottom"/>
            <w:gridSpan w:val="7"/>
            <w:shd w:val="clear" w:color="auto" w:fill="0000FF"/>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83"/>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88"/>
              </w:rPr>
              <w:t>10.16†</w:t>
            </w:r>
          </w:p>
        </w:tc>
        <w:tc>
          <w:tcPr>
            <w:tcW w:w="3940" w:type="dxa"/>
            <w:vAlign w:val="bottom"/>
            <w:gridSpan w:val="27"/>
          </w:tcPr>
          <w:p>
            <w:pPr>
              <w:spacing w:after="0"/>
              <w:rPr>
                <w:rFonts w:ascii="Arial" w:cs="Arial" w:eastAsia="Arial" w:hAnsi="Arial"/>
                <w:sz w:val="14"/>
                <w:szCs w:val="14"/>
                <w:color w:val="0000FF"/>
                <w:w w:val="95"/>
              </w:rPr>
            </w:pPr>
            <w:hyperlink r:id="rId167">
              <w:r>
                <w:rPr>
                  <w:rFonts w:ascii="Arial" w:cs="Arial" w:eastAsia="Arial" w:hAnsi="Arial"/>
                  <w:sz w:val="14"/>
                  <w:szCs w:val="14"/>
                  <w:color w:val="0000FF"/>
                  <w:w w:val="95"/>
                </w:rPr>
                <w:t>Second Amendment to Loan and Security Agreement, dated as of</w:t>
              </w:r>
            </w:hyperlink>
          </w:p>
        </w:tc>
      </w:tr>
      <w:tr>
        <w:trPr>
          <w:trHeight w:val="142"/>
        </w:trPr>
        <w:tc>
          <w:tcPr>
            <w:tcW w:w="760" w:type="dxa"/>
            <w:vAlign w:val="bottom"/>
          </w:tcPr>
          <w:p>
            <w:pPr>
              <w:spacing w:after="0"/>
              <w:rPr>
                <w:sz w:val="12"/>
                <w:szCs w:val="12"/>
                <w:color w:val="auto"/>
              </w:rPr>
            </w:pPr>
          </w:p>
        </w:tc>
        <w:tc>
          <w:tcPr>
            <w:tcW w:w="3800" w:type="dxa"/>
            <w:vAlign w:val="bottom"/>
            <w:tcBorders>
              <w:top w:val="single" w:sz="8" w:color="0000FF"/>
            </w:tcBorders>
            <w:gridSpan w:val="20"/>
          </w:tcPr>
          <w:p>
            <w:pPr>
              <w:spacing w:after="0" w:line="142" w:lineRule="exact"/>
              <w:rPr>
                <w:rFonts w:ascii="Arial" w:cs="Arial" w:eastAsia="Arial" w:hAnsi="Arial"/>
                <w:sz w:val="14"/>
                <w:szCs w:val="14"/>
                <w:color w:val="0000FF"/>
                <w:w w:val="96"/>
              </w:rPr>
            </w:pPr>
            <w:hyperlink r:id="rId167">
              <w:r>
                <w:rPr>
                  <w:rFonts w:ascii="Arial" w:cs="Arial" w:eastAsia="Arial" w:hAnsi="Arial"/>
                  <w:sz w:val="14"/>
                  <w:szCs w:val="14"/>
                  <w:color w:val="0000FF"/>
                  <w:w w:val="96"/>
                </w:rPr>
                <w:t>August 6, 2021, by and among Brilliant Earth, LLC, the Lenders</w:t>
              </w:r>
            </w:hyperlink>
          </w:p>
        </w:tc>
        <w:tc>
          <w:tcPr>
            <w:tcW w:w="140" w:type="dxa"/>
            <w:vAlign w:val="bottom"/>
            <w:gridSpan w:val="7"/>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14"/>
          </w:tcPr>
          <w:p>
            <w:pPr>
              <w:spacing w:after="0" w:line="142" w:lineRule="exact"/>
              <w:rPr>
                <w:rFonts w:ascii="Arial" w:cs="Arial" w:eastAsia="Arial" w:hAnsi="Arial"/>
                <w:sz w:val="14"/>
                <w:szCs w:val="14"/>
                <w:color w:val="0000FF"/>
                <w:w w:val="93"/>
              </w:rPr>
            </w:pPr>
            <w:hyperlink r:id="rId167">
              <w:r>
                <w:rPr>
                  <w:rFonts w:ascii="Arial" w:cs="Arial" w:eastAsia="Arial" w:hAnsi="Arial"/>
                  <w:sz w:val="14"/>
                  <w:szCs w:val="14"/>
                  <w:color w:val="0000FF"/>
                  <w:w w:val="93"/>
                </w:rPr>
                <w:t>party thereto and Runway Growth Credit Fund Inc., as Agent.</w:t>
              </w:r>
            </w:hyperlink>
          </w:p>
        </w:tc>
        <w:tc>
          <w:tcPr>
            <w:tcW w:w="160" w:type="dxa"/>
            <w:vAlign w:val="bottom"/>
            <w:tcBorders>
              <w:top w:val="single" w:sz="8" w:color="0000FF"/>
            </w:tcBorders>
            <w:gridSpan w:val="4"/>
          </w:tcPr>
          <w:p>
            <w:pPr>
              <w:spacing w:after="0"/>
              <w:rPr>
                <w:sz w:val="12"/>
                <w:szCs w:val="12"/>
                <w:color w:val="auto"/>
              </w:rPr>
            </w:pPr>
          </w:p>
        </w:tc>
        <w:tc>
          <w:tcPr>
            <w:tcW w:w="200" w:type="dxa"/>
            <w:vAlign w:val="bottom"/>
            <w:gridSpan w:val="9"/>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jc w:val="right"/>
        <w:ind w:right="80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378"/>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540"/>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540"/>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540"/>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378"/>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378"/>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378"/>
        </w:trPr>
        <w:tc>
          <w:tcPr>
            <w:tcW w:w="620" w:type="dxa"/>
            <w:vAlign w:val="bottom"/>
          </w:tcPr>
          <w:p>
            <w:pPr>
              <w:jc w:val="center"/>
              <w:ind w:right="228"/>
              <w:spacing w:after="0"/>
              <w:rPr>
                <w:sz w:val="20"/>
                <w:szCs w:val="20"/>
                <w:color w:val="auto"/>
              </w:rPr>
            </w:pPr>
            <w:r>
              <w:rPr>
                <w:rFonts w:ascii="Arial" w:cs="Arial" w:eastAsia="Arial" w:hAnsi="Arial"/>
                <w:sz w:val="14"/>
                <w:szCs w:val="14"/>
                <w:color w:val="auto"/>
                <w:w w:val="91"/>
              </w:rPr>
              <w:t>S-8</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333-259736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99.1</w:t>
            </w:r>
          </w:p>
        </w:tc>
        <w:tc>
          <w:tcPr>
            <w:tcW w:w="920" w:type="dxa"/>
            <w:vAlign w:val="bottom"/>
          </w:tcPr>
          <w:p>
            <w:pPr>
              <w:jc w:val="right"/>
              <w:spacing w:after="0"/>
              <w:rPr>
                <w:sz w:val="20"/>
                <w:szCs w:val="20"/>
                <w:color w:val="auto"/>
              </w:rPr>
            </w:pPr>
            <w:r>
              <w:rPr>
                <w:rFonts w:ascii="Arial" w:cs="Arial" w:eastAsia="Arial" w:hAnsi="Arial"/>
                <w:sz w:val="14"/>
                <w:szCs w:val="14"/>
                <w:color w:val="auto"/>
              </w:rPr>
              <w:t>9/23/2021</w:t>
            </w:r>
          </w:p>
        </w:tc>
      </w:tr>
      <w:tr>
        <w:trPr>
          <w:trHeight w:val="230"/>
        </w:trPr>
        <w:tc>
          <w:tcPr>
            <w:tcW w:w="620" w:type="dxa"/>
            <w:vAlign w:val="bottom"/>
          </w:tcPr>
          <w:p>
            <w:pPr>
              <w:jc w:val="center"/>
              <w:ind w:right="228"/>
              <w:spacing w:after="0"/>
              <w:rPr>
                <w:sz w:val="20"/>
                <w:szCs w:val="20"/>
                <w:color w:val="auto"/>
              </w:rPr>
            </w:pPr>
            <w:r>
              <w:rPr>
                <w:rFonts w:ascii="Arial" w:cs="Arial" w:eastAsia="Arial" w:hAnsi="Arial"/>
                <w:sz w:val="14"/>
                <w:szCs w:val="14"/>
                <w:color w:val="auto"/>
                <w:w w:val="91"/>
              </w:rPr>
              <w:t>S-8</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333-259736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99.2</w:t>
            </w:r>
          </w:p>
        </w:tc>
        <w:tc>
          <w:tcPr>
            <w:tcW w:w="920" w:type="dxa"/>
            <w:vAlign w:val="bottom"/>
          </w:tcPr>
          <w:p>
            <w:pPr>
              <w:jc w:val="right"/>
              <w:spacing w:after="0"/>
              <w:rPr>
                <w:sz w:val="20"/>
                <w:szCs w:val="20"/>
                <w:color w:val="auto"/>
              </w:rPr>
            </w:pPr>
            <w:r>
              <w:rPr>
                <w:rFonts w:ascii="Arial" w:cs="Arial" w:eastAsia="Arial" w:hAnsi="Arial"/>
                <w:sz w:val="14"/>
                <w:szCs w:val="14"/>
                <w:color w:val="auto"/>
              </w:rPr>
              <w:t>9/23/2021</w:t>
            </w:r>
          </w:p>
        </w:tc>
      </w:tr>
      <w:tr>
        <w:trPr>
          <w:trHeight w:val="229"/>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378"/>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85"/>
              </w:rPr>
              <w:t>10.11</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459"/>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10.12</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702"/>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10.14</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230"/>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10.15</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229"/>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500"/>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bl>
    <w:p>
      <w:pPr>
        <w:spacing w:after="0" w:line="495" w:lineRule="exact"/>
        <w:rPr>
          <w:sz w:val="20"/>
          <w:szCs w:val="20"/>
          <w:color w:val="auto"/>
        </w:rPr>
      </w:pPr>
    </w:p>
    <w:p>
      <w:pPr>
        <w:sectPr>
          <w:pgSz w:w="11900" w:h="16838" w:orient="portrait"/>
          <w:cols w:equalWidth="0" w:num="2">
            <w:col w:w="5060" w:space="380"/>
            <w:col w:w="580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88"/>
              </w:rPr>
              <w:t>10.17†</w:t>
            </w:r>
          </w:p>
        </w:tc>
        <w:tc>
          <w:tcPr>
            <w:tcW w:w="4120" w:type="dxa"/>
            <w:vAlign w:val="bottom"/>
            <w:gridSpan w:val="12"/>
          </w:tcPr>
          <w:p>
            <w:pPr>
              <w:spacing w:after="0"/>
              <w:rPr>
                <w:rFonts w:ascii="Arial" w:cs="Arial" w:eastAsia="Arial" w:hAnsi="Arial"/>
                <w:sz w:val="14"/>
                <w:szCs w:val="14"/>
                <w:color w:val="0000FF"/>
              </w:rPr>
            </w:pPr>
            <w:hyperlink r:id="rId169">
              <w:r>
                <w:rPr>
                  <w:rFonts w:ascii="Arial" w:cs="Arial" w:eastAsia="Arial" w:hAnsi="Arial"/>
                  <w:sz w:val="14"/>
                  <w:szCs w:val="14"/>
                  <w:color w:val="0000FF"/>
                </w:rPr>
                <w:t>Third Amendment to Loan and Security Agreement, dated as of</w:t>
              </w:r>
            </w:hyperlink>
          </w:p>
        </w:tc>
        <w:tc>
          <w:tcPr>
            <w:tcW w:w="820" w:type="dxa"/>
            <w:vAlign w:val="bottom"/>
          </w:tcPr>
          <w:p>
            <w:pPr>
              <w:ind w:left="180"/>
              <w:spacing w:after="0"/>
              <w:rPr>
                <w:sz w:val="20"/>
                <w:szCs w:val="20"/>
                <w:color w:val="auto"/>
              </w:rPr>
            </w:pPr>
            <w:r>
              <w:rPr>
                <w:rFonts w:ascii="Arial" w:cs="Arial" w:eastAsia="Arial" w:hAnsi="Arial"/>
                <w:sz w:val="14"/>
                <w:szCs w:val="14"/>
                <w:color w:val="auto"/>
              </w:rPr>
              <w:t>S-1/A</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001-40836</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10.4</w:t>
            </w:r>
          </w:p>
        </w:tc>
        <w:tc>
          <w:tcPr>
            <w:tcW w:w="2220" w:type="dxa"/>
            <w:vAlign w:val="bottom"/>
          </w:tcPr>
          <w:p>
            <w:pPr>
              <w:jc w:val="right"/>
              <w:ind w:right="1228"/>
              <w:spacing w:after="0"/>
              <w:rPr>
                <w:sz w:val="20"/>
                <w:szCs w:val="20"/>
                <w:color w:val="auto"/>
              </w:rPr>
            </w:pPr>
            <w:r>
              <w:rPr>
                <w:rFonts w:ascii="Arial" w:cs="Arial" w:eastAsia="Arial" w:hAnsi="Arial"/>
                <w:sz w:val="14"/>
                <w:szCs w:val="14"/>
                <w:color w:val="auto"/>
              </w:rPr>
              <w:t>9/14/2021</w:t>
            </w: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4120" w:type="dxa"/>
            <w:vAlign w:val="bottom"/>
            <w:gridSpan w:val="12"/>
          </w:tcPr>
          <w:p>
            <w:pPr>
              <w:spacing w:after="0" w:line="155" w:lineRule="exact"/>
              <w:rPr>
                <w:rFonts w:ascii="Arial" w:cs="Arial" w:eastAsia="Arial" w:hAnsi="Arial"/>
                <w:sz w:val="14"/>
                <w:szCs w:val="14"/>
                <w:color w:val="0000FF"/>
              </w:rPr>
            </w:pPr>
            <w:hyperlink r:id="rId169">
              <w:r>
                <w:rPr>
                  <w:rFonts w:ascii="Arial" w:cs="Arial" w:eastAsia="Arial" w:hAnsi="Arial"/>
                  <w:sz w:val="14"/>
                  <w:szCs w:val="14"/>
                  <w:color w:val="0000FF"/>
                </w:rPr>
                <w:t>August 29, 2021, by and among Brilliant Earth, LLC, the Lenders</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3800" w:type="dxa"/>
            <w:vAlign w:val="bottom"/>
            <w:tcBorders>
              <w:top w:val="single" w:sz="8" w:color="0000FF"/>
            </w:tcBorders>
            <w:gridSpan w:val="11"/>
          </w:tcPr>
          <w:p>
            <w:pPr>
              <w:spacing w:after="0" w:line="155" w:lineRule="exact"/>
              <w:rPr>
                <w:rFonts w:ascii="Arial" w:cs="Arial" w:eastAsia="Arial" w:hAnsi="Arial"/>
                <w:sz w:val="14"/>
                <w:szCs w:val="14"/>
                <w:color w:val="0000FF"/>
                <w:w w:val="96"/>
              </w:rPr>
            </w:pPr>
            <w:hyperlink r:id="rId169">
              <w:r>
                <w:rPr>
                  <w:rFonts w:ascii="Arial" w:cs="Arial" w:eastAsia="Arial" w:hAnsi="Arial"/>
                  <w:sz w:val="14"/>
                  <w:szCs w:val="14"/>
                  <w:color w:val="0000FF"/>
                  <w:w w:val="96"/>
                </w:rPr>
                <w:t>party thereto and Runway Growth Finance Corp. (f/k/a Runway</w:t>
              </w:r>
            </w:hyperlink>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5"/>
          </w:tcPr>
          <w:p>
            <w:pPr>
              <w:spacing w:after="0" w:line="155" w:lineRule="exact"/>
              <w:rPr>
                <w:rFonts w:ascii="Arial" w:cs="Arial" w:eastAsia="Arial" w:hAnsi="Arial"/>
                <w:sz w:val="14"/>
                <w:szCs w:val="14"/>
                <w:color w:val="0000FF"/>
                <w:w w:val="94"/>
              </w:rPr>
            </w:pPr>
            <w:hyperlink r:id="rId169">
              <w:r>
                <w:rPr>
                  <w:rFonts w:ascii="Arial" w:cs="Arial" w:eastAsia="Arial" w:hAnsi="Arial"/>
                  <w:sz w:val="14"/>
                  <w:szCs w:val="14"/>
                  <w:color w:val="0000FF"/>
                  <w:w w:val="94"/>
                </w:rPr>
                <w:t>Growth Credit Fund Inc.), as Agent.</w:t>
              </w:r>
            </w:hyperlink>
          </w:p>
        </w:tc>
        <w:tc>
          <w:tcPr>
            <w:tcW w:w="1580" w:type="dxa"/>
            <w:vAlign w:val="bottom"/>
            <w:tcBorders>
              <w:top w:val="single" w:sz="8" w:color="0000FF"/>
            </w:tcBorders>
            <w:gridSpan w:val="5"/>
          </w:tcPr>
          <w:p>
            <w:pPr>
              <w:spacing w:after="0"/>
              <w:rPr>
                <w:sz w:val="13"/>
                <w:szCs w:val="13"/>
                <w:color w:val="auto"/>
              </w:rPr>
            </w:pPr>
          </w:p>
        </w:tc>
        <w:tc>
          <w:tcPr>
            <w:tcW w:w="4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1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21.1</w:t>
            </w:r>
          </w:p>
        </w:tc>
        <w:tc>
          <w:tcPr>
            <w:tcW w:w="4120" w:type="dxa"/>
            <w:vAlign w:val="bottom"/>
            <w:gridSpan w:val="12"/>
          </w:tcPr>
          <w:p>
            <w:pPr>
              <w:spacing w:after="0"/>
              <w:rPr>
                <w:rFonts w:ascii="Arial" w:cs="Arial" w:eastAsia="Arial" w:hAnsi="Arial"/>
                <w:sz w:val="14"/>
                <w:szCs w:val="14"/>
                <w:color w:val="0000FF"/>
              </w:rPr>
            </w:pPr>
            <w:hyperlink w:anchor="page141">
              <w:r>
                <w:rPr>
                  <w:rFonts w:ascii="Arial" w:cs="Arial" w:eastAsia="Arial" w:hAnsi="Arial"/>
                  <w:sz w:val="14"/>
                  <w:szCs w:val="14"/>
                  <w:color w:val="0000FF"/>
                </w:rPr>
                <w:t>Subsidiaries of Brilliant Earth Group, Inc.</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1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23.1</w:t>
            </w:r>
          </w:p>
        </w:tc>
        <w:tc>
          <w:tcPr>
            <w:tcW w:w="3460" w:type="dxa"/>
            <w:vAlign w:val="bottom"/>
            <w:tcBorders>
              <w:bottom w:val="single" w:sz="8" w:color="0000FF"/>
            </w:tcBorders>
            <w:gridSpan w:val="7"/>
          </w:tcPr>
          <w:p>
            <w:pPr>
              <w:spacing w:after="0"/>
              <w:rPr>
                <w:rFonts w:ascii="Arial" w:cs="Arial" w:eastAsia="Arial" w:hAnsi="Arial"/>
                <w:sz w:val="14"/>
                <w:szCs w:val="14"/>
                <w:color w:val="0000FF"/>
                <w:w w:val="93"/>
              </w:rPr>
            </w:pPr>
            <w:hyperlink w:anchor="page142">
              <w:r>
                <w:rPr>
                  <w:rFonts w:ascii="Arial" w:cs="Arial" w:eastAsia="Arial" w:hAnsi="Arial"/>
                  <w:sz w:val="14"/>
                  <w:szCs w:val="14"/>
                  <w:color w:val="0000FF"/>
                  <w:w w:val="93"/>
                </w:rPr>
                <w:t>Consent of Independent Registered Public Accounting Firm</w:t>
              </w:r>
            </w:hyperlink>
          </w:p>
        </w:tc>
        <w:tc>
          <w:tcPr>
            <w:tcW w:w="660" w:type="dxa"/>
            <w:vAlign w:val="bottom"/>
            <w:gridSpan w:val="5"/>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20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31.1</w:t>
            </w:r>
          </w:p>
        </w:tc>
        <w:tc>
          <w:tcPr>
            <w:tcW w:w="4120" w:type="dxa"/>
            <w:vAlign w:val="bottom"/>
            <w:gridSpan w:val="12"/>
          </w:tcPr>
          <w:p>
            <w:pPr>
              <w:spacing w:after="0"/>
              <w:rPr>
                <w:rFonts w:ascii="Arial" w:cs="Arial" w:eastAsia="Arial" w:hAnsi="Arial"/>
                <w:sz w:val="14"/>
                <w:szCs w:val="14"/>
                <w:color w:val="0000FF"/>
              </w:rPr>
            </w:pPr>
            <w:hyperlink w:anchor="page143">
              <w:r>
                <w:rPr>
                  <w:rFonts w:ascii="Arial" w:cs="Arial" w:eastAsia="Arial" w:hAnsi="Arial"/>
                  <w:sz w:val="14"/>
                  <w:szCs w:val="14"/>
                  <w:color w:val="0000FF"/>
                </w:rPr>
                <w:t>Certification of Chief Executive Officer pursuant to Rule 13a-</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156"/>
        </w:trPr>
        <w:tc>
          <w:tcPr>
            <w:tcW w:w="840" w:type="dxa"/>
            <w:vAlign w:val="bottom"/>
          </w:tcPr>
          <w:p>
            <w:pPr>
              <w:spacing w:after="0"/>
              <w:rPr>
                <w:sz w:val="13"/>
                <w:szCs w:val="13"/>
                <w:color w:val="auto"/>
              </w:rPr>
            </w:pPr>
          </w:p>
        </w:tc>
        <w:tc>
          <w:tcPr>
            <w:tcW w:w="960" w:type="dxa"/>
            <w:vAlign w:val="bottom"/>
            <w:tcBorders>
              <w:top w:val="single" w:sz="8" w:color="0000FF"/>
              <w:bottom w:val="single" w:sz="8" w:color="0000FF"/>
            </w:tcBorders>
            <w:gridSpan w:val="4"/>
          </w:tcPr>
          <w:p>
            <w:pPr>
              <w:spacing w:after="0" w:line="155" w:lineRule="exact"/>
              <w:rPr>
                <w:rFonts w:ascii="Arial" w:cs="Arial" w:eastAsia="Arial" w:hAnsi="Arial"/>
                <w:sz w:val="14"/>
                <w:szCs w:val="14"/>
                <w:color w:val="0000FF"/>
                <w:w w:val="92"/>
              </w:rPr>
            </w:pPr>
            <w:hyperlink w:anchor="page143">
              <w:r>
                <w:rPr>
                  <w:rFonts w:ascii="Arial" w:cs="Arial" w:eastAsia="Arial" w:hAnsi="Arial"/>
                  <w:sz w:val="14"/>
                  <w:szCs w:val="14"/>
                  <w:color w:val="0000FF"/>
                  <w:w w:val="92"/>
                </w:rPr>
                <w:t>14(a)/15d-14(a).</w:t>
              </w:r>
            </w:hyperlink>
          </w:p>
        </w:tc>
        <w:tc>
          <w:tcPr>
            <w:tcW w:w="2620" w:type="dxa"/>
            <w:vAlign w:val="bottom"/>
            <w:tcBorders>
              <w:top w:val="single" w:sz="8" w:color="0000FF"/>
            </w:tcBorders>
            <w:gridSpan w:val="5"/>
          </w:tcPr>
          <w:p>
            <w:pPr>
              <w:spacing w:after="0"/>
              <w:rPr>
                <w:sz w:val="13"/>
                <w:szCs w:val="13"/>
                <w:color w:val="auto"/>
              </w:rPr>
            </w:pPr>
          </w:p>
        </w:tc>
        <w:tc>
          <w:tcPr>
            <w:tcW w:w="54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0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31.2</w:t>
            </w:r>
          </w:p>
        </w:tc>
        <w:tc>
          <w:tcPr>
            <w:tcW w:w="4120" w:type="dxa"/>
            <w:vAlign w:val="bottom"/>
            <w:gridSpan w:val="12"/>
          </w:tcPr>
          <w:p>
            <w:pPr>
              <w:spacing w:after="0"/>
              <w:rPr>
                <w:rFonts w:ascii="Arial" w:cs="Arial" w:eastAsia="Arial" w:hAnsi="Arial"/>
                <w:sz w:val="14"/>
                <w:szCs w:val="14"/>
                <w:color w:val="0000FF"/>
              </w:rPr>
            </w:pPr>
            <w:hyperlink w:anchor="page144">
              <w:r>
                <w:rPr>
                  <w:rFonts w:ascii="Arial" w:cs="Arial" w:eastAsia="Arial" w:hAnsi="Arial"/>
                  <w:sz w:val="14"/>
                  <w:szCs w:val="14"/>
                  <w:color w:val="0000FF"/>
                </w:rPr>
                <w:t>Certification of Chief Financial Officer pursuant to Rule 13a-</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156"/>
        </w:trPr>
        <w:tc>
          <w:tcPr>
            <w:tcW w:w="840" w:type="dxa"/>
            <w:vAlign w:val="bottom"/>
          </w:tcPr>
          <w:p>
            <w:pPr>
              <w:spacing w:after="0"/>
              <w:rPr>
                <w:sz w:val="13"/>
                <w:szCs w:val="13"/>
                <w:color w:val="auto"/>
              </w:rPr>
            </w:pPr>
          </w:p>
        </w:tc>
        <w:tc>
          <w:tcPr>
            <w:tcW w:w="3540" w:type="dxa"/>
            <w:vAlign w:val="bottom"/>
            <w:tcBorders>
              <w:top w:val="single" w:sz="8" w:color="0000FF"/>
            </w:tcBorders>
            <w:gridSpan w:val="8"/>
          </w:tcPr>
          <w:p>
            <w:pPr>
              <w:spacing w:after="0" w:line="155" w:lineRule="exact"/>
              <w:rPr>
                <w:rFonts w:ascii="Arial" w:cs="Arial" w:eastAsia="Arial" w:hAnsi="Arial"/>
                <w:sz w:val="14"/>
                <w:szCs w:val="14"/>
                <w:color w:val="0000FF"/>
              </w:rPr>
            </w:pPr>
            <w:hyperlink w:anchor="page144">
              <w:r>
                <w:rPr>
                  <w:rFonts w:ascii="Arial" w:cs="Arial" w:eastAsia="Arial" w:hAnsi="Arial"/>
                  <w:sz w:val="14"/>
                  <w:szCs w:val="14"/>
                  <w:color w:val="0000FF"/>
                </w:rPr>
                <w:t>14(a)/15d-14(a)</w:t>
              </w:r>
              <w:r>
                <w:rPr>
                  <w:rFonts w:ascii="Arial" w:cs="Arial" w:eastAsia="Arial" w:hAnsi="Arial"/>
                  <w:sz w:val="14"/>
                  <w:szCs w:val="14"/>
                  <w:color w:val="000000"/>
                </w:rPr>
                <w:t>.</w:t>
              </w:r>
            </w:hyperlink>
          </w:p>
        </w:tc>
        <w:tc>
          <w:tcPr>
            <w:tcW w:w="5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0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32.1</w:t>
            </w:r>
          </w:p>
        </w:tc>
        <w:tc>
          <w:tcPr>
            <w:tcW w:w="4120" w:type="dxa"/>
            <w:vAlign w:val="bottom"/>
            <w:gridSpan w:val="12"/>
          </w:tcPr>
          <w:p>
            <w:pPr>
              <w:spacing w:after="0"/>
              <w:rPr>
                <w:rFonts w:ascii="Arial" w:cs="Arial" w:eastAsia="Arial" w:hAnsi="Arial"/>
                <w:sz w:val="14"/>
                <w:szCs w:val="14"/>
                <w:color w:val="0000FF"/>
              </w:rPr>
            </w:pPr>
            <w:hyperlink w:anchor="page145">
              <w:r>
                <w:rPr>
                  <w:rFonts w:ascii="Arial" w:cs="Arial" w:eastAsia="Arial" w:hAnsi="Arial"/>
                  <w:sz w:val="14"/>
                  <w:szCs w:val="14"/>
                  <w:color w:val="0000FF"/>
                </w:rPr>
                <w:t>Certification of Chief Executive Officer pursuant to 18 U.S.C.</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08"/>
              <w:spacing w:after="0"/>
              <w:rPr>
                <w:sz w:val="20"/>
                <w:szCs w:val="20"/>
                <w:color w:val="auto"/>
              </w:rPr>
            </w:pPr>
            <w:r>
              <w:rPr>
                <w:rFonts w:ascii="Arial" w:cs="Arial" w:eastAsia="Arial" w:hAnsi="Arial"/>
                <w:sz w:val="14"/>
                <w:szCs w:val="14"/>
                <w:color w:val="auto"/>
              </w:rPr>
              <w:t>**</w:t>
            </w:r>
          </w:p>
        </w:tc>
      </w:tr>
      <w:tr>
        <w:trPr>
          <w:trHeight w:val="156"/>
        </w:trPr>
        <w:tc>
          <w:tcPr>
            <w:tcW w:w="84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5" w:lineRule="exact"/>
              <w:rPr>
                <w:rFonts w:ascii="Arial" w:cs="Arial" w:eastAsia="Arial" w:hAnsi="Arial"/>
                <w:sz w:val="14"/>
                <w:szCs w:val="14"/>
                <w:color w:val="0000FF"/>
                <w:w w:val="93"/>
              </w:rPr>
            </w:pPr>
            <w:hyperlink w:anchor="page145">
              <w:r>
                <w:rPr>
                  <w:rFonts w:ascii="Arial" w:cs="Arial" w:eastAsia="Arial" w:hAnsi="Arial"/>
                  <w:sz w:val="14"/>
                  <w:szCs w:val="14"/>
                  <w:color w:val="0000FF"/>
                  <w:w w:val="93"/>
                </w:rPr>
                <w:t>Section 1350.</w:t>
              </w:r>
            </w:hyperlink>
          </w:p>
        </w:tc>
        <w:tc>
          <w:tcPr>
            <w:tcW w:w="2760" w:type="dxa"/>
            <w:vAlign w:val="bottom"/>
            <w:tcBorders>
              <w:top w:val="single" w:sz="8" w:color="0000FF"/>
            </w:tcBorders>
            <w:gridSpan w:val="7"/>
          </w:tcPr>
          <w:p>
            <w:pPr>
              <w:spacing w:after="0"/>
              <w:rPr>
                <w:sz w:val="13"/>
                <w:szCs w:val="13"/>
                <w:color w:val="auto"/>
              </w:rPr>
            </w:pPr>
          </w:p>
        </w:tc>
        <w:tc>
          <w:tcPr>
            <w:tcW w:w="54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0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32.2</w:t>
            </w:r>
          </w:p>
        </w:tc>
        <w:tc>
          <w:tcPr>
            <w:tcW w:w="4120" w:type="dxa"/>
            <w:vAlign w:val="bottom"/>
            <w:gridSpan w:val="12"/>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Certification of Chief Financial Officer pursuant to 18 U.S.C.</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center"/>
              <w:ind w:left="2008"/>
              <w:spacing w:after="0"/>
              <w:rPr>
                <w:sz w:val="20"/>
                <w:szCs w:val="20"/>
                <w:color w:val="auto"/>
              </w:rPr>
            </w:pPr>
            <w:r>
              <w:rPr>
                <w:rFonts w:ascii="Arial" w:cs="Arial" w:eastAsia="Arial" w:hAnsi="Arial"/>
                <w:sz w:val="14"/>
                <w:szCs w:val="14"/>
                <w:color w:val="auto"/>
              </w:rPr>
              <w:t>**</w:t>
            </w:r>
          </w:p>
        </w:tc>
      </w:tr>
      <w:tr>
        <w:trPr>
          <w:trHeight w:val="156"/>
        </w:trPr>
        <w:tc>
          <w:tcPr>
            <w:tcW w:w="84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5" w:lineRule="exact"/>
              <w:rPr>
                <w:rFonts w:ascii="Arial" w:cs="Arial" w:eastAsia="Arial" w:hAnsi="Arial"/>
                <w:sz w:val="14"/>
                <w:szCs w:val="14"/>
                <w:color w:val="0000FF"/>
                <w:w w:val="91"/>
              </w:rPr>
            </w:pPr>
            <w:hyperlink w:anchor="page146">
              <w:r>
                <w:rPr>
                  <w:rFonts w:ascii="Arial" w:cs="Arial" w:eastAsia="Arial" w:hAnsi="Arial"/>
                  <w:sz w:val="14"/>
                  <w:szCs w:val="14"/>
                  <w:color w:val="0000FF"/>
                  <w:w w:val="91"/>
                </w:rPr>
                <w:t>Section 1350.</w:t>
              </w:r>
            </w:hyperlink>
          </w:p>
        </w:tc>
        <w:tc>
          <w:tcPr>
            <w:tcW w:w="2740" w:type="dxa"/>
            <w:vAlign w:val="bottom"/>
            <w:tcBorders>
              <w:top w:val="single" w:sz="8" w:color="0000FF"/>
            </w:tcBorders>
            <w:gridSpan w:val="7"/>
          </w:tcPr>
          <w:p>
            <w:pPr>
              <w:spacing w:after="0"/>
              <w:rPr>
                <w:sz w:val="13"/>
                <w:szCs w:val="13"/>
                <w:color w:val="auto"/>
              </w:rPr>
            </w:pPr>
          </w:p>
        </w:tc>
        <w:tc>
          <w:tcPr>
            <w:tcW w:w="5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31"/>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8"/>
              </w:rPr>
              <w:t>101.INS</w:t>
            </w:r>
          </w:p>
        </w:tc>
        <w:tc>
          <w:tcPr>
            <w:tcW w:w="4120" w:type="dxa"/>
            <w:vAlign w:val="bottom"/>
            <w:gridSpan w:val="12"/>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176"/>
        </w:trPr>
        <w:tc>
          <w:tcPr>
            <w:tcW w:w="840" w:type="dxa"/>
            <w:vAlign w:val="bottom"/>
          </w:tcPr>
          <w:p>
            <w:pPr>
              <w:spacing w:after="0"/>
              <w:rPr>
                <w:sz w:val="15"/>
                <w:szCs w:val="15"/>
                <w:color w:val="auto"/>
              </w:rPr>
            </w:pPr>
          </w:p>
        </w:tc>
        <w:tc>
          <w:tcPr>
            <w:tcW w:w="4120" w:type="dxa"/>
            <w:vAlign w:val="bottom"/>
            <w:gridSpan w:val="12"/>
          </w:tcPr>
          <w:p>
            <w:pPr>
              <w:spacing w:after="0"/>
              <w:rPr>
                <w:sz w:val="20"/>
                <w:szCs w:val="20"/>
                <w:color w:val="auto"/>
              </w:rPr>
            </w:pPr>
            <w:r>
              <w:rPr>
                <w:rFonts w:ascii="Arial" w:cs="Arial" w:eastAsia="Arial" w:hAnsi="Arial"/>
                <w:sz w:val="14"/>
                <w:szCs w:val="14"/>
                <w:color w:val="auto"/>
              </w:rPr>
              <w:t>appear in the Interactive Data File because its XBRL tags are</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4120" w:type="dxa"/>
            <w:vAlign w:val="bottom"/>
            <w:gridSpan w:val="12"/>
          </w:tcPr>
          <w:p>
            <w:pPr>
              <w:spacing w:after="0"/>
              <w:rPr>
                <w:sz w:val="20"/>
                <w:szCs w:val="20"/>
                <w:color w:val="auto"/>
              </w:rPr>
            </w:pPr>
            <w:r>
              <w:rPr>
                <w:rFonts w:ascii="Arial" w:cs="Arial" w:eastAsia="Arial" w:hAnsi="Arial"/>
                <w:sz w:val="14"/>
                <w:szCs w:val="14"/>
                <w:color w:val="auto"/>
              </w:rPr>
              <w:t>embedded within the Inline XBRL document.</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4"/>
              </w:rPr>
              <w:t>101.SCH</w:t>
            </w:r>
          </w:p>
        </w:tc>
        <w:tc>
          <w:tcPr>
            <w:tcW w:w="412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9"/>
              </w:rPr>
              <w:t>101.CAL</w:t>
            </w:r>
          </w:p>
        </w:tc>
        <w:tc>
          <w:tcPr>
            <w:tcW w:w="412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7"/>
              </w:rPr>
              <w:t>101.DEF</w:t>
            </w:r>
          </w:p>
        </w:tc>
        <w:tc>
          <w:tcPr>
            <w:tcW w:w="412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rPr>
              <w:t>101.LAB</w:t>
            </w:r>
          </w:p>
        </w:tc>
        <w:tc>
          <w:tcPr>
            <w:tcW w:w="412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89"/>
              </w:rPr>
              <w:t>101.PRE</w:t>
            </w:r>
          </w:p>
        </w:tc>
        <w:tc>
          <w:tcPr>
            <w:tcW w:w="4120" w:type="dxa"/>
            <w:vAlign w:val="bottom"/>
            <w:gridSpan w:val="12"/>
          </w:tcPr>
          <w:p>
            <w:pPr>
              <w:spacing w:after="0"/>
              <w:rPr>
                <w:sz w:val="20"/>
                <w:szCs w:val="20"/>
                <w:color w:val="auto"/>
              </w:rPr>
            </w:pPr>
            <w:r>
              <w:rPr>
                <w:rFonts w:ascii="Arial" w:cs="Arial" w:eastAsia="Arial" w:hAnsi="Arial"/>
                <w:sz w:val="14"/>
                <w:szCs w:val="14"/>
                <w:color w:val="auto"/>
                <w:w w:val="97"/>
              </w:rPr>
              <w:t>Inline XBRL Taxonomy Extension Presentation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223"/>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4"/>
              </w:rPr>
              <w:t>104</w:t>
            </w:r>
          </w:p>
        </w:tc>
        <w:tc>
          <w:tcPr>
            <w:tcW w:w="4120" w:type="dxa"/>
            <w:vAlign w:val="bottom"/>
            <w:gridSpan w:val="12"/>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tcPr>
          <w:p>
            <w:pPr>
              <w:jc w:val="center"/>
              <w:ind w:left="2028"/>
              <w:spacing w:after="0"/>
              <w:rPr>
                <w:sz w:val="20"/>
                <w:szCs w:val="20"/>
                <w:color w:val="auto"/>
              </w:rPr>
            </w:pPr>
            <w:r>
              <w:rPr>
                <w:rFonts w:ascii="Arial" w:cs="Arial" w:eastAsia="Arial" w:hAnsi="Arial"/>
                <w:sz w:val="14"/>
                <w:szCs w:val="14"/>
                <w:color w:val="auto"/>
              </w:rPr>
              <w:t>*</w:t>
            </w:r>
          </w:p>
        </w:tc>
      </w:tr>
      <w:tr>
        <w:trPr>
          <w:trHeight w:val="182"/>
        </w:trPr>
        <w:tc>
          <w:tcPr>
            <w:tcW w:w="840" w:type="dxa"/>
            <w:vAlign w:val="bottom"/>
          </w:tcPr>
          <w:p>
            <w:pPr>
              <w:spacing w:after="0"/>
              <w:rPr>
                <w:sz w:val="15"/>
                <w:szCs w:val="15"/>
                <w:color w:val="auto"/>
              </w:rPr>
            </w:pPr>
          </w:p>
        </w:tc>
        <w:tc>
          <w:tcPr>
            <w:tcW w:w="4120" w:type="dxa"/>
            <w:vAlign w:val="bottom"/>
            <w:gridSpan w:val="12"/>
          </w:tcPr>
          <w:p>
            <w:pPr>
              <w:spacing w:after="0"/>
              <w:rPr>
                <w:sz w:val="20"/>
                <w:szCs w:val="20"/>
                <w:color w:val="auto"/>
              </w:rPr>
            </w:pPr>
            <w:r>
              <w:rPr>
                <w:rFonts w:ascii="Arial" w:cs="Arial" w:eastAsia="Arial" w:hAnsi="Arial"/>
                <w:sz w:val="14"/>
                <w:szCs w:val="14"/>
                <w:color w:val="auto"/>
              </w:rPr>
              <w:t>contained in Exhibit 101)</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2658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51" w:lineRule="exact"/>
        <w:rPr>
          <w:sz w:val="20"/>
          <w:szCs w:val="20"/>
          <w:color w:val="auto"/>
        </w:rPr>
      </w:pPr>
    </w:p>
    <w:p>
      <w:pPr>
        <w:ind w:left="1140" w:hanging="608"/>
        <w:spacing w:after="0"/>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69" w:lineRule="exact"/>
        <w:rPr>
          <w:sz w:val="20"/>
          <w:szCs w:val="20"/>
          <w:color w:val="auto"/>
        </w:rPr>
      </w:pPr>
    </w:p>
    <w:p>
      <w:pPr>
        <w:ind w:left="1140" w:hanging="644"/>
        <w:spacing w:after="0"/>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69" w:lineRule="exact"/>
        <w:rPr>
          <w:sz w:val="20"/>
          <w:szCs w:val="20"/>
          <w:color w:val="auto"/>
        </w:rPr>
      </w:pPr>
    </w:p>
    <w:p>
      <w:pPr>
        <w:ind w:left="1140" w:hanging="608"/>
        <w:spacing w:after="0"/>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Indicates a management or compensatory plan.</w:t>
      </w:r>
    </w:p>
    <w:p>
      <w:pPr>
        <w:spacing w:after="0" w:line="69" w:lineRule="exact"/>
        <w:rPr>
          <w:sz w:val="20"/>
          <w:szCs w:val="20"/>
          <w:color w:val="auto"/>
        </w:rPr>
      </w:pPr>
    </w:p>
    <w:p>
      <w:pPr>
        <w:ind w:left="1140" w:right="5360" w:hanging="608"/>
        <w:spacing w:after="0" w:line="272" w:lineRule="auto"/>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Brilliant Earth agrees to furnish supplementally a copy of any omitted schedule or exhibit to the SEC upon request.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39" w:right="111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00" w:lineRule="exact"/>
        <w:rPr>
          <w:sz w:val="20"/>
          <w:szCs w:val="20"/>
          <w:color w:val="auto"/>
        </w:rPr>
      </w:pPr>
    </w:p>
    <w:p>
      <w:pPr>
        <w:spacing w:after="0" w:line="30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Brilliant Earth Group, Inc.</w:t>
      </w:r>
    </w:p>
    <w:p>
      <w:pPr>
        <w:spacing w:after="0" w:line="31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31750</wp:posOffset>
            </wp:positionV>
            <wp:extent cx="50234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57" w:lineRule="exact"/>
        <w:rPr>
          <w:sz w:val="20"/>
          <w:szCs w:val="20"/>
          <w:color w:val="auto"/>
        </w:rPr>
      </w:pPr>
    </w:p>
    <w:tbl>
      <w:tblPr>
        <w:tblLayout w:type="fixed"/>
        <w:tblInd w:w="3320" w:type="dxa"/>
        <w:tblCellMar>
          <w:top w:w="0" w:type="dxa"/>
          <w:left w:w="0" w:type="dxa"/>
          <w:bottom w:w="0" w:type="dxa"/>
          <w:right w:w="0" w:type="dxa"/>
        </w:tblCellMar>
      </w:tblP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Name:</w:t>
            </w:r>
          </w:p>
        </w:tc>
        <w:tc>
          <w:tcPr>
            <w:tcW w:w="6760" w:type="dxa"/>
            <w:vAlign w:val="bottom"/>
          </w:tcPr>
          <w:p>
            <w:pPr>
              <w:ind w:left="60"/>
              <w:spacing w:after="0"/>
              <w:rPr>
                <w:sz w:val="20"/>
                <w:szCs w:val="20"/>
                <w:color w:val="auto"/>
              </w:rPr>
            </w:pPr>
            <w:r>
              <w:rPr>
                <w:rFonts w:ascii="Arial" w:cs="Arial" w:eastAsia="Arial" w:hAnsi="Arial"/>
                <w:sz w:val="18"/>
                <w:szCs w:val="18"/>
                <w:color w:val="auto"/>
              </w:rPr>
              <w:t>Beth Gerstein</w:t>
            </w:r>
          </w:p>
        </w:tc>
      </w:tr>
      <w:tr>
        <w:trPr>
          <w:trHeight w:val="270"/>
        </w:trPr>
        <w:tc>
          <w:tcPr>
            <w:tcW w:w="1160" w:type="dxa"/>
            <w:vAlign w:val="bottom"/>
          </w:tcPr>
          <w:p>
            <w:pPr>
              <w:ind w:left="20"/>
              <w:spacing w:after="0"/>
              <w:rPr>
                <w:sz w:val="20"/>
                <w:szCs w:val="20"/>
                <w:color w:val="auto"/>
              </w:rPr>
            </w:pPr>
            <w:r>
              <w:rPr>
                <w:rFonts w:ascii="Arial" w:cs="Arial" w:eastAsia="Arial" w:hAnsi="Arial"/>
                <w:sz w:val="18"/>
                <w:szCs w:val="18"/>
                <w:color w:val="auto"/>
              </w:rPr>
              <w:t>Title:</w:t>
            </w:r>
          </w:p>
        </w:tc>
        <w:tc>
          <w:tcPr>
            <w:tcW w:w="6760" w:type="dxa"/>
            <w:vAlign w:val="bottom"/>
          </w:tcPr>
          <w:p>
            <w:pPr>
              <w:ind w:left="60"/>
              <w:spacing w:after="0"/>
              <w:rPr>
                <w:sz w:val="20"/>
                <w:szCs w:val="20"/>
                <w:color w:val="auto"/>
              </w:rPr>
            </w:pPr>
            <w:r>
              <w:rPr>
                <w:rFonts w:ascii="Arial" w:cs="Arial" w:eastAsia="Arial" w:hAnsi="Arial"/>
                <w:sz w:val="18"/>
                <w:szCs w:val="18"/>
                <w:color w:val="auto"/>
              </w:rPr>
              <w:t>Chief Executive Officer and Director (Principal Executive Officer)</w:t>
            </w:r>
          </w:p>
        </w:tc>
      </w:tr>
      <w:tr>
        <w:trPr>
          <w:trHeight w:val="540"/>
        </w:trPr>
        <w:tc>
          <w:tcPr>
            <w:tcW w:w="1160" w:type="dxa"/>
            <w:vAlign w:val="bottom"/>
          </w:tcPr>
          <w:p>
            <w:pPr>
              <w:ind w:left="20"/>
              <w:spacing w:after="0"/>
              <w:rPr>
                <w:sz w:val="20"/>
                <w:szCs w:val="20"/>
                <w:color w:val="auto"/>
              </w:rPr>
            </w:pPr>
            <w:r>
              <w:rPr>
                <w:rFonts w:ascii="Arial" w:cs="Arial" w:eastAsia="Arial" w:hAnsi="Arial"/>
                <w:sz w:val="18"/>
                <w:szCs w:val="18"/>
                <w:color w:val="auto"/>
                <w:w w:val="97"/>
              </w:rPr>
              <w:t>/s/ Jeffrey Kuo</w:t>
            </w:r>
          </w:p>
        </w:tc>
        <w:tc>
          <w:tcPr>
            <w:tcW w:w="6760" w:type="dxa"/>
            <w:vAlign w:val="bottom"/>
          </w:tcPr>
          <w:p>
            <w:pPr>
              <w:spacing w:after="0"/>
              <w:rPr>
                <w:sz w:val="24"/>
                <w:szCs w:val="24"/>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ind w:left="20"/>
              <w:spacing w:after="0"/>
              <w:rPr>
                <w:sz w:val="20"/>
                <w:szCs w:val="20"/>
                <w:color w:val="auto"/>
              </w:rPr>
            </w:pPr>
            <w:r>
              <w:rPr>
                <w:rFonts w:ascii="Arial" w:cs="Arial" w:eastAsia="Arial" w:hAnsi="Arial"/>
                <w:sz w:val="18"/>
                <w:szCs w:val="18"/>
                <w:color w:val="auto"/>
              </w:rPr>
              <w:t>Name:</w:t>
            </w:r>
          </w:p>
        </w:tc>
        <w:tc>
          <w:tcPr>
            <w:tcW w:w="6760" w:type="dxa"/>
            <w:vAlign w:val="bottom"/>
          </w:tcPr>
          <w:p>
            <w:pPr>
              <w:ind w:left="60"/>
              <w:spacing w:after="0"/>
              <w:rPr>
                <w:sz w:val="20"/>
                <w:szCs w:val="20"/>
                <w:color w:val="auto"/>
              </w:rPr>
            </w:pPr>
            <w:r>
              <w:rPr>
                <w:rFonts w:ascii="Arial" w:cs="Arial" w:eastAsia="Arial" w:hAnsi="Arial"/>
                <w:sz w:val="18"/>
                <w:szCs w:val="18"/>
                <w:color w:val="auto"/>
              </w:rPr>
              <w:t>Jeffrey Kuo</w:t>
            </w:r>
          </w:p>
        </w:tc>
      </w:tr>
      <w:tr>
        <w:trPr>
          <w:trHeight w:val="270"/>
        </w:trPr>
        <w:tc>
          <w:tcPr>
            <w:tcW w:w="1160" w:type="dxa"/>
            <w:vAlign w:val="bottom"/>
          </w:tcPr>
          <w:p>
            <w:pPr>
              <w:ind w:left="20"/>
              <w:spacing w:after="0"/>
              <w:rPr>
                <w:sz w:val="20"/>
                <w:szCs w:val="20"/>
                <w:color w:val="auto"/>
              </w:rPr>
            </w:pPr>
            <w:r>
              <w:rPr>
                <w:rFonts w:ascii="Arial" w:cs="Arial" w:eastAsia="Arial" w:hAnsi="Arial"/>
                <w:sz w:val="18"/>
                <w:szCs w:val="18"/>
                <w:color w:val="auto"/>
              </w:rPr>
              <w:t>Title:</w:t>
            </w:r>
          </w:p>
        </w:tc>
        <w:tc>
          <w:tcPr>
            <w:tcW w:w="6760" w:type="dxa"/>
            <w:vAlign w:val="bottom"/>
          </w:tcPr>
          <w:p>
            <w:pPr>
              <w:ind w:left="6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580" w:type="dxa"/>
            <w:vAlign w:val="bottom"/>
          </w:tcPr>
          <w:p>
            <w:pPr>
              <w:ind w:left="156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3960" w:type="dxa"/>
            <w:vAlign w:val="bottom"/>
            <w:gridSpan w:val="2"/>
          </w:tcPr>
          <w:p>
            <w:pPr>
              <w:ind w:left="1620"/>
              <w:spacing w:after="0"/>
              <w:rPr>
                <w:sz w:val="20"/>
                <w:szCs w:val="20"/>
                <w:color w:val="auto"/>
              </w:rPr>
            </w:pPr>
            <w:r>
              <w:rPr>
                <w:rFonts w:ascii="Arial" w:cs="Arial" w:eastAsia="Arial" w:hAnsi="Arial"/>
                <w:sz w:val="18"/>
                <w:szCs w:val="18"/>
                <w:b w:val="1"/>
                <w:bCs w:val="1"/>
                <w:color w:val="auto"/>
              </w:rPr>
              <w:t>Position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 Beth Gerstein</w:t>
            </w:r>
          </w:p>
        </w:tc>
        <w:tc>
          <w:tcPr>
            <w:tcW w:w="8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Beth Gerstein</w:t>
            </w:r>
          </w:p>
        </w:tc>
        <w:tc>
          <w:tcPr>
            <w:tcW w:w="8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400" w:type="dxa"/>
            <w:vAlign w:val="bottom"/>
          </w:tcPr>
          <w:p>
            <w:pPr>
              <w:spacing w:after="0"/>
              <w:rPr>
                <w:sz w:val="20"/>
                <w:szCs w:val="20"/>
                <w:color w:val="auto"/>
              </w:rPr>
            </w:pPr>
          </w:p>
        </w:tc>
      </w:tr>
      <w:tr>
        <w:trPr>
          <w:trHeight w:val="540"/>
        </w:trPr>
        <w:tc>
          <w:tcPr>
            <w:tcW w:w="3580" w:type="dxa"/>
            <w:vAlign w:val="bottom"/>
          </w:tcPr>
          <w:p>
            <w:pPr>
              <w:ind w:left="20"/>
              <w:spacing w:after="0"/>
              <w:rPr>
                <w:sz w:val="20"/>
                <w:szCs w:val="20"/>
                <w:color w:val="auto"/>
              </w:rPr>
            </w:pPr>
            <w:r>
              <w:rPr>
                <w:rFonts w:ascii="Arial" w:cs="Arial" w:eastAsia="Arial" w:hAnsi="Arial"/>
                <w:sz w:val="18"/>
                <w:szCs w:val="18"/>
                <w:color w:val="auto"/>
              </w:rPr>
              <w:t>/s/ Jeffrey Kuo</w:t>
            </w:r>
          </w:p>
        </w:tc>
        <w:tc>
          <w:tcPr>
            <w:tcW w:w="80" w:type="dxa"/>
            <w:vAlign w:val="bottom"/>
          </w:tcPr>
          <w:p>
            <w:pPr>
              <w:spacing w:after="0"/>
              <w:rPr>
                <w:sz w:val="24"/>
                <w:szCs w:val="24"/>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Jeffrey Kuo</w:t>
            </w:r>
          </w:p>
        </w:tc>
        <w:tc>
          <w:tcPr>
            <w:tcW w:w="8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2400" w:type="dxa"/>
            <w:vAlign w:val="bottom"/>
          </w:tcPr>
          <w:p>
            <w:pPr>
              <w:spacing w:after="0"/>
              <w:rPr>
                <w:sz w:val="20"/>
                <w:szCs w:val="20"/>
                <w:color w:val="auto"/>
              </w:rPr>
            </w:pPr>
          </w:p>
        </w:tc>
      </w:tr>
      <w:tr>
        <w:trPr>
          <w:trHeight w:val="540"/>
        </w:trPr>
        <w:tc>
          <w:tcPr>
            <w:tcW w:w="3580" w:type="dxa"/>
            <w:vAlign w:val="bottom"/>
          </w:tcPr>
          <w:p>
            <w:pPr>
              <w:ind w:left="20"/>
              <w:spacing w:after="0"/>
              <w:rPr>
                <w:sz w:val="20"/>
                <w:szCs w:val="20"/>
                <w:color w:val="auto"/>
              </w:rPr>
            </w:pPr>
            <w:r>
              <w:rPr>
                <w:rFonts w:ascii="Arial" w:cs="Arial" w:eastAsia="Arial" w:hAnsi="Arial"/>
                <w:sz w:val="18"/>
                <w:szCs w:val="18"/>
                <w:color w:val="auto"/>
              </w:rPr>
              <w:t>/s/ Eric Grossberg</w:t>
            </w:r>
          </w:p>
        </w:tc>
        <w:tc>
          <w:tcPr>
            <w:tcW w:w="80" w:type="dxa"/>
            <w:vAlign w:val="bottom"/>
          </w:tcPr>
          <w:p>
            <w:pPr>
              <w:spacing w:after="0"/>
              <w:rPr>
                <w:sz w:val="24"/>
                <w:szCs w:val="24"/>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Executive Chairman</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Eric Grossberg</w:t>
            </w: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40"/>
        </w:trPr>
        <w:tc>
          <w:tcPr>
            <w:tcW w:w="3580" w:type="dxa"/>
            <w:vAlign w:val="bottom"/>
          </w:tcPr>
          <w:p>
            <w:pPr>
              <w:ind w:left="20"/>
              <w:spacing w:after="0"/>
              <w:rPr>
                <w:sz w:val="20"/>
                <w:szCs w:val="20"/>
                <w:color w:val="auto"/>
              </w:rPr>
            </w:pPr>
            <w:r>
              <w:rPr>
                <w:rFonts w:ascii="Arial" w:cs="Arial" w:eastAsia="Arial" w:hAnsi="Arial"/>
                <w:sz w:val="18"/>
                <w:szCs w:val="18"/>
                <w:color w:val="auto"/>
              </w:rPr>
              <w:t>/s/ Ian M. Bickley</w:t>
            </w:r>
          </w:p>
        </w:tc>
        <w:tc>
          <w:tcPr>
            <w:tcW w:w="80" w:type="dxa"/>
            <w:vAlign w:val="bottom"/>
          </w:tcPr>
          <w:p>
            <w:pPr>
              <w:spacing w:after="0"/>
              <w:rPr>
                <w:sz w:val="24"/>
                <w:szCs w:val="24"/>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Ian M. Bickley</w:t>
            </w: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40"/>
        </w:trPr>
        <w:tc>
          <w:tcPr>
            <w:tcW w:w="3580" w:type="dxa"/>
            <w:vAlign w:val="bottom"/>
          </w:tcPr>
          <w:p>
            <w:pPr>
              <w:ind w:left="20"/>
              <w:spacing w:after="0"/>
              <w:rPr>
                <w:sz w:val="20"/>
                <w:szCs w:val="20"/>
                <w:color w:val="auto"/>
              </w:rPr>
            </w:pPr>
            <w:r>
              <w:rPr>
                <w:rFonts w:ascii="Arial" w:cs="Arial" w:eastAsia="Arial" w:hAnsi="Arial"/>
                <w:sz w:val="18"/>
                <w:szCs w:val="18"/>
                <w:color w:val="auto"/>
              </w:rPr>
              <w:t>/s/ Jennifer N. Harris</w:t>
            </w:r>
          </w:p>
        </w:tc>
        <w:tc>
          <w:tcPr>
            <w:tcW w:w="80" w:type="dxa"/>
            <w:vAlign w:val="bottom"/>
          </w:tcPr>
          <w:p>
            <w:pPr>
              <w:spacing w:after="0"/>
              <w:rPr>
                <w:sz w:val="24"/>
                <w:szCs w:val="24"/>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Jennifer N. Harris</w:t>
            </w: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40"/>
        </w:trPr>
        <w:tc>
          <w:tcPr>
            <w:tcW w:w="3580" w:type="dxa"/>
            <w:vAlign w:val="bottom"/>
          </w:tcPr>
          <w:p>
            <w:pPr>
              <w:ind w:left="20"/>
              <w:spacing w:after="0"/>
              <w:rPr>
                <w:sz w:val="20"/>
                <w:szCs w:val="20"/>
                <w:color w:val="auto"/>
              </w:rPr>
            </w:pPr>
            <w:r>
              <w:rPr>
                <w:rFonts w:ascii="Arial" w:cs="Arial" w:eastAsia="Arial" w:hAnsi="Arial"/>
                <w:sz w:val="18"/>
                <w:szCs w:val="18"/>
                <w:color w:val="auto"/>
              </w:rPr>
              <w:t>/s/ Attica A. Jaques</w:t>
            </w:r>
          </w:p>
        </w:tc>
        <w:tc>
          <w:tcPr>
            <w:tcW w:w="80" w:type="dxa"/>
            <w:vAlign w:val="bottom"/>
          </w:tcPr>
          <w:p>
            <w:pPr>
              <w:spacing w:after="0"/>
              <w:rPr>
                <w:sz w:val="24"/>
                <w:szCs w:val="24"/>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Attica A. Jaques</w:t>
            </w: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40"/>
        </w:trPr>
        <w:tc>
          <w:tcPr>
            <w:tcW w:w="3580" w:type="dxa"/>
            <w:vAlign w:val="bottom"/>
          </w:tcPr>
          <w:p>
            <w:pPr>
              <w:ind w:left="20"/>
              <w:spacing w:after="0"/>
              <w:rPr>
                <w:sz w:val="20"/>
                <w:szCs w:val="20"/>
                <w:color w:val="auto"/>
              </w:rPr>
            </w:pPr>
            <w:r>
              <w:rPr>
                <w:rFonts w:ascii="Arial" w:cs="Arial" w:eastAsia="Arial" w:hAnsi="Arial"/>
                <w:sz w:val="18"/>
                <w:szCs w:val="18"/>
                <w:color w:val="auto"/>
              </w:rPr>
              <w:t>/s/ Beth E. Kaplan</w:t>
            </w:r>
          </w:p>
        </w:tc>
        <w:tc>
          <w:tcPr>
            <w:tcW w:w="80" w:type="dxa"/>
            <w:vAlign w:val="bottom"/>
          </w:tcPr>
          <w:p>
            <w:pPr>
              <w:spacing w:after="0"/>
              <w:rPr>
                <w:sz w:val="24"/>
                <w:szCs w:val="24"/>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Beth E. Kaplan</w:t>
            </w: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40"/>
        </w:trPr>
        <w:tc>
          <w:tcPr>
            <w:tcW w:w="3580" w:type="dxa"/>
            <w:vAlign w:val="bottom"/>
          </w:tcPr>
          <w:p>
            <w:pPr>
              <w:ind w:left="20"/>
              <w:spacing w:after="0"/>
              <w:rPr>
                <w:sz w:val="20"/>
                <w:szCs w:val="20"/>
                <w:color w:val="auto"/>
              </w:rPr>
            </w:pPr>
            <w:r>
              <w:rPr>
                <w:rFonts w:ascii="Arial" w:cs="Arial" w:eastAsia="Arial" w:hAnsi="Arial"/>
                <w:sz w:val="18"/>
                <w:szCs w:val="18"/>
                <w:color w:val="auto"/>
              </w:rPr>
              <w:t>/s/ Gavin M. Turner</w:t>
            </w:r>
          </w:p>
        </w:tc>
        <w:tc>
          <w:tcPr>
            <w:tcW w:w="80" w:type="dxa"/>
            <w:vAlign w:val="bottom"/>
          </w:tcPr>
          <w:p>
            <w:pPr>
              <w:spacing w:after="0"/>
              <w:rPr>
                <w:sz w:val="24"/>
                <w:szCs w:val="24"/>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March 22, 2022</w:t>
            </w:r>
          </w:p>
        </w:tc>
      </w:tr>
      <w:tr>
        <w:trPr>
          <w:trHeight w:val="27"/>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Gavin M. Turner</w:t>
            </w: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640"/>
          </w:cols>
          <w:pgMar w:left="320" w:top="139" w:right="939" w:bottom="1440" w:gutter="0" w:footer="0" w:header="0"/>
        </w:sectPr>
      </w:pPr>
    </w:p>
    <w:bookmarkStart w:id="131" w:name="page132"/>
    <w:bookmarkEnd w:id="131"/>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w:t>
      </w:r>
    </w:p>
    <w:p>
      <w:pPr>
        <w:spacing w:after="0" w:line="202" w:lineRule="exact"/>
        <w:rPr>
          <w:sz w:val="20"/>
          <w:szCs w:val="20"/>
          <w:color w:val="auto"/>
        </w:rPr>
      </w:pPr>
    </w:p>
    <w:p>
      <w:pPr>
        <w:ind w:right="180" w:firstLine="648"/>
        <w:spacing w:after="0" w:line="232" w:lineRule="auto"/>
        <w:rPr>
          <w:sz w:val="20"/>
          <w:szCs w:val="20"/>
          <w:color w:val="auto"/>
        </w:rPr>
      </w:pPr>
      <w:r>
        <w:rPr>
          <w:rFonts w:ascii="Arial" w:cs="Arial" w:eastAsia="Arial" w:hAnsi="Arial"/>
          <w:sz w:val="21"/>
          <w:szCs w:val="21"/>
          <w:color w:val="auto"/>
        </w:rPr>
        <w:t>The following description of the capital stock of Brilliant Earth Group, Inc. (the “Company,” “we,” “us,” and “our”) and certain provisions of our amended and restated certificate of incorporation (our “certificate”) and amended and restated bylaws (our “bylaws”) are summaries and are qualified in their entirety by reference to the full text of our certificate and bylaws and applicable provisions of the General Corporation Law of the State of Delaware (the “DGCL”).</w:t>
      </w:r>
    </w:p>
    <w:p>
      <w:pPr>
        <w:ind w:left="660"/>
        <w:spacing w:after="0" w:line="217" w:lineRule="auto"/>
        <w:rPr>
          <w:sz w:val="20"/>
          <w:szCs w:val="20"/>
          <w:color w:val="auto"/>
        </w:rPr>
      </w:pPr>
      <w:r>
        <w:rPr>
          <w:rFonts w:ascii="Arial" w:cs="Arial" w:eastAsia="Arial" w:hAnsi="Arial"/>
          <w:sz w:val="22"/>
          <w:szCs w:val="22"/>
          <w:color w:val="auto"/>
        </w:rPr>
        <w:t>Our certificate authorizes capital stock consisting of:</w:t>
      </w:r>
    </w:p>
    <w:p>
      <w:pPr>
        <w:ind w:left="640" w:hanging="308"/>
        <w:spacing w:after="0" w:line="220" w:lineRule="auto"/>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1,200,000,000 shares of Class A common stock, par value $0.0001 per share;</w:t>
      </w:r>
    </w:p>
    <w:p>
      <w:pPr>
        <w:ind w:left="640" w:hanging="308"/>
        <w:spacing w:after="0" w:line="217" w:lineRule="auto"/>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150,000,000 shares of Class B common stock, par value $0.0001 per share;</w:t>
      </w:r>
    </w:p>
    <w:p>
      <w:pPr>
        <w:ind w:left="640" w:hanging="308"/>
        <w:spacing w:after="0" w:line="217" w:lineRule="auto"/>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150,000,000 shares of Class C common stock, par value $0.0001 per share;</w:t>
      </w:r>
    </w:p>
    <w:p>
      <w:pPr>
        <w:ind w:left="640" w:hanging="308"/>
        <w:spacing w:after="0" w:line="217" w:lineRule="auto"/>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150,000,000 shares of Class D common stock, par value $0.0001 per share; and</w:t>
      </w:r>
    </w:p>
    <w:p>
      <w:pPr>
        <w:ind w:left="640" w:hanging="308"/>
        <w:spacing w:after="0"/>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10,000,000 shares of preferred stock, par value $0.0001 per share.</w:t>
      </w:r>
    </w:p>
    <w:p>
      <w:pPr>
        <w:spacing w:after="0" w:line="19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Common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Class A Common Stock</w:t>
      </w:r>
    </w:p>
    <w:p>
      <w:pPr>
        <w:ind w:right="660" w:firstLine="648"/>
        <w:spacing w:after="0" w:line="217" w:lineRule="auto"/>
        <w:rPr>
          <w:sz w:val="20"/>
          <w:szCs w:val="20"/>
          <w:color w:val="auto"/>
        </w:rPr>
      </w:pPr>
      <w:r>
        <w:rPr>
          <w:rFonts w:ascii="Arial" w:cs="Arial" w:eastAsia="Arial" w:hAnsi="Arial"/>
          <w:sz w:val="22"/>
          <w:szCs w:val="22"/>
          <w:color w:val="auto"/>
        </w:rPr>
        <w:t>Holders of shares of our Class A common stock are entitled to one vote for each share held of record on all matters submitted to a vote of stockholders.</w:t>
      </w:r>
    </w:p>
    <w:p>
      <w:pPr>
        <w:spacing w:after="0" w:line="2" w:lineRule="exact"/>
        <w:rPr>
          <w:sz w:val="20"/>
          <w:szCs w:val="20"/>
          <w:color w:val="auto"/>
        </w:rPr>
      </w:pPr>
    </w:p>
    <w:p>
      <w:pPr>
        <w:jc w:val="both"/>
        <w:ind w:right="40" w:firstLine="648"/>
        <w:spacing w:after="0" w:line="217" w:lineRule="auto"/>
        <w:rPr>
          <w:sz w:val="20"/>
          <w:szCs w:val="20"/>
          <w:color w:val="auto"/>
        </w:rPr>
      </w:pPr>
      <w:r>
        <w:rPr>
          <w:rFonts w:ascii="Arial" w:cs="Arial" w:eastAsia="Arial" w:hAnsi="Arial"/>
          <w:sz w:val="22"/>
          <w:szCs w:val="22"/>
          <w:color w:val="auto"/>
        </w:rPr>
        <w:t>Holders of shares of our Class A common stock are entitled to receive, on a pro rata basis with shares of Class D common stock,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3" w:lineRule="exact"/>
        <w:rPr>
          <w:sz w:val="20"/>
          <w:szCs w:val="20"/>
          <w:color w:val="auto"/>
        </w:rPr>
      </w:pPr>
    </w:p>
    <w:p>
      <w:pPr>
        <w:ind w:right="60" w:firstLine="648"/>
        <w:spacing w:after="0" w:line="217" w:lineRule="auto"/>
        <w:rPr>
          <w:sz w:val="20"/>
          <w:szCs w:val="20"/>
          <w:color w:val="auto"/>
        </w:rPr>
      </w:pPr>
      <w:r>
        <w:rPr>
          <w:rFonts w:ascii="Arial" w:cs="Arial" w:eastAsia="Arial" w:hAnsi="Arial"/>
          <w:sz w:val="22"/>
          <w:szCs w:val="22"/>
          <w:color w:val="auto"/>
        </w:rPr>
        <w:t>Upon our dissolution or liquidation, after payment in full of all amounts required to be paid to creditors and to the holders of preferred stock having liquidation preferences, if any, the holders of shares of our Class A common stock and Class D common stock will be entitled to receive pro rata our remaining assets available for distribution.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Holders of shares of our Class A common stock do not have preemptive, subscription, redemption or conversion rights.</w:t>
      </w:r>
    </w:p>
    <w:p>
      <w:pPr>
        <w:spacing w:after="0" w:line="228" w:lineRule="auto"/>
        <w:rPr>
          <w:sz w:val="20"/>
          <w:szCs w:val="20"/>
          <w:color w:val="auto"/>
        </w:rPr>
      </w:pPr>
      <w:r>
        <w:rPr>
          <w:rFonts w:ascii="Arial" w:cs="Arial" w:eastAsia="Arial" w:hAnsi="Arial"/>
          <w:sz w:val="22"/>
          <w:szCs w:val="22"/>
          <w:color w:val="auto"/>
        </w:rPr>
        <w:t>There are no redemption or sinking fund provisions applicable to the Class A common stock.</w:t>
      </w:r>
    </w:p>
    <w:p>
      <w:pPr>
        <w:ind w:right="40" w:firstLine="648"/>
        <w:spacing w:after="0" w:line="231" w:lineRule="auto"/>
        <w:rPr>
          <w:sz w:val="20"/>
          <w:szCs w:val="20"/>
          <w:color w:val="auto"/>
        </w:rPr>
      </w:pPr>
      <w:r>
        <w:rPr>
          <w:rFonts w:ascii="Arial" w:cs="Arial" w:eastAsia="Arial" w:hAnsi="Arial"/>
          <w:sz w:val="21"/>
          <w:szCs w:val="21"/>
          <w:color w:val="auto"/>
        </w:rPr>
        <w:t>Holders of shares of our Class A common stock vote together with holders of our Class B common stock, Class C common stock, and Class D common stock as a single class on all matters presented to our stockholders for their vote or approval, except for certain amendments to our certificate or as otherwise required by applicable law or the certificate. Any amendment to the certificate that gives holders of the Class B Common Stock or Class C Common Stock (i) any rights to receive dividends (subject to certain exceptions) or any other kind of distribution, (ii) any right to convert into or be exchanged for shares of Class A Common Stock, or (iii) any other economic rights shall, in addition to the vote of the holders of shares of any class or series of capital stock of the Corporation required by law, also require the affirmative vote of the holders of a majority of the outstanding shares of Class A Common Stock voting separately as a class</w:t>
      </w:r>
    </w:p>
    <w:p>
      <w:pPr>
        <w:sectPr>
          <w:pgSz w:w="11900" w:h="16838" w:orient="portrait"/>
          <w:cols w:equalWidth="0" w:num="1">
            <w:col w:w="11240"/>
          </w:cols>
          <w:pgMar w:left="320" w:top="1440" w:right="339" w:bottom="1440" w:gutter="0" w:footer="0" w:header="0"/>
        </w:sectPr>
      </w:pPr>
    </w:p>
    <w:bookmarkStart w:id="132" w:name="page133"/>
    <w:bookmarkEnd w:id="132"/>
    <w:p>
      <w:pPr>
        <w:ind w:right="240"/>
        <w:spacing w:after="0" w:line="239" w:lineRule="auto"/>
        <w:rPr>
          <w:sz w:val="20"/>
          <w:szCs w:val="20"/>
          <w:color w:val="auto"/>
        </w:rPr>
      </w:pPr>
      <w:r>
        <w:rPr>
          <w:rFonts w:ascii="Arial" w:cs="Arial" w:eastAsia="Arial" w:hAnsi="Arial"/>
          <w:sz w:val="22"/>
          <w:szCs w:val="22"/>
          <w:color w:val="auto"/>
        </w:rPr>
        <w:t>and the affirmative vote of the holders of a majority of the outstanding shares of Class D Common Stock voting separately as a class.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Class B Common Stock</w:t>
      </w:r>
    </w:p>
    <w:p>
      <w:pPr>
        <w:ind w:right="860" w:firstLine="648"/>
        <w:spacing w:after="0" w:line="217" w:lineRule="auto"/>
        <w:rPr>
          <w:sz w:val="20"/>
          <w:szCs w:val="20"/>
          <w:color w:val="auto"/>
        </w:rPr>
      </w:pPr>
      <w:r>
        <w:rPr>
          <w:rFonts w:ascii="Arial" w:cs="Arial" w:eastAsia="Arial" w:hAnsi="Arial"/>
          <w:sz w:val="22"/>
          <w:szCs w:val="22"/>
          <w:color w:val="auto"/>
        </w:rPr>
        <w:t>Each share of our Class B common stock entitles its holders to one vote per share on all matters presented to our stockholders generally.</w:t>
      </w:r>
    </w:p>
    <w:p>
      <w:pPr>
        <w:spacing w:after="0" w:line="2"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Shares of Class B common stock may be issued only to the extent necessary to maintain a one-to-one ratio between the number of common units of Brilliant Earth, LLC (the “LLC Interests”) held by the Continuing Equity Owners (as defined below) (other than the Founders (as defined below), except in certain circumstances) and the number of shares of Class B common stock issued to the Continuing Equity Owners (other than the Founders, except in certain circumstances). Shares of Class B common stock are transferable only together with an equal number of LLC Interests. Only permitted transferees of LLC Interests held by the Continuing Equity Owners will be permitted transferees of Class B common stock. The outstanding shares of Class B common stock are convertible at the option of the holder into shares of Class A common stock on a one-for-one basis. Once converted into Class A common stock, Class B common stock will not be reissued. “Continuing Equity Holders” means collectively, the holders of LLC Interests and our Class B common stock and Class C common stock, any successor entities thereto, as set forth on Schedule A of our certificate. Their respective successors and assigns as well as their respective transferees. “Founders” refers to Beth Gerstein, our Co-Founder and Chief Executive Officer, Eric Grossberg, our Co-Founder and Executive Chairman, and Just Rocks Inc., a Delaware corporation.</w:t>
      </w:r>
    </w:p>
    <w:p>
      <w:pPr>
        <w:spacing w:after="0" w:line="1" w:lineRule="exact"/>
        <w:rPr>
          <w:sz w:val="20"/>
          <w:szCs w:val="20"/>
          <w:color w:val="auto"/>
        </w:rPr>
      </w:pPr>
    </w:p>
    <w:p>
      <w:pPr>
        <w:ind w:right="480" w:firstLine="648"/>
        <w:spacing w:after="0" w:line="217" w:lineRule="auto"/>
        <w:rPr>
          <w:sz w:val="20"/>
          <w:szCs w:val="20"/>
          <w:color w:val="auto"/>
        </w:rPr>
      </w:pPr>
      <w:r>
        <w:rPr>
          <w:rFonts w:ascii="Arial" w:cs="Arial" w:eastAsia="Arial" w:hAnsi="Arial"/>
          <w:sz w:val="22"/>
          <w:szCs w:val="22"/>
          <w:color w:val="auto"/>
        </w:rPr>
        <w:t>Holders of shares of our Class B common stock vote together with holders of our Class A common stock, Class C common stock, and Class D common stock as a single class on all matters presented to our stockholders for their vote or approval, except for certain amendments to our certificate described below or as otherwise required by applicable law or the certificate.</w:t>
      </w:r>
    </w:p>
    <w:p>
      <w:pPr>
        <w:spacing w:after="0" w:line="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Holders of our Class B common stock do not have any right to receive dividends or to receive a distribution upon dissolution or liquidation. Additionally, holders of shares of our Class B common stock do not have preemptive, subscription or redemption rights. There are no redemption or sinking fund provisions applicable to the Class B common stock. Upon the exchange of an LLC Interest (together with a share of Class B common stock), the shares of Class B common stock will be automatically canceled with no consideration and no longer outstanding. Any amendment of our certificate that gives holders of our Class B common stock (1) any rights to receive dividends or any other kind of distribution or (2) any other economic rights will require, in addition to stockholder approval required by law, the affirmative vote of holders of a majority of the outstanding shares of our Class A common stock voting separately as a class and the affirmative vote of the holders of a majority of the outstanding shares of Class D common stock voting separately as a class.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Class C Common Stock</w:t>
      </w:r>
    </w:p>
    <w:p>
      <w:pPr>
        <w:ind w:right="820" w:firstLine="648"/>
        <w:spacing w:after="0" w:line="217" w:lineRule="auto"/>
        <w:rPr>
          <w:sz w:val="20"/>
          <w:szCs w:val="20"/>
          <w:color w:val="auto"/>
        </w:rPr>
      </w:pPr>
      <w:r>
        <w:rPr>
          <w:rFonts w:ascii="Arial" w:cs="Arial" w:eastAsia="Arial" w:hAnsi="Arial"/>
          <w:sz w:val="22"/>
          <w:szCs w:val="22"/>
          <w:color w:val="auto"/>
        </w:rPr>
        <w:t>Each share of our Class C common stock entitles its holders to ten votes per share on all matters presented to our stockholders generally.</w:t>
      </w:r>
    </w:p>
    <w:p>
      <w:pPr>
        <w:spacing w:after="0" w:line="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Shares of Class C common stock may be held by our Founders and may be issued only to the extent necessary to maintain a one-to-one ratio between the number of LLC Interests held by our Founders and the number of shares of Class C common stock issued to our Founders. Shares of Class C common stock are transferable only together with an equal number of LLC Interests. Only permitted transferees of LLC Interests held by our Founders are permitted transferees of</w:t>
      </w:r>
    </w:p>
    <w:p>
      <w:pPr>
        <w:sectPr>
          <w:pgSz w:w="11900" w:h="16838" w:orient="portrait"/>
          <w:cols w:equalWidth="0" w:num="1">
            <w:col w:w="11220"/>
          </w:cols>
          <w:pgMar w:left="320" w:top="1414" w:right="359" w:bottom="1440" w:gutter="0" w:footer="0" w:header="0"/>
        </w:sectPr>
      </w:pPr>
    </w:p>
    <w:bookmarkStart w:id="133" w:name="page134"/>
    <w:bookmarkEnd w:id="133"/>
    <w:p>
      <w:pPr>
        <w:ind w:right="140"/>
        <w:spacing w:after="0" w:line="220" w:lineRule="auto"/>
        <w:rPr>
          <w:sz w:val="20"/>
          <w:szCs w:val="20"/>
          <w:color w:val="auto"/>
        </w:rPr>
      </w:pPr>
      <w:r>
        <w:rPr>
          <w:rFonts w:ascii="Arial" w:cs="Arial" w:eastAsia="Arial" w:hAnsi="Arial"/>
          <w:sz w:val="22"/>
          <w:szCs w:val="22"/>
          <w:color w:val="auto"/>
        </w:rPr>
        <w:t>Class C common stock. Upon the exchange of an LLC Interest (together with a share of Class C common stock) for Class D common stock, the shares of Class C common stock will be automatically canceled with no consideration and no longer outstanding. Each share of Class C common stock will also automatically convert into one share of Class B common stock upon the earlier of (1) the 10-year anniversary of the date of the closing of our initial public offering and (2) the date on which the Founders cease to hold at least 8% of the aggregate number of shares of all classes of common stock then outstanding, assuming exchange of all LLC Interests. Once converted into Class B common stock or Class D common stock, Class C common stock will not be reissued.</w:t>
      </w:r>
    </w:p>
    <w:p>
      <w:pPr>
        <w:spacing w:after="0" w:line="1" w:lineRule="exact"/>
        <w:rPr>
          <w:sz w:val="20"/>
          <w:szCs w:val="20"/>
          <w:color w:val="auto"/>
        </w:rPr>
      </w:pPr>
    </w:p>
    <w:p>
      <w:pPr>
        <w:ind w:right="500" w:firstLine="648"/>
        <w:spacing w:after="0" w:line="217" w:lineRule="auto"/>
        <w:rPr>
          <w:sz w:val="20"/>
          <w:szCs w:val="20"/>
          <w:color w:val="auto"/>
        </w:rPr>
      </w:pPr>
      <w:r>
        <w:rPr>
          <w:rFonts w:ascii="Arial" w:cs="Arial" w:eastAsia="Arial" w:hAnsi="Arial"/>
          <w:sz w:val="22"/>
          <w:szCs w:val="22"/>
          <w:color w:val="auto"/>
        </w:rPr>
        <w:t>Holders of shares of our Class C common stock vote together with holders of our Class A common stock, Class B common stock, and Class D common stock as a single class on all matters presented to our stockholders for their vote or approval, except for certain amendments to our certificate described below or as otherwise required by applicable law or the certificate.</w:t>
      </w:r>
    </w:p>
    <w:p>
      <w:pPr>
        <w:spacing w:after="0" w:line="3"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Holders of shares of our Class C common stock do not have any right to receive dividends or to receive a distribution upon dissolution or liquidation. Additionally, holders of shares of our Class C common stock do not have preemptive, subscription or redemption rights. There are no redemption or sinking fund provisions applicable to the Class C common stock. Upon the exchange of an LLC Interest (together with a share of Class C common stock), the shares of Class C common stock will be automatically canceled with no consideration and no longer outstanding. Any amendment of our certificate that gives holders of our Class C common stock (1) any rights to receive dividends or any other kind of distribution or (2) any other economic rights will require, in addition to stockholder approval required by law, the affirmative vote of holders of a majority of the outstanding shares of our Class A common stock voting separately as a class and the affirmative vote of the holders of a majority of the outstanding shares of Class D common stock voting separately as a class.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Class D Common Stock</w:t>
      </w:r>
    </w:p>
    <w:p>
      <w:pPr>
        <w:ind w:right="120" w:firstLine="648"/>
        <w:spacing w:after="0" w:line="217" w:lineRule="auto"/>
        <w:rPr>
          <w:sz w:val="20"/>
          <w:szCs w:val="20"/>
          <w:color w:val="auto"/>
        </w:rPr>
      </w:pPr>
      <w:r>
        <w:rPr>
          <w:rFonts w:ascii="Arial" w:cs="Arial" w:eastAsia="Arial" w:hAnsi="Arial"/>
          <w:sz w:val="22"/>
          <w:szCs w:val="22"/>
          <w:color w:val="auto"/>
        </w:rPr>
        <w:t>Each share of our Class D common stock entitles its holders to ten votes per share on all matters presented to our stockholders generally. Shares of Class D common stock may be held by our Founders upon the exchange of an LLC Interest (together with a share of Class C common stock) for Class D common stock, along with the cancellation of the Class C common stock.</w:t>
      </w:r>
    </w:p>
    <w:p>
      <w:pPr>
        <w:spacing w:after="0" w:line="3" w:lineRule="exact"/>
        <w:rPr>
          <w:sz w:val="20"/>
          <w:szCs w:val="20"/>
          <w:color w:val="auto"/>
        </w:rPr>
      </w:pPr>
    </w:p>
    <w:p>
      <w:pPr>
        <w:jc w:val="both"/>
        <w:ind w:right="40" w:firstLine="648"/>
        <w:spacing w:after="0" w:line="217" w:lineRule="auto"/>
        <w:rPr>
          <w:sz w:val="20"/>
          <w:szCs w:val="20"/>
          <w:color w:val="auto"/>
        </w:rPr>
      </w:pPr>
      <w:r>
        <w:rPr>
          <w:rFonts w:ascii="Arial" w:cs="Arial" w:eastAsia="Arial" w:hAnsi="Arial"/>
          <w:sz w:val="22"/>
          <w:szCs w:val="22"/>
          <w:color w:val="auto"/>
        </w:rPr>
        <w:t>Holders of shares of our Class D common stock are entitled to receive, on a pro rata basis with shares of Class A common stock,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3" w:lineRule="exact"/>
        <w:rPr>
          <w:sz w:val="20"/>
          <w:szCs w:val="20"/>
          <w:color w:val="auto"/>
        </w:rPr>
      </w:pPr>
    </w:p>
    <w:p>
      <w:pPr>
        <w:ind w:right="60" w:firstLine="648"/>
        <w:spacing w:after="0" w:line="217" w:lineRule="auto"/>
        <w:rPr>
          <w:sz w:val="20"/>
          <w:szCs w:val="20"/>
          <w:color w:val="auto"/>
        </w:rPr>
      </w:pPr>
      <w:r>
        <w:rPr>
          <w:rFonts w:ascii="Arial" w:cs="Arial" w:eastAsia="Arial" w:hAnsi="Arial"/>
          <w:sz w:val="22"/>
          <w:szCs w:val="22"/>
          <w:color w:val="auto"/>
        </w:rPr>
        <w:t>Upon our dissolution or liquidation, after payment in full of all amounts required to be paid to creditors and to the holders of preferred stock having liquidation preferences, if any, the holders of shares of our Class D common stock and Class A common stock will be entitled to receive pro rata our remaining assets available for distribution.</w:t>
      </w:r>
    </w:p>
    <w:p>
      <w:pPr>
        <w:spacing w:after="0" w:line="2" w:lineRule="exact"/>
        <w:rPr>
          <w:sz w:val="20"/>
          <w:szCs w:val="20"/>
          <w:color w:val="auto"/>
        </w:rPr>
      </w:pPr>
    </w:p>
    <w:p>
      <w:pPr>
        <w:ind w:right="60" w:firstLine="648"/>
        <w:spacing w:after="0" w:line="221" w:lineRule="auto"/>
        <w:rPr>
          <w:sz w:val="20"/>
          <w:szCs w:val="20"/>
          <w:color w:val="auto"/>
        </w:rPr>
      </w:pPr>
      <w:r>
        <w:rPr>
          <w:rFonts w:ascii="Arial" w:cs="Arial" w:eastAsia="Arial" w:hAnsi="Arial"/>
          <w:sz w:val="22"/>
          <w:szCs w:val="22"/>
          <w:color w:val="auto"/>
        </w:rPr>
        <w:t>Shares of Class D common stock can only be held by our Founders or their permitted transferees. The outstanding shares of Class D common stock are convertible at the option of the holder into shares of Class A common stock on a one-for-one basis. In addition, each share of Class D common stock will convert automatically into one share of Class A common stock upon any transfer, whether or not for value, except for certain affiliate transfers described in our certificate among the Founders, and their respective affiliates. Each share of Class D common stock will also automatically convert into one share of Class A common stock upon the earlier of</w:t>
      </w:r>
    </w:p>
    <w:p>
      <w:pPr>
        <w:sectPr>
          <w:pgSz w:w="11900" w:h="16838" w:orient="portrait"/>
          <w:cols w:equalWidth="0" w:num="1">
            <w:col w:w="11240"/>
          </w:cols>
          <w:pgMar w:left="320" w:top="1414" w:right="339" w:bottom="1440" w:gutter="0" w:footer="0" w:header="0"/>
        </w:sectPr>
      </w:pPr>
    </w:p>
    <w:bookmarkStart w:id="134" w:name="page135"/>
    <w:bookmarkEnd w:id="134"/>
    <w:p>
      <w:pPr>
        <w:ind w:right="40" w:firstLine="8"/>
        <w:spacing w:after="0" w:line="234" w:lineRule="auto"/>
        <w:tabs>
          <w:tab w:leader="none" w:pos="306"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10-year anniversary of the date of the closing of our initial public offering and (2) the date on which the Founders cease to hold at least 8% of the aggregate number of shares of all classes of common stock then outstanding, assuming exchange of all LLC Interests. Once converted into Class A common stock, Class D common stock will not be reissued.</w:t>
      </w:r>
    </w:p>
    <w:p>
      <w:pPr>
        <w:ind w:right="180" w:firstLine="648"/>
        <w:spacing w:after="0" w:line="252" w:lineRule="auto"/>
        <w:rPr>
          <w:rFonts w:ascii="Arial" w:cs="Arial" w:eastAsia="Arial" w:hAnsi="Arial"/>
          <w:sz w:val="21"/>
          <w:szCs w:val="21"/>
          <w:color w:val="auto"/>
        </w:rPr>
      </w:pPr>
      <w:r>
        <w:rPr>
          <w:rFonts w:ascii="Arial" w:cs="Arial" w:eastAsia="Arial" w:hAnsi="Arial"/>
          <w:sz w:val="19"/>
          <w:szCs w:val="19"/>
          <w:color w:val="auto"/>
        </w:rPr>
        <w:t>Holders of shares of our Class D common stock do not have preemptive, subscription or redemption rights. There are no redemption or sinking fund provisions applicable to the Class A common stock or the Class D common stock.</w:t>
      </w:r>
    </w:p>
    <w:p>
      <w:pPr>
        <w:ind w:right="20" w:firstLine="648"/>
        <w:spacing w:after="0" w:line="258" w:lineRule="auto"/>
        <w:rPr>
          <w:rFonts w:ascii="Arial" w:cs="Arial" w:eastAsia="Arial" w:hAnsi="Arial"/>
          <w:sz w:val="21"/>
          <w:szCs w:val="21"/>
          <w:color w:val="auto"/>
        </w:rPr>
      </w:pPr>
      <w:r>
        <w:rPr>
          <w:rFonts w:ascii="Arial" w:cs="Arial" w:eastAsia="Arial" w:hAnsi="Arial"/>
          <w:sz w:val="19"/>
          <w:szCs w:val="19"/>
          <w:color w:val="auto"/>
        </w:rPr>
        <w:t>Holders of shares of our Class A common stock vote together with holders of our Class B common stock, Class C common stock, and Class D common stock as a single class on all matters presented to our stockholders for their vote or approval, except for certain amendments to our certificate or as otherwise required by applicable law or the certificate. Any amendment to the certificate that gives holders of the Class B common stock or Class C common stock (i) any rights to receive dividends (subject to certain exceptions) or any other kind of distribution or (ii) any other economic rights shall, in addition to the vote of the holders of shares of any class or series of capital stock of the Company required by law, also require the affirmative vote of the holders of a majority of the outstanding shares of Class A common stock voting separately as a class and the affirmative vote of the holders of a majority of the outstanding shares of Class D common stock voting separately as a class.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Preferred Stock</w:t>
      </w:r>
    </w:p>
    <w:p>
      <w:pPr>
        <w:ind w:right="960" w:firstLine="648"/>
        <w:spacing w:after="0" w:line="217" w:lineRule="auto"/>
        <w:rPr>
          <w:sz w:val="20"/>
          <w:szCs w:val="20"/>
          <w:color w:val="auto"/>
        </w:rPr>
      </w:pPr>
      <w:r>
        <w:rPr>
          <w:rFonts w:ascii="Arial" w:cs="Arial" w:eastAsia="Arial" w:hAnsi="Arial"/>
          <w:sz w:val="22"/>
          <w:szCs w:val="22"/>
          <w:color w:val="auto"/>
        </w:rPr>
        <w:t>The total of our authorized shares of preferred stock is 10,000,000 shares. We have no shares of preferred stock outstanding.</w:t>
      </w:r>
    </w:p>
    <w:p>
      <w:pPr>
        <w:spacing w:after="0" w:line="2"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Under the terms of our certificate, our board of directors is authorized to direct us to issue shares of preferred stock in one or more series without stockholder approval. Our board of directors has the discretion to determine the number and designation of such series and the powers, rights, preferences, privileges and restrictions, including voting rights, dividend rights, conversion rights, redemption privileges and liquidation preferences, of each series of preferred stock.</w:t>
      </w:r>
    </w:p>
    <w:p>
      <w:pPr>
        <w:ind w:right="200" w:firstLine="648"/>
        <w:spacing w:after="0" w:line="259" w:lineRule="auto"/>
        <w:rPr>
          <w:sz w:val="20"/>
          <w:szCs w:val="20"/>
          <w:color w:val="auto"/>
        </w:rPr>
      </w:pPr>
      <w:r>
        <w:rPr>
          <w:rFonts w:ascii="Arial" w:cs="Arial" w:eastAsia="Arial" w:hAnsi="Arial"/>
          <w:sz w:val="19"/>
          <w:szCs w:val="19"/>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Registration Rights</w:t>
      </w:r>
    </w:p>
    <w:p>
      <w:pPr>
        <w:spacing w:after="0" w:line="226" w:lineRule="exact"/>
        <w:rPr>
          <w:sz w:val="20"/>
          <w:szCs w:val="20"/>
          <w:color w:val="auto"/>
        </w:rPr>
      </w:pPr>
    </w:p>
    <w:p>
      <w:pPr>
        <w:ind w:right="140" w:firstLine="648"/>
        <w:spacing w:after="0" w:line="231" w:lineRule="auto"/>
        <w:rPr>
          <w:sz w:val="20"/>
          <w:szCs w:val="20"/>
          <w:color w:val="auto"/>
        </w:rPr>
      </w:pPr>
      <w:r>
        <w:rPr>
          <w:rFonts w:ascii="Arial" w:cs="Arial" w:eastAsia="Arial" w:hAnsi="Arial"/>
          <w:sz w:val="22"/>
          <w:szCs w:val="22"/>
          <w:color w:val="auto"/>
        </w:rPr>
        <w:t>In connection with our initial public offering, we entered into an Registration Rights Agreement with certain of the Continuing Equity Owners granting such parties specified rights to require us to register all or a portion of their shares under the Securities Act of 1933, as amended (the “Securities Act”).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Forum Selection</w:t>
      </w:r>
    </w:p>
    <w:p>
      <w:pPr>
        <w:sectPr>
          <w:pgSz w:w="11900" w:h="16838" w:orient="portrait"/>
          <w:cols w:equalWidth="0" w:num="1">
            <w:col w:w="11240"/>
          </w:cols>
          <w:pgMar w:left="320" w:top="1414" w:right="339" w:bottom="1440" w:gutter="0" w:footer="0" w:header="0"/>
        </w:sectPr>
      </w:pPr>
    </w:p>
    <w:bookmarkStart w:id="135" w:name="page136"/>
    <w:bookmarkEnd w:id="135"/>
    <w:p>
      <w:pPr>
        <w:ind w:firstLine="648"/>
        <w:spacing w:after="0" w:line="231" w:lineRule="auto"/>
        <w:rPr>
          <w:sz w:val="20"/>
          <w:szCs w:val="20"/>
          <w:color w:val="auto"/>
        </w:rPr>
      </w:pPr>
      <w:r>
        <w:rPr>
          <w:rFonts w:ascii="Arial" w:cs="Arial" w:eastAsia="Arial" w:hAnsi="Arial"/>
          <w:sz w:val="21"/>
          <w:szCs w:val="21"/>
          <w:color w:val="auto"/>
        </w:rPr>
        <w:t>Our certificate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certificate or our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this provision shall not apply to claims seeking to enforce any liability or duty created by the Securities Exchange Act of 1934, as amended. Our certificate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Dividends</w:t>
      </w:r>
    </w:p>
    <w:p>
      <w:pPr>
        <w:spacing w:after="0" w:line="226" w:lineRule="exact"/>
        <w:rPr>
          <w:sz w:val="20"/>
          <w:szCs w:val="20"/>
          <w:color w:val="auto"/>
        </w:rPr>
      </w:pPr>
    </w:p>
    <w:p>
      <w:pPr>
        <w:ind w:right="100" w:firstLine="648"/>
        <w:spacing w:after="0" w:line="262" w:lineRule="auto"/>
        <w:rPr>
          <w:sz w:val="20"/>
          <w:szCs w:val="20"/>
          <w:color w:val="auto"/>
        </w:rPr>
      </w:pPr>
      <w:r>
        <w:rPr>
          <w:rFonts w:ascii="Arial" w:cs="Arial" w:eastAsia="Arial" w:hAnsi="Arial"/>
          <w:sz w:val="19"/>
          <w:szCs w:val="19"/>
          <w:color w:val="auto"/>
        </w:rPr>
        <w:t>Declaration and payment of any dividend is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therefore, do not anticipate declaring or paying any cash dividends on our Class A common stock in the foreseeable future.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Anti-Takeover Provisions</w:t>
      </w:r>
    </w:p>
    <w:p>
      <w:pPr>
        <w:spacing w:after="0" w:line="226" w:lineRule="exact"/>
        <w:rPr>
          <w:sz w:val="20"/>
          <w:szCs w:val="20"/>
          <w:color w:val="auto"/>
        </w:rPr>
      </w:pPr>
    </w:p>
    <w:p>
      <w:pPr>
        <w:ind w:right="40" w:firstLine="648"/>
        <w:spacing w:after="0" w:line="224" w:lineRule="auto"/>
        <w:rPr>
          <w:sz w:val="20"/>
          <w:szCs w:val="20"/>
          <w:color w:val="auto"/>
        </w:rPr>
      </w:pPr>
      <w:r>
        <w:rPr>
          <w:rFonts w:ascii="Arial" w:cs="Arial" w:eastAsia="Arial" w:hAnsi="Arial"/>
          <w:sz w:val="22"/>
          <w:szCs w:val="22"/>
          <w:color w:val="auto"/>
        </w:rPr>
        <w:t>Our certificate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Authorized but Unissued Shares</w:t>
      </w:r>
    </w:p>
    <w:p>
      <w:pPr>
        <w:ind w:right="40" w:firstLine="648"/>
        <w:spacing w:after="0" w:line="234" w:lineRule="auto"/>
        <w:rPr>
          <w:sz w:val="20"/>
          <w:szCs w:val="20"/>
          <w:color w:val="auto"/>
        </w:rPr>
      </w:pPr>
      <w:r>
        <w:rPr>
          <w:rFonts w:ascii="Arial" w:cs="Arial" w:eastAsia="Arial" w:hAnsi="Arial"/>
          <w:sz w:val="21"/>
          <w:szCs w:val="21"/>
          <w:color w:val="auto"/>
        </w:rPr>
        <w:t>The authorized but unissued shares of our common stock and our preferred stock are available for future issuance without stockholder approval, subject to any limitations imposed by the Nasdaq rules. These additional shares may be used for a variety of corporate finance transactions, acquisitions and employee benefit plans and funding of redemptions of LLC Interests. The existence of authorized but unissued and unreserved common stock and preferred</w:t>
      </w:r>
    </w:p>
    <w:p>
      <w:pPr>
        <w:sectPr>
          <w:pgSz w:w="11900" w:h="16838" w:orient="portrait"/>
          <w:cols w:equalWidth="0" w:num="1">
            <w:col w:w="11220"/>
          </w:cols>
          <w:pgMar w:left="320" w:top="1414" w:right="359" w:bottom="1440" w:gutter="0" w:footer="0" w:header="0"/>
        </w:sectPr>
      </w:pPr>
    </w:p>
    <w:bookmarkStart w:id="136" w:name="page137"/>
    <w:bookmarkEnd w:id="136"/>
    <w:p>
      <w:pPr>
        <w:spacing w:after="0" w:line="239" w:lineRule="auto"/>
        <w:rPr>
          <w:sz w:val="20"/>
          <w:szCs w:val="20"/>
          <w:color w:val="auto"/>
        </w:rPr>
      </w:pPr>
      <w:r>
        <w:rPr>
          <w:rFonts w:ascii="Arial" w:cs="Arial" w:eastAsia="Arial" w:hAnsi="Arial"/>
          <w:sz w:val="22"/>
          <w:szCs w:val="22"/>
          <w:color w:val="auto"/>
        </w:rPr>
        <w:t>stock could make more difficult or discourage an attempt to obtain control of us by means of a proxy contest, tender offer, merger or otherwise.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Classified Board of Directors</w:t>
      </w:r>
    </w:p>
    <w:p>
      <w:pPr>
        <w:ind w:firstLine="648"/>
        <w:spacing w:after="0" w:line="230" w:lineRule="auto"/>
        <w:rPr>
          <w:sz w:val="20"/>
          <w:szCs w:val="20"/>
          <w:color w:val="auto"/>
        </w:rPr>
      </w:pPr>
      <w:r>
        <w:rPr>
          <w:rFonts w:ascii="Arial" w:cs="Arial" w:eastAsia="Arial" w:hAnsi="Arial"/>
          <w:sz w:val="21"/>
          <w:szCs w:val="21"/>
          <w:color w:val="auto"/>
        </w:rPr>
        <w:t>Our certificate provides that our board of directors is divided into three classes, with the classes as nearly equal in number as possible and each class serving three-year staggered terms. Our directors may only be removed from our board of directors at any time with or without cause upon the affirmative vote of the holders of capital stock representing a majority of the voting power of our outstanding shares of capital stock entitled to vote thereon; provided, however, that at any time when Mainsail (as defined below) and our Founders beneficially own, in the aggregate, less than the majority of the voting power of our outstanding shares of capital stock entitled to vote generally in the election of directors, directors may only be removed for cause and only upon the affirmative vote of at least 66 2/3% of the holders of capital stock representing the voting power of our outstanding shares of capital stock entitled to vote thereon. These provisions may have the effect of deferring, delaying or discouraging hostile takeovers, or changes in control of us or our management. “Mainsail” refers to Mainsail Partners III, L.P., a Delaware limited partnership, and certain funds affiliated with Mainsail Partners III, L.P., including Mainsail Incentive Program, LLC, and Mainsail Co-Investors III, L.P.</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Board of Directors Vacancies; Size of the Board</w:t>
      </w:r>
    </w:p>
    <w:p>
      <w:pPr>
        <w:ind w:right="140" w:firstLine="648"/>
        <w:spacing w:after="0" w:line="231" w:lineRule="auto"/>
        <w:rPr>
          <w:sz w:val="20"/>
          <w:szCs w:val="20"/>
          <w:color w:val="auto"/>
        </w:rPr>
      </w:pPr>
      <w:r>
        <w:rPr>
          <w:rFonts w:ascii="Arial" w:cs="Arial" w:eastAsia="Arial" w:hAnsi="Arial"/>
          <w:sz w:val="21"/>
          <w:szCs w:val="21"/>
          <w:color w:val="auto"/>
        </w:rPr>
        <w:t>Our certificate provides that, subject to the rights of the holders of any series of preferred stock to elect directors and the rights granted pursuant to the Stockholders Agreement, vacant directorships, including newly created seats, shall be filled solely by the affirmative vote of a majority of the total number of directors then in office, even if less than a quorum, or by a sole remaining director. Our certificate provides that, subject to the rights of the holders of any series of preferred stock to elect directors and the rights granted pursuant to the Stockholders Agreement, the number of directors constituting our board of directors is permitted to be set only by a resolution adopted by our board of directors. These provisions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Stockholder Action; Special Meetings of Stockholders</w:t>
      </w:r>
    </w:p>
    <w:p>
      <w:pPr>
        <w:ind w:right="60" w:firstLine="648"/>
        <w:spacing w:after="0" w:line="231" w:lineRule="auto"/>
        <w:rPr>
          <w:sz w:val="20"/>
          <w:szCs w:val="20"/>
          <w:color w:val="auto"/>
        </w:rPr>
      </w:pPr>
      <w:r>
        <w:rPr>
          <w:rFonts w:ascii="Arial" w:cs="Arial" w:eastAsia="Arial" w:hAnsi="Arial"/>
          <w:sz w:val="21"/>
          <w:szCs w:val="21"/>
          <w:color w:val="auto"/>
        </w:rPr>
        <w:t>Our certificate provides that, at any time when Mainsail and our Founders beneficially own, in the aggregate, at least a majority of the voting power of our outstanding capital stock, our stockholders may take action by consent without a meeting, and at any time when Mainsail and our Founders beneficially own, in the aggregate, less than the majority of the voting power of our outstanding capital stock, our stockholders may not take action by consent, but may only take action at a meeting of stockholders. Our certificate further provides that special meetings of our stockholders may be called only by a majority of our board of directors, the Executive Chairman of our board of directors, or our Chief Executive Officer,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Advance Notice Requirements for Stockholder Proposals and Director Nominations</w:t>
      </w:r>
    </w:p>
    <w:p>
      <w:pPr>
        <w:ind w:right="80" w:firstLine="648"/>
        <w:spacing w:after="0" w:line="230" w:lineRule="auto"/>
        <w:rPr>
          <w:sz w:val="20"/>
          <w:szCs w:val="20"/>
          <w:color w:val="auto"/>
        </w:rPr>
      </w:pPr>
      <w:r>
        <w:rPr>
          <w:rFonts w:ascii="Arial" w:cs="Arial" w:eastAsia="Arial" w:hAnsi="Arial"/>
          <w:sz w:val="22"/>
          <w:szCs w:val="22"/>
          <w:color w:val="auto"/>
        </w:rPr>
        <w:t>In addition, our bylaws provide for an advance notice procedure for stockholder proposals to be brought before an annual meeting of stockholders, including proposed</w:t>
      </w:r>
    </w:p>
    <w:p>
      <w:pPr>
        <w:sectPr>
          <w:pgSz w:w="11900" w:h="16838" w:orient="portrait"/>
          <w:cols w:equalWidth="0" w:num="1">
            <w:col w:w="11220"/>
          </w:cols>
          <w:pgMar w:left="320" w:top="1414" w:right="359" w:bottom="1440" w:gutter="0" w:footer="0" w:header="0"/>
        </w:sectPr>
      </w:pPr>
    </w:p>
    <w:bookmarkStart w:id="137" w:name="page138"/>
    <w:bookmarkEnd w:id="137"/>
    <w:p>
      <w:pPr>
        <w:ind w:right="60"/>
        <w:spacing w:after="0" w:line="259" w:lineRule="auto"/>
        <w:rPr>
          <w:sz w:val="20"/>
          <w:szCs w:val="20"/>
          <w:color w:val="auto"/>
        </w:rPr>
      </w:pPr>
      <w:r>
        <w:rPr>
          <w:rFonts w:ascii="Arial" w:cs="Arial" w:eastAsia="Arial" w:hAnsi="Arial"/>
          <w:sz w:val="19"/>
          <w:szCs w:val="19"/>
          <w:color w:val="auto"/>
        </w:rPr>
        <w:t>nominations of candidates for election to our board of directors. These provisions do not apply to the parties to our Stockholders Agreement so long as such party is entitled to nominate a director or directors pursuant to the Stockholders Agreement. In order for any matter to be “properly brought” before a meeting, a stockholder will have to comply with advance notice and requirements and provide us with certain information in the timeframe set forth in the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No Cumulative Voting</w:t>
      </w:r>
    </w:p>
    <w:p>
      <w:pPr>
        <w:ind w:right="80" w:firstLine="648"/>
        <w:spacing w:after="0" w:line="230" w:lineRule="auto"/>
        <w:rPr>
          <w:sz w:val="20"/>
          <w:szCs w:val="20"/>
          <w:color w:val="auto"/>
        </w:rPr>
      </w:pPr>
      <w:r>
        <w:rPr>
          <w:rFonts w:ascii="Arial" w:cs="Arial" w:eastAsia="Arial" w:hAnsi="Arial"/>
          <w:sz w:val="22"/>
          <w:szCs w:val="22"/>
          <w:color w:val="auto"/>
        </w:rPr>
        <w:t>The DGCL provides that stockholders are not entitled to cumulate votes in the election of directors unless a corporation’s certificate of incorporation provides otherwise. Our certificate does not provide for cumulative voting.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Amendment of Certificate of Incorporation or Bylaws</w:t>
      </w:r>
    </w:p>
    <w:p>
      <w:pPr>
        <w:ind w:right="20" w:firstLine="648"/>
        <w:spacing w:after="0" w:line="257" w:lineRule="auto"/>
        <w:rPr>
          <w:sz w:val="20"/>
          <w:szCs w:val="20"/>
          <w:color w:val="auto"/>
        </w:rPr>
      </w:pPr>
      <w:r>
        <w:rPr>
          <w:rFonts w:ascii="Arial" w:cs="Arial" w:eastAsia="Arial" w:hAnsi="Arial"/>
          <w:sz w:val="19"/>
          <w:szCs w:val="19"/>
          <w:color w:val="auto"/>
        </w:rPr>
        <w:t>The DGCL provides generally that the affirmative vote of the holders of a majority of the shares entitled to vote on the matter is required to amend a corporation’s certificate of incorporation, unless a corporation’s certificate of incorporation requires a greater percentage. Our certificate provides that the affirmative vote of holders of at least 66 2/3% of the voting power of all of the then-outstanding shares of capital stock, voting as a single class, is required to amend certain provisions of our certificate, including provisions relating to amending our bylaws, the classified board, the size of our board, removal of directors, director liability, vacancies on our board, special meetings, stockholder notices, actions by written consent and exclusive forum. The certificate provides that our board of directors may adopt, amend, alter or repeal the bylaws. In addition, the certificate provides that the stockholders may also adopt, amend, alter or repeal the bylaws by the affirmative vote of the holders of at least 66 2/3% of the voting power of the then-outstanding shares of capital stock entitled to vote generally in the election of directors.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Section 203 of the DGCL</w:t>
      </w:r>
    </w:p>
    <w:p>
      <w:pPr>
        <w:ind w:left="660"/>
        <w:spacing w:after="0"/>
        <w:rPr>
          <w:sz w:val="20"/>
          <w:szCs w:val="20"/>
          <w:color w:val="auto"/>
        </w:rPr>
      </w:pPr>
      <w:r>
        <w:rPr>
          <w:rFonts w:ascii="Arial" w:cs="Arial" w:eastAsia="Arial" w:hAnsi="Arial"/>
          <w:sz w:val="19"/>
          <w:szCs w:val="19"/>
          <w:color w:val="auto"/>
        </w:rPr>
        <w:t>We have opted out of Section 203 of the DGCL. However, our certificate contains provisions that are similar to Section</w:t>
      </w:r>
    </w:p>
    <w:p>
      <w:pPr>
        <w:spacing w:after="0" w:line="11" w:lineRule="exact"/>
        <w:rPr>
          <w:sz w:val="20"/>
          <w:szCs w:val="20"/>
          <w:color w:val="auto"/>
        </w:rPr>
      </w:pPr>
    </w:p>
    <w:p>
      <w:pPr>
        <w:ind w:firstLine="8"/>
        <w:spacing w:after="0" w:line="231" w:lineRule="auto"/>
        <w:tabs>
          <w:tab w:leader="none" w:pos="432" w:val="left"/>
        </w:tabs>
        <w:numPr>
          <w:ilvl w:val="0"/>
          <w:numId w:val="53"/>
        </w:numPr>
        <w:rPr>
          <w:rFonts w:ascii="Arial" w:cs="Arial" w:eastAsia="Arial" w:hAnsi="Arial"/>
          <w:sz w:val="21"/>
          <w:szCs w:val="21"/>
          <w:color w:val="auto"/>
        </w:rPr>
      </w:pPr>
      <w:r>
        <w:rPr>
          <w:rFonts w:ascii="Arial" w:cs="Arial" w:eastAsia="Arial" w:hAnsi="Arial"/>
          <w:sz w:val="21"/>
          <w:szCs w:val="21"/>
          <w:color w:val="auto"/>
        </w:rPr>
        <w:t>Specifically, our certificate provides that, subject to certain exceptions, we are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Limitations on Liability and Indemnification of Officers and Directors</w:t>
      </w:r>
    </w:p>
    <w:p>
      <w:pPr>
        <w:sectPr>
          <w:pgSz w:w="11900" w:h="16838" w:orient="portrait"/>
          <w:cols w:equalWidth="0" w:num="1">
            <w:col w:w="11220"/>
          </w:cols>
          <w:pgMar w:left="320" w:top="1414" w:right="359" w:bottom="1440" w:gutter="0" w:footer="0" w:header="0"/>
        </w:sectPr>
      </w:pPr>
    </w:p>
    <w:bookmarkStart w:id="138" w:name="page139"/>
    <w:bookmarkEnd w:id="138"/>
    <w:p>
      <w:pPr>
        <w:ind w:right="40" w:firstLine="648"/>
        <w:spacing w:after="0" w:line="255" w:lineRule="auto"/>
        <w:rPr>
          <w:sz w:val="20"/>
          <w:szCs w:val="20"/>
          <w:color w:val="auto"/>
        </w:rPr>
      </w:pPr>
      <w:r>
        <w:rPr>
          <w:rFonts w:ascii="Arial" w:cs="Arial" w:eastAsia="Arial" w:hAnsi="Arial"/>
          <w:sz w:val="19"/>
          <w:szCs w:val="19"/>
          <w:color w:val="auto"/>
        </w:rPr>
        <w:t>Our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certificate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These provisions may be held not to be enforceable for violations of the federal securities laws of the U.S.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Corporate Opportunity Doctrine</w:t>
      </w:r>
    </w:p>
    <w:p>
      <w:pPr>
        <w:spacing w:after="0" w:line="226"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Delaware law permits corporations to adopt provisions renouncing any interest or expectancy in certain opportunities that are presented to the corporation or its officers, directors or stockholders. Our certificate, to the maximum extent permitted from time to time by Delaware law, renounces any interest or expectancy that we have in, or right to be offered an opportunity to participate in, specified business opportunities that are from time to time presented to Mainsail, any of our directors who are employees of or affiliated with Mainsail, or any director or stockholder who is not employed by us. Our certificate provides that, to the fullest extent permitted by law, Mainsail, any of our directors who are employees of or affiliated with Mainsail, or any director or stockholder who is not employed by us or our affiliates does not have any duty to refrain from (1) engaging in a corporate opportunity in the same or similar lines of business in which we or our affiliates now engage or propose to engage or</w:t>
      </w:r>
    </w:p>
    <w:p>
      <w:pPr>
        <w:ind w:left="320" w:hanging="312"/>
        <w:spacing w:after="0" w:line="232" w:lineRule="auto"/>
        <w:tabs>
          <w:tab w:leader="none" w:pos="3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otherwise competing with us or our affiliates. In addition, to the fullest extent permitted by law, if Mainsail, any of our</w:t>
      </w:r>
    </w:p>
    <w:p>
      <w:pPr>
        <w:ind w:right="80"/>
        <w:spacing w:after="0" w:line="255" w:lineRule="auto"/>
        <w:rPr>
          <w:rFonts w:ascii="Arial" w:cs="Arial" w:eastAsia="Arial" w:hAnsi="Arial"/>
          <w:sz w:val="21"/>
          <w:szCs w:val="21"/>
          <w:color w:val="auto"/>
        </w:rPr>
      </w:pPr>
      <w:r>
        <w:rPr>
          <w:rFonts w:ascii="Arial" w:cs="Arial" w:eastAsia="Arial" w:hAnsi="Arial"/>
          <w:sz w:val="19"/>
          <w:szCs w:val="19"/>
          <w:color w:val="auto"/>
        </w:rPr>
        <w:t>directors who are employees of or affiliated with Mainsail, or any director or stockholder who is not employed by us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unless (1) we would be permitted to undertake such transaction or opportunity in accordance with the certificate, (2) we, at such time have sufficient financial resources to undertake such transaction or opportunity, (3) we have an interest or expectancy in such transaction or opportunity and (4) such transaction or opportunity would be in the same or similar line of our business in which we are engaged or a line of business that is reasonably related to, or a reasonable extension of, such line of business. Our certificate does not renounce our interest in any business opportunity that is expressly offered to an employee director or employee in his or her capacity as a director or employee of the Company.</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Dissenters’ Rights of Appraisal and Payment</w:t>
      </w:r>
    </w:p>
    <w:p>
      <w:pPr>
        <w:sectPr>
          <w:pgSz w:w="11900" w:h="16838" w:orient="portrait"/>
          <w:cols w:equalWidth="0" w:num="1">
            <w:col w:w="11180"/>
          </w:cols>
          <w:pgMar w:left="320" w:top="1414" w:right="399" w:bottom="1440" w:gutter="0" w:footer="0" w:header="0"/>
        </w:sectPr>
      </w:pPr>
    </w:p>
    <w:bookmarkStart w:id="139" w:name="page140"/>
    <w:bookmarkEnd w:id="139"/>
    <w:p>
      <w:pPr>
        <w:ind w:right="300" w:firstLine="648"/>
        <w:spacing w:after="0" w:line="228" w:lineRule="auto"/>
        <w:rPr>
          <w:sz w:val="20"/>
          <w:szCs w:val="20"/>
          <w:color w:val="auto"/>
        </w:rPr>
      </w:pPr>
      <w:r>
        <w:rPr>
          <w:rFonts w:ascii="Arial" w:cs="Arial" w:eastAsia="Arial" w:hAnsi="Arial"/>
          <w:sz w:val="22"/>
          <w:szCs w:val="22"/>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Stockholders’ Derivative Actions</w:t>
      </w:r>
    </w:p>
    <w:p>
      <w:pPr>
        <w:spacing w:after="0" w:line="226"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Transfer Agent and Registrar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transfer agent and registrar for our Class A common stock is American Stock Transfer &amp; Trust Company, LLC.</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Trading Symbol and Market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Class A common stock is listed on The Nasdaq Global Market under the symbol “BRLT.”</w:t>
      </w:r>
    </w:p>
    <w:p>
      <w:pPr>
        <w:sectPr>
          <w:pgSz w:w="11900" w:h="16838" w:orient="portrait"/>
          <w:cols w:equalWidth="0" w:num="1">
            <w:col w:w="10660"/>
          </w:cols>
          <w:pgMar w:left="320" w:top="1414" w:right="91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Brilliant Earth Group,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Brilliant Earth, LLC</w:t>
      </w:r>
    </w:p>
    <w:p>
      <w:pPr>
        <w:spacing w:after="0"/>
        <w:rPr>
          <w:sz w:val="20"/>
          <w:szCs w:val="20"/>
          <w:color w:val="auto"/>
        </w:rPr>
      </w:pPr>
      <w:r>
        <w:rPr>
          <w:rFonts w:ascii="Arial" w:cs="Arial" w:eastAsia="Arial" w:hAnsi="Arial"/>
          <w:sz w:val="22"/>
          <w:szCs w:val="22"/>
          <w:color w:val="auto"/>
        </w:rPr>
        <w:t>State of Formation: Delaware</w:t>
      </w:r>
    </w:p>
    <w:p>
      <w:pPr>
        <w:sectPr>
          <w:pgSz w:w="11900" w:h="16838" w:orient="portrait"/>
          <w:cols w:equalWidth="0" w:num="1">
            <w:col w:w="11240"/>
          </w:cols>
          <w:pgMar w:left="320" w:top="140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Brilliant Earth Group, Inc.</w:t>
      </w:r>
    </w:p>
    <w:p>
      <w:pPr>
        <w:spacing w:after="0"/>
        <w:rPr>
          <w:sz w:val="20"/>
          <w:szCs w:val="20"/>
          <w:color w:val="auto"/>
        </w:rPr>
      </w:pPr>
      <w:r>
        <w:rPr>
          <w:rFonts w:ascii="Arial" w:cs="Arial" w:eastAsia="Arial" w:hAnsi="Arial"/>
          <w:sz w:val="19"/>
          <w:szCs w:val="19"/>
          <w:color w:val="auto"/>
        </w:rPr>
        <w:t>San Francisco, California</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We hereby consent to the incorporation by reference in the Registration Statement on Form S-8 (No. 333-259736</w:t>
      </w:r>
      <w:r>
        <w:rPr>
          <w:rFonts w:ascii="Arial" w:cs="Arial" w:eastAsia="Arial" w:hAnsi="Arial"/>
          <w:sz w:val="17"/>
          <w:szCs w:val="17"/>
          <w:color w:val="auto"/>
        </w:rPr>
        <w:t>)</w:t>
      </w:r>
      <w:r>
        <w:rPr>
          <w:rFonts w:ascii="Arial" w:cs="Arial" w:eastAsia="Arial" w:hAnsi="Arial"/>
          <w:sz w:val="19"/>
          <w:szCs w:val="19"/>
          <w:color w:val="auto"/>
        </w:rPr>
        <w:t xml:space="preserve"> of Brilliant Earth Group, Inc. of our report dated March 22, 2022, relating to the consolidated financial statements, which appear in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Denver, Colorado</w:t>
      </w:r>
    </w:p>
    <w:p>
      <w:pPr>
        <w:spacing w:after="0"/>
        <w:rPr>
          <w:sz w:val="20"/>
          <w:szCs w:val="20"/>
          <w:color w:val="auto"/>
        </w:rPr>
      </w:pPr>
      <w:r>
        <w:rPr>
          <w:rFonts w:ascii="Arial" w:cs="Arial" w:eastAsia="Arial" w:hAnsi="Arial"/>
          <w:sz w:val="19"/>
          <w:szCs w:val="19"/>
          <w:color w:val="auto"/>
        </w:rPr>
        <w:t>March 22, 2022</w:t>
      </w:r>
    </w:p>
    <w:p>
      <w:pPr>
        <w:spacing w:after="0" w:line="200" w:lineRule="exact"/>
        <w:rPr>
          <w:sz w:val="20"/>
          <w:szCs w:val="20"/>
          <w:color w:val="auto"/>
        </w:rPr>
      </w:pPr>
    </w:p>
    <w:p>
      <w:pPr>
        <w:spacing w:after="0" w:line="295"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685040"/>
        </w:rPr>
        <w:t>BDO USA, LLP, a Delaware limited liability partnership, is the U.S. member of BDO International Limited, a UK company limited by guarantee, and forms part of the international BDO network of independent member firms.</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R-221 (11/20)</w:t>
      </w:r>
    </w:p>
    <w:p>
      <w:pPr>
        <w:sectPr>
          <w:pgSz w:w="11900" w:h="16838" w:orient="portrait"/>
          <w:cols w:equalWidth="0" w:num="1">
            <w:col w:w="11240"/>
          </w:cols>
          <w:pgMar w:left="320" w:top="1440"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Beth Gerstein, certify that: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 have reviewed this annual report on Form 10-K of Brilliant Earth Group, Inc.;</w:t>
      </w:r>
    </w:p>
    <w:p>
      <w:pPr>
        <w:spacing w:after="0" w:line="202" w:lineRule="exact"/>
        <w:rPr>
          <w:sz w:val="20"/>
          <w:szCs w:val="20"/>
          <w:color w:val="auto"/>
        </w:rPr>
      </w:pPr>
    </w:p>
    <w:p>
      <w:pPr>
        <w:jc w:val="both"/>
        <w:ind w:right="20"/>
        <w:spacing w:after="0" w:line="218" w:lineRule="auto"/>
        <w:rPr>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sz w:val="20"/>
          <w:szCs w:val="20"/>
          <w:color w:val="auto"/>
        </w:rPr>
      </w:pPr>
    </w:p>
    <w:p>
      <w:pPr>
        <w:ind w:right="560"/>
        <w:spacing w:after="0" w:line="333"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82" w:lineRule="exact"/>
        <w:rPr>
          <w:sz w:val="20"/>
          <w:szCs w:val="20"/>
          <w:color w:val="auto"/>
        </w:rPr>
      </w:pPr>
    </w:p>
    <w:p>
      <w:pPr>
        <w:ind w:right="440" w:firstLine="8"/>
        <w:spacing w:after="0" w:line="218" w:lineRule="auto"/>
        <w:tabs>
          <w:tab w:leader="none" w:pos="269" w:val="left"/>
        </w:tabs>
        <w:numPr>
          <w:ilvl w:val="0"/>
          <w:numId w:val="5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20"/>
          <w:szCs w:val="20"/>
          <w:color w:val="auto"/>
        </w:rPr>
      </w:pPr>
    </w:p>
    <w:p>
      <w:pPr>
        <w:ind w:left="280" w:hanging="272"/>
        <w:spacing w:after="0"/>
        <w:tabs>
          <w:tab w:leader="none" w:pos="2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[Omitted];</w:t>
      </w:r>
    </w:p>
    <w:p>
      <w:pPr>
        <w:spacing w:after="0" w:line="202" w:lineRule="exact"/>
        <w:rPr>
          <w:rFonts w:ascii="Arial" w:cs="Arial" w:eastAsia="Arial" w:hAnsi="Arial"/>
          <w:sz w:val="20"/>
          <w:szCs w:val="20"/>
          <w:color w:val="auto"/>
        </w:rPr>
      </w:pPr>
    </w:p>
    <w:p>
      <w:pPr>
        <w:ind w:firstLine="8"/>
        <w:spacing w:after="0" w:line="221" w:lineRule="auto"/>
        <w:tabs>
          <w:tab w:leader="none" w:pos="269" w:val="left"/>
        </w:tabs>
        <w:numPr>
          <w:ilvl w:val="0"/>
          <w:numId w:val="55"/>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ind w:right="460" w:firstLine="8"/>
        <w:spacing w:after="0" w:line="218" w:lineRule="auto"/>
        <w:tabs>
          <w:tab w:leader="none" w:pos="19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sz w:val="20"/>
          <w:szCs w:val="20"/>
          <w:color w:val="auto"/>
        </w:rPr>
      </w:pPr>
    </w:p>
    <w:p>
      <w:pPr>
        <w:ind w:right="540" w:firstLine="8"/>
        <w:spacing w:after="0" w:line="269" w:lineRule="auto"/>
        <w:tabs>
          <w:tab w:leader="none" w:pos="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right="180" w:firstLine="8"/>
        <w:spacing w:after="0" w:line="229" w:lineRule="auto"/>
        <w:tabs>
          <w:tab w:leader="none" w:pos="2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20"/>
                <w:szCs w:val="20"/>
                <w:color w:val="auto"/>
              </w:rPr>
              <w:t>Date: March 22, 2022</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rPr>
              <w:t>By: /s/Beth Gerstein</w:t>
            </w: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55"/>
        </w:trPr>
        <w:tc>
          <w:tcPr>
            <w:tcW w:w="2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80" w:type="dxa"/>
            <w:vAlign w:val="bottom"/>
            <w:gridSpan w:val="2"/>
          </w:tcPr>
          <w:p>
            <w:pPr>
              <w:ind w:left="1020"/>
              <w:spacing w:after="0" w:line="156" w:lineRule="exact"/>
              <w:rPr>
                <w:sz w:val="20"/>
                <w:szCs w:val="20"/>
                <w:color w:val="auto"/>
              </w:rPr>
            </w:pPr>
            <w:r>
              <w:rPr>
                <w:rFonts w:ascii="Arial" w:cs="Arial" w:eastAsia="Arial" w:hAnsi="Arial"/>
                <w:sz w:val="18"/>
                <w:szCs w:val="18"/>
                <w:color w:val="auto"/>
              </w:rPr>
              <w:t>Name: Beth Gerstein</w:t>
            </w:r>
          </w:p>
        </w:tc>
      </w:tr>
      <w:tr>
        <w:trPr>
          <w:trHeight w:val="250"/>
        </w:trPr>
        <w:tc>
          <w:tcPr>
            <w:tcW w:w="2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380" w:type="dxa"/>
            <w:vAlign w:val="bottom"/>
            <w:gridSpan w:val="2"/>
          </w:tcPr>
          <w:p>
            <w:pPr>
              <w:ind w:left="1020"/>
              <w:spacing w:after="0"/>
              <w:rPr>
                <w:sz w:val="20"/>
                <w:szCs w:val="20"/>
                <w:color w:val="auto"/>
              </w:rPr>
            </w:pPr>
            <w:r>
              <w:rPr>
                <w:rFonts w:ascii="Arial" w:cs="Arial" w:eastAsia="Arial" w:hAnsi="Arial"/>
                <w:sz w:val="20"/>
                <w:szCs w:val="20"/>
                <w:color w:val="auto"/>
                <w:w w:val="92"/>
              </w:rPr>
              <w:t>Title: Chief Executive Officer</w:t>
            </w:r>
          </w:p>
        </w:tc>
      </w:tr>
    </w:tbl>
    <w:p>
      <w:pPr>
        <w:sectPr>
          <w:pgSz w:w="11900" w:h="16838" w:orient="portrait"/>
          <w:cols w:equalWidth="0" w:num="1">
            <w:col w:w="11240"/>
          </w:cols>
          <w:pgMar w:left="320" w:top="139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Jeffrey Kuo, certify that: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 have reviewed this annual report on Form 10-K of Brilliant Earth Group, Inc.;</w:t>
      </w:r>
    </w:p>
    <w:p>
      <w:pPr>
        <w:spacing w:after="0" w:line="206" w:lineRule="exact"/>
        <w:rPr>
          <w:sz w:val="20"/>
          <w:szCs w:val="20"/>
          <w:color w:val="auto"/>
        </w:rPr>
      </w:pPr>
    </w:p>
    <w:p>
      <w:pPr>
        <w:ind w:right="360"/>
        <w:spacing w:after="0" w:line="223" w:lineRule="auto"/>
        <w:rPr>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186" w:lineRule="exact"/>
        <w:rPr>
          <w:sz w:val="20"/>
          <w:szCs w:val="20"/>
          <w:color w:val="auto"/>
        </w:rPr>
      </w:pPr>
    </w:p>
    <w:p>
      <w:pPr>
        <w:ind w:firstLine="8"/>
        <w:spacing w:after="0" w:line="268" w:lineRule="auto"/>
        <w:tabs>
          <w:tab w:leader="none" w:pos="294" w:val="left"/>
        </w:tabs>
        <w:numPr>
          <w:ilvl w:val="0"/>
          <w:numId w:val="5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9"/>
          <w:szCs w:val="19"/>
          <w:color w:val="auto"/>
        </w:rPr>
      </w:pPr>
    </w:p>
    <w:p>
      <w:pPr>
        <w:ind w:left="320" w:hanging="312"/>
        <w:spacing w:after="0"/>
        <w:tabs>
          <w:tab w:leader="none" w:pos="3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[Omitted];</w:t>
      </w:r>
    </w:p>
    <w:p>
      <w:pPr>
        <w:spacing w:after="0" w:line="206" w:lineRule="exact"/>
        <w:rPr>
          <w:rFonts w:ascii="Arial" w:cs="Arial" w:eastAsia="Arial" w:hAnsi="Arial"/>
          <w:sz w:val="22"/>
          <w:szCs w:val="22"/>
          <w:color w:val="auto"/>
        </w:rPr>
      </w:pPr>
    </w:p>
    <w:p>
      <w:pPr>
        <w:ind w:right="80" w:firstLine="8"/>
        <w:spacing w:after="0" w:line="252" w:lineRule="auto"/>
        <w:tabs>
          <w:tab w:leader="none" w:pos="294" w:val="left"/>
        </w:tabs>
        <w:numPr>
          <w:ilvl w:val="0"/>
          <w:numId w:val="58"/>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560" w:firstLine="8"/>
        <w:spacing w:after="0" w:line="223" w:lineRule="auto"/>
        <w:tabs>
          <w:tab w:leader="none" w:pos="21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right="460" w:firstLine="8"/>
        <w:spacing w:after="0" w:line="223" w:lineRule="auto"/>
        <w:tabs>
          <w:tab w:leader="none" w:pos="29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2"/>
          <w:szCs w:val="22"/>
          <w:color w:val="auto"/>
        </w:rPr>
      </w:pPr>
    </w:p>
    <w:p>
      <w:pPr>
        <w:ind w:right="900" w:firstLine="8"/>
        <w:spacing w:after="0" w:line="232" w:lineRule="auto"/>
        <w:tabs>
          <w:tab w:leader="none" w:pos="30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color w:val="auto"/>
        </w:rPr>
        <w:t>Date: March 22, 2022</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Jeffrey Kuo</w:t>
      </w:r>
    </w:p>
    <w:p>
      <w:pPr>
        <w:ind w:left="4540"/>
        <w:spacing w:after="0" w:line="204" w:lineRule="auto"/>
        <w:rPr>
          <w:sz w:val="20"/>
          <w:szCs w:val="20"/>
          <w:color w:val="auto"/>
        </w:rPr>
      </w:pPr>
      <w:r>
        <w:rPr>
          <w:rFonts w:ascii="Arial" w:cs="Arial" w:eastAsia="Arial" w:hAnsi="Arial"/>
          <w:sz w:val="22"/>
          <w:szCs w:val="22"/>
          <w:color w:val="auto"/>
        </w:rPr>
        <w:t>Name: Jeffrey Kuo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240"/>
          </w:cols>
          <w:pgMar w:left="320" w:top="139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Pursuant to 18 U.S.C. Section 1350,</w:t>
      </w: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6"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 connection with the annual report of Brilliant Earth Group, Inc. (the “Company”) on Form 10-K for the year ended December 31, 2021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20"/>
                <w:szCs w:val="20"/>
                <w:color w:val="auto"/>
              </w:rPr>
              <w:t>Date: March 22, 2022</w:t>
            </w:r>
          </w:p>
        </w:tc>
        <w:tc>
          <w:tcPr>
            <w:tcW w:w="4100" w:type="dxa"/>
            <w:vAlign w:val="bottom"/>
            <w:gridSpan w:val="3"/>
          </w:tcPr>
          <w:p>
            <w:pPr>
              <w:ind w:left="420"/>
              <w:spacing w:after="0"/>
              <w:rPr>
                <w:sz w:val="20"/>
                <w:szCs w:val="20"/>
                <w:color w:val="auto"/>
              </w:rPr>
            </w:pPr>
            <w:r>
              <w:rPr>
                <w:rFonts w:ascii="Arial" w:cs="Arial" w:eastAsia="Arial" w:hAnsi="Arial"/>
                <w:sz w:val="20"/>
                <w:szCs w:val="20"/>
                <w:color w:val="auto"/>
              </w:rPr>
              <w:t>By: /s/ Beth Gerstein</w:t>
            </w:r>
          </w:p>
        </w:tc>
      </w:tr>
      <w:tr>
        <w:trPr>
          <w:trHeight w:val="20"/>
        </w:trPr>
        <w:tc>
          <w:tcPr>
            <w:tcW w:w="2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55"/>
        </w:trPr>
        <w:tc>
          <w:tcPr>
            <w:tcW w:w="2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40" w:type="dxa"/>
            <w:vAlign w:val="bottom"/>
            <w:gridSpan w:val="2"/>
          </w:tcPr>
          <w:p>
            <w:pPr>
              <w:ind w:left="980"/>
              <w:spacing w:after="0" w:line="156" w:lineRule="exact"/>
              <w:rPr>
                <w:sz w:val="20"/>
                <w:szCs w:val="20"/>
                <w:color w:val="auto"/>
              </w:rPr>
            </w:pPr>
            <w:r>
              <w:rPr>
                <w:rFonts w:ascii="Arial" w:cs="Arial" w:eastAsia="Arial" w:hAnsi="Arial"/>
                <w:sz w:val="18"/>
                <w:szCs w:val="18"/>
                <w:color w:val="auto"/>
              </w:rPr>
              <w:t>Name: Beth Gerstein</w:t>
            </w:r>
          </w:p>
        </w:tc>
      </w:tr>
      <w:tr>
        <w:trPr>
          <w:trHeight w:val="250"/>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40" w:type="dxa"/>
            <w:vAlign w:val="bottom"/>
            <w:gridSpan w:val="2"/>
          </w:tcPr>
          <w:p>
            <w:pPr>
              <w:ind w:left="980"/>
              <w:spacing w:after="0"/>
              <w:rPr>
                <w:sz w:val="20"/>
                <w:szCs w:val="20"/>
                <w:color w:val="auto"/>
              </w:rPr>
            </w:pPr>
            <w:r>
              <w:rPr>
                <w:rFonts w:ascii="Arial" w:cs="Arial" w:eastAsia="Arial" w:hAnsi="Arial"/>
                <w:sz w:val="20"/>
                <w:szCs w:val="20"/>
                <w:color w:val="auto"/>
                <w:w w:val="92"/>
              </w:rPr>
              <w:t>Title: Chief Executive Officer</w:t>
            </w:r>
          </w:p>
        </w:tc>
      </w:tr>
    </w:tbl>
    <w:p>
      <w:pPr>
        <w:sectPr>
          <w:pgSz w:w="11900" w:h="16838" w:orient="portrait"/>
          <w:cols w:equalWidth="0" w:num="1">
            <w:col w:w="11240"/>
          </w:cols>
          <w:pgMar w:left="320" w:top="1394" w:right="339" w:bottom="1440" w:gutter="0" w:footer="0" w:header="0"/>
        </w:sectPr>
      </w:pPr>
    </w:p>
    <w:bookmarkStart w:id="145" w:name="page146"/>
    <w:bookmarkEnd w:id="145"/>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CFO Pursuant to 18 U.S.C. Section 1350,</w:t>
      </w: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6"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 connection with the annual report of Brilliant Earth Group, Inc. (the “Company”) on Form 10-K for the year ended December 31, 2021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20"/>
                <w:szCs w:val="20"/>
                <w:color w:val="auto"/>
              </w:rPr>
              <w:t>Date: March 22, 2022</w:t>
            </w:r>
          </w:p>
        </w:tc>
        <w:tc>
          <w:tcPr>
            <w:tcW w:w="4040" w:type="dxa"/>
            <w:vAlign w:val="bottom"/>
            <w:gridSpan w:val="3"/>
          </w:tcPr>
          <w:p>
            <w:pPr>
              <w:ind w:left="420"/>
              <w:spacing w:after="0"/>
              <w:rPr>
                <w:sz w:val="20"/>
                <w:szCs w:val="20"/>
                <w:color w:val="auto"/>
              </w:rPr>
            </w:pPr>
            <w:r>
              <w:rPr>
                <w:rFonts w:ascii="Arial" w:cs="Arial" w:eastAsia="Arial" w:hAnsi="Arial"/>
                <w:sz w:val="20"/>
                <w:szCs w:val="20"/>
                <w:color w:val="auto"/>
              </w:rPr>
              <w:t>By: /s/ Jeffrey Kuo</w:t>
            </w:r>
          </w:p>
        </w:tc>
      </w:tr>
      <w:tr>
        <w:trPr>
          <w:trHeight w:val="20"/>
        </w:trPr>
        <w:tc>
          <w:tcPr>
            <w:tcW w:w="2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80" w:type="dxa"/>
            <w:vAlign w:val="bottom"/>
            <w:gridSpan w:val="2"/>
          </w:tcPr>
          <w:p>
            <w:pPr>
              <w:ind w:left="980"/>
              <w:spacing w:after="0" w:line="156" w:lineRule="exact"/>
              <w:rPr>
                <w:sz w:val="20"/>
                <w:szCs w:val="20"/>
                <w:color w:val="auto"/>
              </w:rPr>
            </w:pPr>
            <w:r>
              <w:rPr>
                <w:rFonts w:ascii="Arial" w:cs="Arial" w:eastAsia="Arial" w:hAnsi="Arial"/>
                <w:sz w:val="18"/>
                <w:szCs w:val="18"/>
                <w:color w:val="auto"/>
              </w:rPr>
              <w:t>Name: Jeffrey Kuo</w:t>
            </w:r>
          </w:p>
        </w:tc>
      </w:tr>
      <w:tr>
        <w:trPr>
          <w:trHeight w:val="250"/>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80" w:type="dxa"/>
            <w:vAlign w:val="bottom"/>
            <w:gridSpan w:val="2"/>
          </w:tcPr>
          <w:p>
            <w:pPr>
              <w:ind w:left="980"/>
              <w:spacing w:after="0"/>
              <w:rPr>
                <w:sz w:val="20"/>
                <w:szCs w:val="20"/>
                <w:color w:val="auto"/>
              </w:rPr>
            </w:pPr>
            <w:r>
              <w:rPr>
                <w:rFonts w:ascii="Arial" w:cs="Arial" w:eastAsia="Arial" w:hAnsi="Arial"/>
                <w:sz w:val="20"/>
                <w:szCs w:val="20"/>
                <w:color w:val="auto"/>
                <w:w w:val="92"/>
              </w:rPr>
              <w:t>Title: 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upperLetter"/>
      <w:start w:val="2"/>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203"/>
    </w:lvl>
  </w:abstractNum>
  <w:abstractNum w:abstractNumId="53">
    <w:nsid w:val="1CF10FD8"/>
    <w:multiLevelType w:val="hybridMultilevel"/>
    <w:lvl w:ilvl="0">
      <w:lvlJc w:val="left"/>
      <w:lvlText w:val="(%1)"/>
      <w:numFmt w:val="decimal"/>
      <w:start w:val="2"/>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decimal"/>
      <w:start w:val="5"/>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5"/>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68"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49" Type="http://schemas.openxmlformats.org/officeDocument/2006/relationships/hyperlink" Target="https://www.sec.gov/Archives/edgar/data/0001866757/000119312521284281/d61525dex31.htm" TargetMode="External"/><Relationship Id="rId150" Type="http://schemas.openxmlformats.org/officeDocument/2006/relationships/hyperlink" Target="https://www.sec.gov/Archives/edgar/data/0001866757/000119312521284281/d61525dex32.htm" TargetMode="External"/><Relationship Id="rId151" Type="http://schemas.openxmlformats.org/officeDocument/2006/relationships/hyperlink" Target="https://www.sec.gov/Archives/edgar/data/0001866757/000119312521272138/d64351dex41.htm" TargetMode="External"/><Relationship Id="rId152" Type="http://schemas.openxmlformats.org/officeDocument/2006/relationships/hyperlink" Target="https://www.sec.gov/Archives/edgar/data/0001866757/000119312521284281/d61525dex101.htm" TargetMode="External"/><Relationship Id="rId153" Type="http://schemas.openxmlformats.org/officeDocument/2006/relationships/hyperlink" Target="https://www.sec.gov/Archives/edgar/data/0001866757/000119312521284281/d61525dex102.htm" TargetMode="External"/><Relationship Id="rId154" Type="http://schemas.openxmlformats.org/officeDocument/2006/relationships/hyperlink" Target="https://www.sec.gov/Archives/edgar/data/0001866757/000119312521284281/d61525dex103.htm" TargetMode="External"/><Relationship Id="rId155" Type="http://schemas.openxmlformats.org/officeDocument/2006/relationships/hyperlink" Target="https://www.sec.gov/Archives/edgar/data/0001866757/000119312521284281/d61525dex104.htm" TargetMode="External"/><Relationship Id="rId156" Type="http://schemas.openxmlformats.org/officeDocument/2006/relationships/hyperlink" Target="https://www.sec.gov/Archives/edgar/data/0001866757/000119312521284281/d61525dex105.htm" TargetMode="External"/><Relationship Id="rId157" Type="http://schemas.openxmlformats.org/officeDocument/2006/relationships/hyperlink" Target="https://www.sec.gov/Archives/edgar/data/0001866757/000119312521284281/d61525dex106.htm" TargetMode="External"/><Relationship Id="rId158" Type="http://schemas.openxmlformats.org/officeDocument/2006/relationships/hyperlink" Target="https://www.sec.gov/Archives/edgar/data/0001866757/000119312521284281/d61525dex107.htm" TargetMode="External"/><Relationship Id="rId159" Type="http://schemas.openxmlformats.org/officeDocument/2006/relationships/hyperlink" Target="https://www.sec.gov/Archives/edgar/data/0001866757/000119312521279955/d236309dex991.htm" TargetMode="External"/><Relationship Id="rId160" Type="http://schemas.openxmlformats.org/officeDocument/2006/relationships/hyperlink" Target="https://www.sec.gov/Archives/edgar/data/0001866757/000119312521279955/d236309dex992.htm" TargetMode="External"/><Relationship Id="rId161" Type="http://schemas.openxmlformats.org/officeDocument/2006/relationships/hyperlink" Target="https://www.sec.gov/Archives/edgar/data/0001866757/000119312521272138/d64351dex109.htm" TargetMode="External"/><Relationship Id="rId162" Type="http://schemas.openxmlformats.org/officeDocument/2006/relationships/hyperlink" Target="https://www.sec.gov/Archives/edgar/data/0001866757/000119312521272138/d64351dex1011.htm" TargetMode="External"/><Relationship Id="rId163" Type="http://schemas.openxmlformats.org/officeDocument/2006/relationships/hyperlink" Target="https://www.sec.gov/Archives/edgar/data/0001866757/000119312521272138/d64351dex1012.htm" TargetMode="External"/><Relationship Id="rId164" Type="http://schemas.openxmlformats.org/officeDocument/2006/relationships/hyperlink" Target="https://www.sec.gov/Archives/edgar/data/0001866757/000119312521272138/d64351dex1014.htm" TargetMode="External"/><Relationship Id="rId165" Type="http://schemas.openxmlformats.org/officeDocument/2006/relationships/hyperlink" Target="https://www.sec.gov/Archives/edgar/data/0001866757/000119312521272138/d64351dex1015.htm" TargetMode="External"/><Relationship Id="rId166" Type="http://schemas.openxmlformats.org/officeDocument/2006/relationships/hyperlink" Target="https://www.sec.gov/Archives/edgar/data/0001866757/000119312521260653/d64351dex101.htm" TargetMode="External"/><Relationship Id="rId167" Type="http://schemas.openxmlformats.org/officeDocument/2006/relationships/hyperlink" Target="https://www.sec.gov/Archives/edgar/data/0001866757/000119312521260653/d64351dex103.htm" TargetMode="External"/><Relationship Id="rId169" Type="http://schemas.openxmlformats.org/officeDocument/2006/relationships/hyperlink" Target="https://www.sec.gov/Archives/edgar/data/0001866757/000119312521272138/d64351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2022-03-22T16:35:06Z</dcterms:created>
  <dcterms:modified xsi:type="dcterms:W3CDTF">2022-03-22T16:35:06Z</dcterms:modified>
</cp:coreProperties>
</file>