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c356762c6beb4c8e9466276706b98bd9_7">
        <w:r>
          <w:rPr>
            <w:rStyle w:val="InternetLink"/>
            <w:rFonts w:ascii="Times New Roman;sans-serif" w:hAnsi="Times New Roman;sans-serif"/>
            <w:b w:val="false"/>
            <w:color w:val="0000FF"/>
            <w:sz w:val="20"/>
            <w:u w:val="single"/>
          </w:rPr>
          <w:t>Table of Contents</w:t>
        </w:r>
      </w:hyperlink>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Brilliant Earth Group, Inc.</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300 Grant Avenue, Third Floor</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(800) 691-0952</w:t>
      </w:r>
    </w:p>
    <w:p>
      <w:pPr>
        <w:pStyle w:val="TextBody"/>
        <w:bidi w:val="0"/>
        <w:spacing w:lineRule="auto" w:line="21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The Nasdaq Global Market </w:t>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6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bl>
    <w:p>
      <w:pPr>
        <w:pStyle w:val="TextBody"/>
        <w:bidi w:val="0"/>
        <w:spacing w:lineRule="auto" w:line="288" w:before="0" w:after="60"/>
        <w:ind w:left="0" w:right="0" w:firstLine="9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405"/>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300" w:before="0" w:after="2"/>
        <w:jc w:val="both"/>
        <w:rPr/>
      </w:pPr>
      <w:r>
        <w:rPr>
          <w:rFonts w:ascii="Times New Roman;sans-serif" w:hAnsi="Times New Roman;sans-serif"/>
          <w:b w:val="false"/>
          <w:color w:val="000000"/>
          <w:sz w:val="16"/>
        </w:rPr>
        <w:t xml:space="preserve">As of May 6, 2024, there were </w:t>
      </w:r>
      <w:r>
        <w:rPr>
          <w:rFonts w:ascii="Times New Roman;sans-serif" w:hAnsi="Times New Roman;sans-serif"/>
          <w:b w:val="false"/>
          <w:color w:val="000000"/>
          <w:sz w:val="16"/>
          <w:shd w:fill="FFFFFF" w:val="clear"/>
        </w:rPr>
        <w:t>12,986,143</w:t>
      </w:r>
      <w:r>
        <w:rPr>
          <w:color w:val="000000"/>
        </w:rPr>
        <w:t xml:space="preserve"> </w:t>
      </w:r>
      <w:r>
        <w:rPr>
          <w:rFonts w:ascii="Times New Roman;sans-serif" w:hAnsi="Times New Roman;sans-serif"/>
          <w:b w:val="false"/>
          <w:color w:val="000000"/>
          <w:sz w:val="16"/>
        </w:rPr>
        <w:t xml:space="preserve">shares of the registrant's Class A common stock, $0.0001 par value per share, outstanding, </w:t>
      </w:r>
      <w:r>
        <w:rPr>
          <w:rFonts w:ascii="Times New Roman;sans-serif" w:hAnsi="Times New Roman;sans-serif"/>
          <w:b w:val="false"/>
          <w:color w:val="000000"/>
          <w:sz w:val="16"/>
          <w:shd w:fill="FFFFFF" w:val="clear"/>
        </w:rPr>
        <w:t>35,763,920</w:t>
      </w:r>
      <w:r>
        <w:rPr>
          <w:color w:val="000000"/>
        </w:rPr>
        <w:t xml:space="preserve"> </w:t>
      </w:r>
      <w:r>
        <w:rPr>
          <w:rFonts w:ascii="Times New Roman;sans-serif" w:hAnsi="Times New Roman;sans-serif"/>
          <w:b w:val="false"/>
          <w:color w:val="000000"/>
          <w:sz w:val="16"/>
        </w:rPr>
        <w:t xml:space="preserve">shares of the registrant's Class B common stock, $0.0001 par value per share, outstanding, </w:t>
      </w:r>
      <w:r>
        <w:rPr>
          <w:rFonts w:ascii="Times New Roman;sans-serif" w:hAnsi="Times New Roman;sans-serif"/>
          <w:b w:val="false"/>
          <w:color w:val="000000"/>
          <w:sz w:val="16"/>
          <w:shd w:fill="FFFFFF" w:val="clear"/>
        </w:rPr>
        <w:t>49,119,976</w:t>
      </w:r>
      <w:r>
        <w:rPr>
          <w:color w:val="000000"/>
        </w:rPr>
        <w:t xml:space="preserve"> </w:t>
      </w:r>
      <w:r>
        <w:rPr>
          <w:rFonts w:ascii="Times New Roman;sans-serif" w:hAnsi="Times New Roman;sans-serif"/>
          <w:b w:val="false"/>
          <w:color w:val="000000"/>
          <w:sz w:val="16"/>
        </w:rPr>
        <w:t>shares of the registrant's Class C common stock, $0.0001 par value per share, outstanding an</w:t>
      </w:r>
      <w:r>
        <w:rPr>
          <w:rFonts w:ascii="Times New Roman;sans-serif" w:hAnsi="Times New Roman;sans-serif"/>
          <w:b w:val="false"/>
          <w:color w:val="000000"/>
          <w:sz w:val="16"/>
          <w:shd w:fill="FFFFFF" w:val="clear"/>
        </w:rPr>
        <w:t>d no sh</w:t>
      </w:r>
      <w:r>
        <w:rPr>
          <w:rFonts w:ascii="Times New Roman;sans-serif" w:hAnsi="Times New Roman;sans-serif"/>
          <w:b w:val="false"/>
          <w:color w:val="000000"/>
          <w:sz w:val="16"/>
        </w:rPr>
        <w:t>ares of the registrant's Class D common stock,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2"/>
        <w:jc w:val="center"/>
        <w:rPr/>
      </w:pPr>
      <w:r>
        <w:rPr/>
      </w:r>
    </w:p>
    <w:tbl>
      <w:tblPr>
        <w:tblW w:w="8536" w:type="dxa"/>
        <w:jc w:val="left"/>
        <w:tblInd w:w="0" w:type="dxa"/>
        <w:tblLayout w:type="fixed"/>
        <w:tblCellMar>
          <w:top w:w="28" w:type="dxa"/>
          <w:left w:w="28" w:type="dxa"/>
          <w:bottom w:w="28" w:type="dxa"/>
          <w:right w:w="28" w:type="dxa"/>
        </w:tblCellMar>
      </w:tblPr>
      <w:tblGrid>
        <w:gridCol w:w="2892"/>
        <w:gridCol w:w="2545"/>
        <w:gridCol w:w="2558"/>
        <w:gridCol w:w="158"/>
        <w:gridCol w:w="158"/>
        <w:gridCol w:w="225"/>
      </w:tblGrid>
      <w:tr>
        <w:trPr/>
        <w:tc>
          <w:tcPr>
            <w:tcW w:w="289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6">
              <w:r>
                <w:rPr>
                  <w:rStyle w:val="InternetLink"/>
                  <w:rFonts w:ascii="Times New Roman;sans-serif" w:hAnsi="Times New Roman;sans-serif"/>
                  <w:b w:val="false"/>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9">
              <w:r>
                <w:rPr>
                  <w:rStyle w:val="InternetLink"/>
                  <w:rFonts w:ascii="Times New Roman;sans-serif" w:hAnsi="Times New Roman;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9">
              <w:r>
                <w:rPr>
                  <w:rStyle w:val="InternetLink"/>
                  <w:rFonts w:ascii="Times New Roman;sans-serif" w:hAnsi="Times New Roman;sans-serif"/>
                  <w:b w:val="false"/>
                  <w:color w:val="0000FF"/>
                  <w:sz w:val="20"/>
                  <w:u w:val="single"/>
                </w:rPr>
                <w:t>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6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67">
              <w:r>
                <w:rPr>
                  <w:rStyle w:val="InternetLink"/>
                  <w:rFonts w:ascii="Times New Roman;sans-serif" w:hAnsi="Times New Roman;sans-serif"/>
                  <w:b w:val="false"/>
                  <w:color w:val="0000FF"/>
                  <w:sz w:val="20"/>
                  <w:u w:val="single"/>
                </w:rPr>
                <w:t>22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c356762c6beb4c8e9466276706b98bd9_100">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00">
              <w:r>
                <w:rPr>
                  <w:rStyle w:val="InternetLink"/>
                  <w:rFonts w:ascii="Times New Roman;sans-serif" w:hAnsi="Times New Roman;sans-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c356762c6beb4c8e9466276706b98bd9_103">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03">
              <w:r>
                <w:rPr>
                  <w:rStyle w:val="InternetLink"/>
                  <w:rFonts w:ascii="Times New Roman;sans-serif" w:hAnsi="Times New Roman;sans-serif"/>
                  <w:b w:val="false"/>
                  <w:color w:val="0000FF"/>
                  <w:sz w:val="20"/>
                  <w:u w:val="single"/>
                </w:rPr>
                <w:t>35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c356762c6beb4c8e9466276706b98bd9_106">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c356762c6beb4c8e9466276706b98bd9_109">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09">
              <w:r>
                <w:rPr>
                  <w:rStyle w:val="InternetLink"/>
                  <w:rFonts w:ascii="Times New Roman;sans-serif" w:hAnsi="Times New Roman;sans-serif"/>
                  <w:b w:val="false"/>
                  <w:color w:val="0000FF"/>
                  <w:sz w:val="20"/>
                  <w:u w:val="singl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12">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12">
              <w:r>
                <w:rPr>
                  <w:rStyle w:val="InternetLink"/>
                  <w:rFonts w:ascii="Times New Roman;sans-serif" w:hAnsi="Times New Roman;sans-serif"/>
                  <w:b w:val="false"/>
                  <w:color w:val="0000FF"/>
                  <w:sz w:val="20"/>
                  <w:u w:val="singl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15">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15">
              <w:r>
                <w:rPr>
                  <w:rStyle w:val="InternetLink"/>
                  <w:rFonts w:ascii="Times New Roman;sans-serif" w:hAnsi="Times New Roman;sans-serif"/>
                  <w:b w:val="false"/>
                  <w:color w:val="0000FF"/>
                  <w:sz w:val="20"/>
                  <w:u w:val="singl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18">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18">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21">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21">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24">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24">
              <w:r>
                <w:rPr>
                  <w:rStyle w:val="InternetLink"/>
                  <w:rFonts w:ascii="Times New Roman;sans-serif" w:hAnsi="Times New Roman;sans-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27">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27">
              <w:r>
                <w:rPr>
                  <w:rStyle w:val="InternetLink"/>
                  <w:rFonts w:ascii="Times New Roman;sans-serif" w:hAnsi="Times New Roman;sans-serif"/>
                  <w:b w:val="false"/>
                  <w:color w:val="0000FF"/>
                  <w:sz w:val="20"/>
                  <w:u w:val="single"/>
                </w:rPr>
                <w:t>39</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c356762c6beb4c8e9466276706b98bd9_130">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c356762c6beb4c8e9466276706b98bd9_130">
              <w:r>
                <w:rPr>
                  <w:rStyle w:val="InternetLink"/>
                  <w:rFonts w:ascii="Times New Roman;sans-serif" w:hAnsi="Times New Roman;sans-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before="0" w:after="2"/>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introduction of new products, future capital expenditures, and debt service obligations,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 </w:t>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risks related to an overall decline in the health of the economy and other factors impacting consumer spending, such as recessionary or inflationary conditions, governmental instability, war and fears of war, and natural disasters; our ability to cost-effectively turn existing customers into repeat customers or to acquire new customers; our rapid growth in recent years and limited operating experience at our current scale of operations; our ability to manage growth effectively; increased lead times, and supply shortages and supply changes; our expansion plans in the United States ("U.S."); our ability to compete in the fine jewelry retail industry; our ability to maintain and enhance our brand and to engage or expand our base of customers may be impaired and our business, financial condition, and results of operations may suffer; our ability to effectively develop and expand our sales and marketing capabilities and increase our customer base and achieve broader market acceptance of our e-commerce and omnichannel approach to shopping for fine jewelry; our profitability and cash flows may be negatively affected if we are not successful in managing our inventory balances and inventory shrinkage; a decline in sales of Design Your Own rings; our heavy reliance on our information technology systems, as well as those of our third-party vendors and service providers, for our business to effectively operate and to safeguard confidential information and risks related to any significant failure, inadequacy or interruption of these systems, security breaches or loss of data; the impact of environmental, social, and governance matters on our business and reputation; our ability to manage risks related to our e-commerce and omnichannel business; our ability to effectively anticipate and respond to changes in consumer preferences and shopping patterns, and introduce new products and programs that appeal to new or existing customers; our dependence on distributions from Brilliant Earth, LLC, our principal asset, to pay our taxes and expenses, including payments under the Tax Receivable Agreement (as defined herein) to Continuing Equity Owners (as defined herein) in respect to certain tax benefits; risks related to our obligations to make substantial cash payments under the Tax Receivable Agreement and risks related to our organizational structure; and the other risks, uncertainties and factors described in Part I, Item 1A, "Risk Factors" in our Annual Report on Form 10-K for the fiscal year ended December 31, 2023 (the "2023 Form 10-K") filed with the Securities and Exchange Commission (the "SEC") on March 28, 2024. Other sections of this Quarterly Report on Form 10-Q include additional factors that could adversely impact our business and financial performance.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we operate in a very competitive and rapidly changing environment and new risks emerge from time to time.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2"/>
        <w:jc w:val="center"/>
        <w:rPr/>
      </w:pPr>
      <w:r>
        <w:rPr/>
      </w:r>
    </w:p>
    <w:p>
      <w:pPr>
        <w:pStyle w:val="TextBody"/>
        <w:bidi w:val="0"/>
        <w:spacing w:lineRule="auto" w:line="300" w:before="0" w:after="2"/>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otherwise requires, references to:</w:t>
      </w:r>
    </w:p>
    <w:p>
      <w:pPr>
        <w:pStyle w:val="TextBody"/>
        <w:bidi w:val="0"/>
        <w:spacing w:before="0" w:after="2"/>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"us," "our," the "Company," "Brilliant Earth," and similar references refer to Brilliant Earth Group, Inc., and, unless otherwise stated, all of its subsidiaries, including Brilliant Earth, LLC.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"Founders" refers to Beth Gerstein, our Co-Founder and Chief Executive Officer, Eric Grossberg, our Co-Founder and Executive Chairman, and Just Rocks, Inc., a Delaware corporation, which is jointly owned and controlled by our Founders.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"LLC Interests" or "LLC Units" refers to the common units of Brilliant Earth, LLC, including those that we purchased with the net proceeds from our initial public offering ("IPO"), which occurred on September 23, 2021.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"LLC Agreement" refers to Brilliant Earth, LLC's amended and restated limited liability company agreement, which became effective prior to the consummation of the IPO.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"Mainsail" 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pPr>
      <w:hyperlink w:anchor="ic356762c6beb4c8e9466276706b98bd9_7">
        <w:r>
          <w:rPr>
            <w:rStyle w:val="InternetLink"/>
            <w:rFonts w:ascii="Times New Roman;sans-serif" w:hAnsi="Times New Roman;sans-serif"/>
            <w:b/>
            <w:color w:val="000000"/>
            <w:sz w:val="20"/>
            <w:u w:val="singl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BALANCE SHEETS</w:t>
      </w:r>
    </w:p>
    <w:p>
      <w:pPr>
        <w:pStyle w:val="TextBody"/>
        <w:bidi w:val="0"/>
        <w:spacing w:lineRule="auto" w:line="276" w:before="0" w:after="1"/>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99"/>
        <w:gridCol w:w="2353"/>
        <w:gridCol w:w="2341"/>
        <w:gridCol w:w="196"/>
        <w:gridCol w:w="751"/>
        <w:gridCol w:w="109"/>
        <w:gridCol w:w="109"/>
        <w:gridCol w:w="109"/>
        <w:gridCol w:w="109"/>
        <w:gridCol w:w="199"/>
        <w:gridCol w:w="763"/>
        <w:gridCol w:w="110"/>
        <w:gridCol w:w="157"/>
      </w:tblGrid>
      <w:tr>
        <w:trPr/>
        <w:tc>
          <w:tcPr>
            <w:tcW w:w="289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147,454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155,809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38,905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37,788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11,048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197,755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204,856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21,679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22,047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9,745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36,258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34,248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2,687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268,199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273,583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4,511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33,599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43,824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22,815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19,556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4,993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4,063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current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68,728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76,947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54,337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55,573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35,572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pursuant to the Tax Receivable Agreement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8,035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168,341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176,127</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10)</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none issued and outstanding at March 31, 2024 and December 31, 2023,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6"/>
              </w:rPr>
              <w:t xml:space="preserve">Class A common stock, $0.0001 par value, 1,200,000,000 shares authorized; </w:t>
            </w:r>
            <w:r>
              <w:rPr>
                <w:rFonts w:ascii="Times New Roman;sans-serif" w:hAnsi="Times New Roman;sans-serif"/>
                <w:b w:val="false"/>
                <w:color w:val="000000"/>
                <w:sz w:val="16"/>
                <w:shd w:fill="FFFFFF" w:val="clear"/>
              </w:rPr>
              <w:t xml:space="preserve">13,044,670 shares issued </w:t>
            </w:r>
            <w:r>
              <w:rPr>
                <w:rFonts w:ascii="Times New Roman;sans-serif" w:hAnsi="Times New Roman;sans-serif"/>
                <w:b w:val="false"/>
                <w:color w:val="000000"/>
                <w:sz w:val="16"/>
              </w:rPr>
              <w:t>and 13,012,299 shares outstanding at March 31, 2024 and 12,522,146 shares outstanding at December 31, 2023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150,000,000 shares authorized; 35,756,276 and 35,688,349 shares outstanding at March 31, 2024 and December 31, 2023,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150,000,000 shares authorized; 49,119,976 shares outstanding at March 31, 2024 and December 31, 2023,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$0.0001 par value, 150,000,000 shares authorized; none issued and outstanding at March 31, 2024 and December 31, 2023,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8,275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Treasury stock, at cost; 32,371 shares and none at March 31, 2024 and December 31, 2023, respectively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4,247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 attributable to Brilliant Earth Group, Inc.</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13,274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12,532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attributable to Brilliant Earth, LLC</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86,584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84,924</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99,858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97,456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268,199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273,583</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STATEMENTS OF OPERATIONS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bl>
      <w:tblPr>
        <w:tblW w:w="7988" w:type="dxa"/>
        <w:jc w:val="left"/>
        <w:tblInd w:w="0" w:type="dxa"/>
        <w:tblLayout w:type="fixed"/>
        <w:tblCellMar>
          <w:top w:w="28" w:type="dxa"/>
          <w:left w:w="28" w:type="dxa"/>
          <w:bottom w:w="28" w:type="dxa"/>
          <w:right w:w="28" w:type="dxa"/>
        </w:tblCellMar>
      </w:tblPr>
      <w:tblGrid>
        <w:gridCol w:w="1487"/>
        <w:gridCol w:w="1312"/>
        <w:gridCol w:w="1326"/>
        <w:gridCol w:w="109"/>
        <w:gridCol w:w="109"/>
        <w:gridCol w:w="136"/>
        <w:gridCol w:w="136"/>
        <w:gridCol w:w="136"/>
        <w:gridCol w:w="136"/>
        <w:gridCol w:w="245"/>
        <w:gridCol w:w="827"/>
        <w:gridCol w:w="136"/>
        <w:gridCol w:w="109"/>
        <w:gridCol w:w="109"/>
        <w:gridCol w:w="109"/>
        <w:gridCol w:w="223"/>
        <w:gridCol w:w="753"/>
        <w:gridCol w:w="109"/>
        <w:gridCol w:w="109"/>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97,337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97,698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39,031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44,022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58,306</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53,676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57,429</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53,766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877</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(1,214)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1,477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1,140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1,067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allocable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928</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allocable to Brilliant Earth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139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shares of common stock outstanding: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12,736,014</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11,387,936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97,850,288</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11,387,936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pPr>
      <w:r>
        <w:rPr>
          <w:rFonts w:ascii="Times New Roman;sans-serif" w:hAnsi="Times New Roman;sans-serif"/>
          <w:b/>
          <w:color w:val="000000"/>
          <w:sz w:val="18"/>
        </w:rPr>
        <w:t xml:space="preserve">UNAUDITED CONDENSED CONSOLIDATED </w:t>
      </w:r>
      <w:r>
        <w:rPr>
          <w:rFonts w:ascii="Times New Roman;sans-serif" w:hAnsi="Times New Roman;sans-serif"/>
          <w:b/>
          <w:color w:val="000000"/>
          <w:sz w:val="18"/>
          <w:shd w:fill="FFFFFF" w:val="clear"/>
        </w:rPr>
        <w:t xml:space="preserve">STATEMENTS OF CHANGES IN STOCKHOLDERS' EQUITY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(in thousands except share amounts) </w:t>
      </w:r>
    </w:p>
    <w:tbl>
      <w:tblPr>
        <w:tblW w:w="14807" w:type="dxa"/>
        <w:jc w:val="left"/>
        <w:tblInd w:w="0" w:type="dxa"/>
        <w:tblLayout w:type="fixed"/>
        <w:tblCellMar>
          <w:top w:w="28" w:type="dxa"/>
          <w:left w:w="28" w:type="dxa"/>
          <w:bottom w:w="28" w:type="dxa"/>
          <w:right w:w="28" w:type="dxa"/>
        </w:tblCellMar>
      </w:tblPr>
      <w:tblGrid>
        <w:gridCol w:w="516"/>
        <w:gridCol w:w="177"/>
        <w:gridCol w:w="178"/>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175"/>
        <w:gridCol w:w="460"/>
        <w:gridCol w:w="116"/>
        <w:gridCol w:w="109"/>
        <w:gridCol w:w="109"/>
        <w:gridCol w:w="109"/>
        <w:gridCol w:w="166"/>
        <w:gridCol w:w="406"/>
        <w:gridCol w:w="109"/>
        <w:gridCol w:w="109"/>
        <w:gridCol w:w="109"/>
        <w:gridCol w:w="109"/>
        <w:gridCol w:w="166"/>
        <w:gridCol w:w="436"/>
        <w:gridCol w:w="109"/>
        <w:gridCol w:w="109"/>
        <w:gridCol w:w="109"/>
        <w:gridCol w:w="109"/>
        <w:gridCol w:w="200"/>
        <w:gridCol w:w="598"/>
        <w:gridCol w:w="133"/>
        <w:gridCol w:w="109"/>
        <w:gridCol w:w="109"/>
        <w:gridCol w:w="109"/>
        <w:gridCol w:w="706"/>
        <w:gridCol w:w="141"/>
        <w:gridCol w:w="327"/>
        <w:gridCol w:w="166"/>
        <w:gridCol w:w="496"/>
        <w:gridCol w:w="109"/>
        <w:gridCol w:w="327"/>
        <w:gridCol w:w="198"/>
        <w:gridCol w:w="593"/>
        <w:gridCol w:w="185"/>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1" w:type="dxa"/>
            <w:gridSpan w:val="5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January 1,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12,522,146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35,688,349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8,275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12,532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84,808,325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97,456</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506,264 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Repurchases of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(32,371)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84,187 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84,187 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March 31, 2024</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13,012,299</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35,756,276</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8,978</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2"/>
              </w:rPr>
            </w:pPr>
            <w:r>
              <w:rPr>
                <w:rFonts w:ascii="Times New Roman;sans-serif" w:hAnsi="Times New Roman;sans-serif"/>
                <w:b/>
                <w:color w:val="000000"/>
                <w:sz w:val="12"/>
              </w:rPr>
              <w:t>(100)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4,386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13,274</w:t>
            </w:r>
            <w:r>
              <w:rPr>
                <w:color w:val="000000"/>
              </w:rPr>
              <w:t>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84,876,252</w:t>
            </w:r>
            <w:r>
              <w:rPr>
                <w:color w:val="000000"/>
              </w:rPr>
              <w:t>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86,584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99,858</w:t>
            </w:r>
            <w:r>
              <w:rPr>
                <w:color w:val="000000"/>
              </w:rPr>
              <w:t>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13799" w:type="dxa"/>
        <w:jc w:val="left"/>
        <w:tblInd w:w="0" w:type="dxa"/>
        <w:tblLayout w:type="fixed"/>
        <w:tblCellMar>
          <w:top w:w="28" w:type="dxa"/>
          <w:left w:w="28" w:type="dxa"/>
          <w:bottom w:w="28" w:type="dxa"/>
          <w:right w:w="28" w:type="dxa"/>
        </w:tblCellMar>
      </w:tblPr>
      <w:tblGrid>
        <w:gridCol w:w="516"/>
        <w:gridCol w:w="177"/>
        <w:gridCol w:w="178"/>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175"/>
        <w:gridCol w:w="460"/>
        <w:gridCol w:w="116"/>
        <w:gridCol w:w="109"/>
        <w:gridCol w:w="109"/>
        <w:gridCol w:w="109"/>
        <w:gridCol w:w="166"/>
        <w:gridCol w:w="436"/>
        <w:gridCol w:w="109"/>
        <w:gridCol w:w="109"/>
        <w:gridCol w:w="109"/>
        <w:gridCol w:w="109"/>
        <w:gridCol w:w="200"/>
        <w:gridCol w:w="598"/>
        <w:gridCol w:w="133"/>
        <w:gridCol w:w="109"/>
        <w:gridCol w:w="109"/>
        <w:gridCol w:w="109"/>
        <w:gridCol w:w="353"/>
        <w:gridCol w:w="353"/>
        <w:gridCol w:w="141"/>
        <w:gridCol w:w="109"/>
        <w:gridCol w:w="109"/>
        <w:gridCol w:w="109"/>
        <w:gridCol w:w="166"/>
        <w:gridCol w:w="496"/>
        <w:gridCol w:w="109"/>
        <w:gridCol w:w="327"/>
        <w:gridCol w:w="198"/>
        <w:gridCol w:w="593"/>
        <w:gridCol w:w="185"/>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January 1, 2023</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11,246,694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35,482,534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7,256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10,929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84,602,510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93,141</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 to members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(71,886)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252,941 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Change in deferred tax asset and TRA liability related to redemption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Equity-based compensation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Rebalancing of controlling and non-controlling interest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2"/>
              </w:rPr>
            </w:pPr>
            <w:r>
              <w:rPr>
                <w:rFonts w:ascii="Times New Roman;sans-serif" w:hAnsi="Times New Roman;sans-serif"/>
                <w:b/>
                <w:color w:val="000000"/>
                <w:sz w:val="12"/>
              </w:rPr>
              <w:t>Balance, March 31, 2023</w:t>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11,571,521</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35,526,085</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49,119,976</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7,615</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3,611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11,236</w:t>
            </w:r>
            <w:r>
              <w:rPr>
                <w:color w:val="000000"/>
              </w:rPr>
              <w:t>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84,646,061</w:t>
            </w: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82,190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2"/>
              </w:rPr>
              <w:t>93,426</w:t>
            </w:r>
            <w:r>
              <w:rPr>
                <w:color w:val="000000"/>
              </w:rPr>
              <w:t>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STATEMENTS OF CASH FLOWS</w:t>
      </w:r>
    </w:p>
    <w:p>
      <w:pPr>
        <w:pStyle w:val="TextBody"/>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8798" w:type="dxa"/>
        <w:jc w:val="left"/>
        <w:tblInd w:w="0" w:type="dxa"/>
        <w:tblLayout w:type="fixed"/>
        <w:tblCellMar>
          <w:top w:w="28" w:type="dxa"/>
          <w:left w:w="28" w:type="dxa"/>
          <w:bottom w:w="28" w:type="dxa"/>
          <w:right w:w="28" w:type="dxa"/>
        </w:tblCellMar>
      </w:tblPr>
      <w:tblGrid>
        <w:gridCol w:w="2283"/>
        <w:gridCol w:w="2007"/>
        <w:gridCol w:w="2024"/>
        <w:gridCol w:w="196"/>
        <w:gridCol w:w="751"/>
        <w:gridCol w:w="109"/>
        <w:gridCol w:w="109"/>
        <w:gridCol w:w="109"/>
        <w:gridCol w:w="109"/>
        <w:gridCol w:w="196"/>
        <w:gridCol w:w="751"/>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(5,790)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(1,982)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(4,414)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Payments on SVB term loan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(2,001)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(2,281)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 cash, cash equivalents and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(8,353)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(8,677)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147,667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146,177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deferred tax assets associated with redemption of LLC Units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 Obligation associated with redemption of LLC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 and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APIC related to redemption of LLC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i/>
          <w:color w:val="000000"/>
          <w:sz w:val="16"/>
        </w:rPr>
        <w:t xml:space="preserve">The accompanying notes are an integral part of these unaudited </w:t>
      </w:r>
      <w:r>
        <w:rPr>
          <w:rFonts w:ascii="Times New Roman;sans-serif" w:hAnsi="Times New Roman;sans-serif"/>
          <w:b w:val="false"/>
          <w:i/>
          <w:color w:val="000000"/>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Brilliant Earth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THE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4"/>
        </w:rPr>
        <w:t xml:space="preserve">1. </w:t>
      </w:r>
      <w:r>
        <w:rPr>
          <w:rFonts w:ascii="Times New Roman;sans-serif" w:hAnsi="Times New Roman;sans-serif"/>
          <w:b/>
          <w:color w:val="000000"/>
          <w:sz w:val="22"/>
        </w:rPr>
        <w:t>DESCRIPTION OF BUSINESS AND SUMMARY OF SIGNIFICANT ACCOUNTING POLICIES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lineRule="auto" w:line="288" w:before="0" w:after="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designs, procures and sells ethically sourced diamonds, gemstones and jewelry online and through showrooms operating within the United States ("U.S."). Co-headquarters are located in San Francisco, California and Denver, Colorado.</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unaudited condensed consolidated financial statements have been prepared in accordance with U.S. generally accepted accounting principles ("U.S. GAAP" or "GAAP") and the 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2024, or for any other interim period or for any other future year.</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condensed consolidated balance sheet as of December 31, 2023 has been derived from the audited consolidated financial statements of the Company, which are included in the Company's Annual Report on Form 10-K for the year ended December 31, 2023 (the "2023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These unaudited condensed consolidated financial statements should be read in conjunction with the audited consolidated financial statements and the related notes thereto as of and for the year ended December 31, 2023, as disclosed in the 2023 </w:t>
      </w:r>
      <w:r>
        <w:rPr>
          <w:rFonts w:ascii="Times New Roman;sans-serif" w:hAnsi="Times New Roman;sans-serif"/>
          <w:b w:val="false"/>
          <w:color w:val="000000"/>
          <w:sz w:val="22"/>
          <w:shd w:fill="FFFFFF" w:val="clear"/>
        </w:rPr>
        <w:t>Form 10-K</w:t>
      </w:r>
      <w:r>
        <w:rPr>
          <w:rFonts w:ascii="Times New Roman;sans-serif" w:hAnsi="Times New Roman;sans-serif"/>
          <w:b w:val="false"/>
          <w:color w:val="000000"/>
          <w:sz w:val="22"/>
        </w:rPr>
        <w:t>.</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or updates to the Company's significant accounting policies from those described in the audited consolidated financial statements included in the 2023 Form 10-K except for the updates noted below.</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Principles of Consolidation and Non-Controlling Interest</w:t>
      </w:r>
    </w:p>
    <w:p>
      <w:pPr>
        <w:pStyle w:val="TextBody"/>
        <w:bidi w:val="0"/>
        <w:spacing w:lineRule="auto" w:line="288" w:before="0" w:after="20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unaudited condensed consolidated financial statements include the accounts of the Company and its controlled subsidiary, Brilliant Earth, LLC. All intercompany balances and transactions have been eliminated in consolidation. </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non-controlling interest on the unaudited condensed consolidated statements of operations represents the portion of earnings or loss attributable to the economic interest in Brilliant Earth, LLC held by the Continuing Equity Owners. The non-controlling interest on the unaudited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2"/>
          <w:shd w:fill="FFFFFF" w:val="clear"/>
        </w:rPr>
        <w:t>balance sheets represents the portion of net assets of the Company attributable to the Continuing Equity Owners, based on the portion of the LLC Interests owned by such unit holders. </w:t>
      </w:r>
      <w:r>
        <w:rPr>
          <w:rFonts w:ascii="Times New Roman;sans-serif" w:hAnsi="Times New Roman;sans-serif"/>
          <w:b w:val="false"/>
          <w:color w:val="000000"/>
          <w:sz w:val="22"/>
        </w:rPr>
        <w:t>As of March 31, 2024, the non-controlling interest was </w:t>
      </w:r>
      <w:r>
        <w:rPr>
          <w:rFonts w:ascii="Times New Roman;sans-serif" w:hAnsi="Times New Roman;sans-serif"/>
          <w:b w:val="false"/>
          <w:color w:val="000000"/>
          <w:sz w:val="22"/>
          <w:shd w:fill="FFFFFF" w:val="clear"/>
        </w:rPr>
        <w:t>86.7%</w:t>
      </w:r>
      <w:r>
        <w:rPr>
          <w:rFonts w:ascii="Times New Roman;sans-serif" w:hAnsi="Times New Roman;sans-serif"/>
          <w:b w:val="false"/>
          <w:color w:val="000000"/>
          <w:sz w:val="22"/>
        </w:rPr>
        <w:t>.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Use of Estimates</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TRA, useful lives and depreciation of long-lived assets.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Fair Value Measurements</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Level 1        Valuation based on quoted prices (unadjusted) observed in active markets for </w:t>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identical assets or liabilities.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Level 2        Valuation techniques based on inputs that are quoted prices of similar </w:t>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instruments in active markets; quoted prices for identical or similar instruments </w:t>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markets that are not in active markets; inputs other than quoted prices used in a </w:t>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valuation model that are observable for that instrument; and inputs that are </w:t>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derived from, or corroborated by, observable market data by correlation or other </w:t>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means.</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Level 3        Valuation techniques with significant unobservable market inputs.</w:t>
      </w:r>
    </w:p>
    <w:p>
      <w:pPr>
        <w:pStyle w:val="TextBody"/>
        <w:bidi w:val="0"/>
        <w:spacing w:before="0" w:after="0"/>
        <w:ind w:left="0" w:right="0" w:hanging="108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required to disclose its estimate of the fair value of material financial instruments, including those recorded as assets or liabilities in its financial statements, in accordance with U.S. GAAP.</w:t>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At March 31, 2024 and December 31, 2023, there were</w:t>
      </w:r>
      <w:r>
        <w:rPr>
          <w:color w:val="000000"/>
          <w:shd w:fill="FFFFFF" w:val="clear"/>
        </w:rPr>
        <w:t xml:space="preserve"> </w:t>
      </w:r>
      <w:r>
        <w:rPr>
          <w:rFonts w:ascii="Times New Roman;sans-serif" w:hAnsi="Times New Roman;sans-serif"/>
          <w:b w:val="false"/>
          <w:color w:val="000000"/>
          <w:sz w:val="22"/>
          <w:shd w:fill="FFFFFF" w:val="clear"/>
        </w:rPr>
        <w:t xml:space="preserve">no </w:t>
      </w:r>
      <w:r>
        <w:rPr>
          <w:rFonts w:ascii="Times New Roman;sans-serif" w:hAnsi="Times New Roman;sans-serif"/>
          <w:b w:val="false"/>
          <w:color w:val="000000"/>
          <w:sz w:val="22"/>
        </w:rPr>
        <w:t>financial instruments (assets or liabilities) measured at fair value on a recurring basis.</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 </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Marketing Expenses</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Marketing, advertising and promotional costs are generally expensed as incurred, except for certain production costs that are expensed the first time the advertising takes place. </w:t>
      </w:r>
      <w:r>
        <w:rPr>
          <w:rFonts w:ascii="Times New Roman;sans-serif" w:hAnsi="Times New Roman;sans-serif"/>
          <w:b w:val="false"/>
          <w:color w:val="000000"/>
          <w:sz w:val="22"/>
          <w:shd w:fill="FFFFFF" w:val="clear"/>
        </w:rPr>
        <w:t xml:space="preserve">During the three months ended March 31, 2024 and 2023, the Company recorded marketing, advertising and promotional costs of $23.2 million and $22.8 million, respectively. </w:t>
      </w:r>
    </w:p>
    <w:p>
      <w:pPr>
        <w:pStyle w:val="TextBody"/>
        <w:bidi w:val="0"/>
        <w:spacing w:before="0" w:after="2"/>
        <w:jc w:val="both"/>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lineRule="auto" w:line="300" w:before="0" w:after="2"/>
        <w:jc w:val="left"/>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Accounting Pronouncements Issued but Not Yet Adopted</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In November 2023, the Financial Accounting Standards Board ("FASB") issued Accounting Standard Update ("ASU") 2023-07, Segment Reporting (Topic 280): Improvements to Reportable Segment Disclosures. The new standard requires enhanced disclosures about significant segment expenses and other segment items and requires companies to provide all annual disclosures about segments in interim periods. All disclosure requirements are also required for public entities with a single reportable segment. The ASU is effective for the Company’s Annual Report on Form 10-K for the fiscal year ending December 31, 2024, and subsequent interim periods, with early adoption permitted. The Company is currently evaluating the impact of adopting this ASU on the Company's consolidated financial statements and related disclosures.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The Company is currently evaluating the ASU to determine its impact on the Company's consolidated financial statements and related disclosures.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4"/>
        </w:rPr>
      </w:pPr>
      <w:r>
        <w:rPr>
          <w:rFonts w:ascii="Times New Roman;sans-serif" w:hAnsi="Times New Roman;sans-serif"/>
          <w:b/>
          <w:color w:val="000000"/>
          <w:sz w:val="24"/>
        </w:rPr>
        <w:t>2. EARNINGS PER SHARE</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Basic earnings per share is computed by dividing net income (loss) applicable to Brilliant Earth Group, Inc. by the weighted average shares of Class A common stock outstanding (and Class D common stock, if outstanding) during the period. Diluted earnings per share is computed by adjusting the net income (loss)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pPr>
      <w:r>
        <w:rPr>
          <w:rFonts w:ascii="Times New Roman;sans-serif" w:hAnsi="Times New Roman;sans-serif"/>
          <w:b w:val="false"/>
          <w:color w:val="000000"/>
          <w:sz w:val="22"/>
          <w:shd w:fill="FFFFFF" w:val="clear"/>
        </w:rPr>
        <w:t xml:space="preserve">Basic and diluted earnings per share of common stock for the </w:t>
      </w:r>
      <w:r>
        <w:rPr>
          <w:rFonts w:ascii="Times New Roman;sans-serif" w:hAnsi="Times New Roman;sans-serif"/>
          <w:b w:val="false"/>
          <w:color w:val="000000"/>
          <w:sz w:val="22"/>
        </w:rPr>
        <w:t>three months ended March 31, 2024 and 2023</w:t>
      </w:r>
      <w:r>
        <w:rPr>
          <w:color w:val="000000"/>
          <w:shd w:fill="FFFFFF" w:val="clear"/>
        </w:rPr>
        <w:t xml:space="preserve"> </w:t>
      </w:r>
      <w:r>
        <w:rPr>
          <w:rFonts w:ascii="Times New Roman;sans-serif" w:hAnsi="Times New Roman;sans-serif"/>
          <w:b w:val="false"/>
          <w:color w:val="000000"/>
          <w:sz w:val="22"/>
          <w:shd w:fill="FFFFFF" w:val="clear"/>
        </w:rPr>
        <w:t>have been computed as follows (in thousands, except share and per share amounts):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2432"/>
        <w:gridCol w:w="2088"/>
        <w:gridCol w:w="2100"/>
        <w:gridCol w:w="109"/>
        <w:gridCol w:w="109"/>
        <w:gridCol w:w="144"/>
        <w:gridCol w:w="144"/>
        <w:gridCol w:w="144"/>
        <w:gridCol w:w="144"/>
        <w:gridCol w:w="315"/>
        <w:gridCol w:w="766"/>
        <w:gridCol w:w="144"/>
        <w:gridCol w:w="109"/>
        <w:gridCol w:w="109"/>
        <w:gridCol w:w="109"/>
        <w:gridCol w:w="315"/>
        <w:gridCol w:w="766"/>
        <w:gridCol w:w="158"/>
      </w:tblGrid>
      <w:tr>
        <w:trPr/>
        <w:tc>
          <w:tcPr>
            <w:tcW w:w="2432"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7"/>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66" w:type="dxa"/>
            <w:gridSpan w:val="6"/>
            <w:tcBorders/>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Brilliant Earth Group, Inc.,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(loss) impact from assumed redemption of all LLC Units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 Income tax (expense) benefit on net income (loss) attributable to NCI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Brilliant Earth Group, Inc., after adjustment for assumed conversion,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12,736,014 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 that are exchangeable for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84,821,000 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 that are exchangeable for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97,850,288 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11,387,936 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the non-controlling interest is added back to net income (loss) in the fully dilutive computation and has been adjusted for income taxes which would have been (expensed) benefited had the income (loss)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bidi w:val="0"/>
        <w:spacing w:lineRule="auto" w:line="288" w:before="0" w:after="20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For the three months ended March 31, 2024 and 2023, the dilutive impact of LLC Units convertible into common stock were included in the computation of diluted earnings per share under the if-converted method, except when the effect would be anti-dilutive. The dilutive impact of unvested LLC Units and RSUs were included using the treasury stock method.</w:t>
      </w:r>
    </w:p>
    <w:p>
      <w:pPr>
        <w:pStyle w:val="TextBody"/>
        <w:bidi w:val="0"/>
        <w:spacing w:before="0" w:after="2"/>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following table presents potentially dilutive securities that have been excluded from the computations of earnings per share because such impact would have been anti-dilutive for three months ended March 31, 2024 and 2023: </w:t>
      </w:r>
    </w:p>
    <w:p>
      <w:pPr>
        <w:pStyle w:val="TextBody"/>
        <w:bidi w:val="0"/>
        <w:spacing w:before="0" w:after="2"/>
        <w:jc w:val="both"/>
        <w:rPr/>
      </w:pPr>
      <w:r>
        <w:rPr/>
      </w:r>
    </w:p>
    <w:tbl>
      <w:tblPr>
        <w:tblW w:w="5965" w:type="dxa"/>
        <w:jc w:val="left"/>
        <w:tblInd w:w="0" w:type="dxa"/>
        <w:tblLayout w:type="fixed"/>
        <w:tblCellMar>
          <w:top w:w="28" w:type="dxa"/>
          <w:left w:w="28" w:type="dxa"/>
          <w:bottom w:w="28" w:type="dxa"/>
          <w:right w:w="28" w:type="dxa"/>
        </w:tblCellMar>
      </w:tblPr>
      <w:tblGrid>
        <w:gridCol w:w="645"/>
        <w:gridCol w:w="565"/>
        <w:gridCol w:w="575"/>
        <w:gridCol w:w="109"/>
        <w:gridCol w:w="109"/>
        <w:gridCol w:w="268"/>
        <w:gridCol w:w="268"/>
        <w:gridCol w:w="268"/>
        <w:gridCol w:w="268"/>
        <w:gridCol w:w="627"/>
        <w:gridCol w:w="349"/>
        <w:gridCol w:w="268"/>
        <w:gridCol w:w="109"/>
        <w:gridCol w:w="109"/>
        <w:gridCol w:w="109"/>
        <w:gridCol w:w="540"/>
        <w:gridCol w:w="541"/>
        <w:gridCol w:w="238"/>
      </w:tblGrid>
      <w:tr>
        <w:trP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646" w:type="dxa"/>
            <w:gridSpan w:val="6"/>
            <w:tcBorders/>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3,062,750 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3,326,439 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750,420 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832,152 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84,617,787 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575,208 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3. REVENUE</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Disaggregation of Revenue</w:t>
      </w:r>
    </w:p>
    <w:p>
      <w:pPr>
        <w:pStyle w:val="TextBody"/>
        <w:bidi w:val="0"/>
        <w:spacing w:lineRule="auto" w:line="288" w:before="0" w:after="1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discloses total net sales by geography for the three months ended March 31, 2024 and 2023 (in thousands):</w:t>
      </w:r>
    </w:p>
    <w:p>
      <w:pPr>
        <w:pStyle w:val="TextBody"/>
        <w:bidi w:val="0"/>
        <w:spacing w:before="0" w:after="2"/>
        <w:jc w:val="left"/>
        <w:rPr/>
      </w:pPr>
      <w:r>
        <w:rPr/>
      </w:r>
    </w:p>
    <w:tbl>
      <w:tblPr>
        <w:tblW w:w="4838" w:type="dxa"/>
        <w:jc w:val="left"/>
        <w:tblInd w:w="0" w:type="dxa"/>
        <w:tblLayout w:type="fixed"/>
        <w:tblCellMar>
          <w:top w:w="28" w:type="dxa"/>
          <w:left w:w="28" w:type="dxa"/>
          <w:bottom w:w="28" w:type="dxa"/>
          <w:right w:w="28" w:type="dxa"/>
        </w:tblCellMar>
      </w:tblPr>
      <w:tblGrid>
        <w:gridCol w:w="484"/>
        <w:gridCol w:w="424"/>
        <w:gridCol w:w="426"/>
        <w:gridCol w:w="109"/>
        <w:gridCol w:w="109"/>
        <w:gridCol w:w="138"/>
        <w:gridCol w:w="138"/>
        <w:gridCol w:w="138"/>
        <w:gridCol w:w="138"/>
        <w:gridCol w:w="268"/>
        <w:gridCol w:w="915"/>
        <w:gridCol w:w="138"/>
        <w:gridCol w:w="109"/>
        <w:gridCol w:w="109"/>
        <w:gridCol w:w="109"/>
        <w:gridCol w:w="211"/>
        <w:gridCol w:w="721"/>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color w:val="000000"/>
        </w:rPr>
      </w:pPr>
      <w:r>
        <w:rPr>
          <w:color w:val="000000"/>
        </w:rPr>
        <w:t>    </w:t>
      </w:r>
    </w:p>
    <w:p>
      <w:pPr>
        <w:pStyle w:val="TextBody"/>
        <w:bidi w:val="0"/>
        <w:spacing w:before="0" w:after="200"/>
        <w:jc w:val="left"/>
        <w:rPr/>
      </w:pPr>
      <w:r>
        <w:rPr/>
      </w:r>
    </w:p>
    <w:p>
      <w:pPr>
        <w:pStyle w:val="TextBody"/>
        <w:bidi w:val="0"/>
        <w:spacing w:lineRule="auto" w:line="300" w:before="0" w:after="2"/>
        <w:jc w:val="left"/>
        <w:rPr>
          <w:rFonts w:ascii="Times New Roman;sans-serif" w:hAnsi="Times New Roman;sans-serif"/>
          <w:b w:val="false"/>
          <w:i/>
          <w:color w:val="000000"/>
          <w:sz w:val="22"/>
        </w:rPr>
      </w:pPr>
      <w:r>
        <w:rPr>
          <w:rFonts w:ascii="Times New Roman;sans-serif" w:hAnsi="Times New Roman;sans-serif"/>
          <w:b w:val="false"/>
          <w:i/>
          <w:color w:val="000000"/>
          <w:sz w:val="22"/>
        </w:rPr>
        <w:t>Contract Balances</w:t>
      </w:r>
    </w:p>
    <w:p>
      <w:pPr>
        <w:pStyle w:val="TextBody"/>
        <w:bidi w:val="0"/>
        <w:spacing w:before="0" w:after="2"/>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As of March 31, 2024, December 31, 2023, and December 31, 2022, total deferred revenue that includes our contract balances was </w:t>
      </w:r>
      <w:r>
        <w:rPr>
          <w:rFonts w:ascii="Times New Roman;sans-serif" w:hAnsi="Times New Roman;sans-serif"/>
          <w:b w:val="false"/>
          <w:color w:val="000000"/>
          <w:sz w:val="22"/>
          <w:shd w:fill="FFFFFF" w:val="clear"/>
        </w:rPr>
        <w:t xml:space="preserve">$22.8 million, </w:t>
      </w:r>
      <w:r>
        <w:rPr>
          <w:rFonts w:ascii="Times New Roman;sans-serif" w:hAnsi="Times New Roman;sans-serif"/>
          <w:b w:val="false"/>
          <w:color w:val="000000"/>
          <w:sz w:val="22"/>
        </w:rPr>
        <w:t xml:space="preserve">$19.6 million, and $18.6 million, respectively.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During the three months ended March 31, 2024 and 2023, the Company recognized $16.2 million and $17.4 million, respectively, of revenue that was deferred as of December 31, 2023 and December 31, 2022, respectively.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Sales Returns and Allowances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As of March 31, 2024 and December 31, 2023, refund liabilities balances were </w:t>
      </w:r>
      <w:r>
        <w:rPr>
          <w:rFonts w:ascii="Times New Roman;sans-serif" w:hAnsi="Times New Roman;sans-serif"/>
          <w:b w:val="false"/>
          <w:color w:val="000000"/>
          <w:sz w:val="22"/>
          <w:shd w:fill="FFFFFF" w:val="clear"/>
        </w:rPr>
        <w:t>$1.5 million</w:t>
      </w:r>
      <w:r>
        <w:rPr>
          <w:color w:val="000000"/>
        </w:rPr>
        <w:t xml:space="preserve"> </w:t>
      </w:r>
      <w:r>
        <w:rPr>
          <w:rFonts w:ascii="Times New Roman;sans-serif" w:hAnsi="Times New Roman;sans-serif"/>
          <w:b w:val="false"/>
          <w:color w:val="000000"/>
          <w:sz w:val="22"/>
        </w:rPr>
        <w:t xml:space="preserve">and $2.4 million, respectively, and are included as a provision for sales returns and allowances within accrued expenses and other current liabilities in the unaudited condensed consolidated balance sheets. </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As of March 31, 2024 and December 31, 2023, returns asset balances were </w:t>
      </w:r>
      <w:r>
        <w:rPr>
          <w:rFonts w:ascii="Times New Roman;sans-serif" w:hAnsi="Times New Roman;sans-serif"/>
          <w:b w:val="false"/>
          <w:color w:val="000000"/>
          <w:sz w:val="22"/>
          <w:shd w:fill="FFFFFF" w:val="clear"/>
        </w:rPr>
        <w:t>$0.5 million</w:t>
      </w:r>
      <w:r>
        <w:rPr>
          <w:color w:val="000000"/>
        </w:rPr>
        <w:t xml:space="preserve"> </w:t>
      </w:r>
      <w:r>
        <w:rPr>
          <w:rFonts w:ascii="Times New Roman;sans-serif" w:hAnsi="Times New Roman;sans-serif"/>
          <w:b w:val="false"/>
          <w:color w:val="000000"/>
          <w:sz w:val="22"/>
        </w:rPr>
        <w:t xml:space="preserve">and $1.0 million, respectively, and are included within prepaid expenses and other current assets in the unaudited condensed consolidated balance sheets.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4. INVENTORIES,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Inventories, net consist of the following (in thousands):</w:t>
      </w:r>
    </w:p>
    <w:tbl>
      <w:tblPr>
        <w:tblW w:w="5912" w:type="dxa"/>
        <w:jc w:val="center"/>
        <w:tblInd w:w="0" w:type="dxa"/>
        <w:tblLayout w:type="fixed"/>
        <w:tblCellMar>
          <w:top w:w="28" w:type="dxa"/>
          <w:left w:w="28" w:type="dxa"/>
          <w:bottom w:w="28" w:type="dxa"/>
          <w:right w:w="28" w:type="dxa"/>
        </w:tblCellMar>
      </w:tblPr>
      <w:tblGrid>
        <w:gridCol w:w="1168"/>
        <w:gridCol w:w="1025"/>
        <w:gridCol w:w="1031"/>
        <w:gridCol w:w="211"/>
        <w:gridCol w:w="736"/>
        <w:gridCol w:w="109"/>
        <w:gridCol w:w="109"/>
        <w:gridCol w:w="109"/>
        <w:gridCol w:w="109"/>
        <w:gridCol w:w="250"/>
        <w:gridCol w:w="873"/>
        <w:gridCol w:w="182"/>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Loose diamonds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jewelry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inventory obsolescence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38,905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37,788</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allowance for inventory obsolescence consists of the following (in thousands):</w:t>
      </w:r>
    </w:p>
    <w:p>
      <w:pPr>
        <w:pStyle w:val="TextBody"/>
        <w:bidi w:val="0"/>
        <w:spacing w:before="0" w:after="2"/>
        <w:jc w:val="left"/>
        <w:rPr/>
      </w:pPr>
      <w:r>
        <w:rPr/>
      </w:r>
    </w:p>
    <w:tbl>
      <w:tblPr>
        <w:tblW w:w="6158" w:type="dxa"/>
        <w:jc w:val="center"/>
        <w:tblInd w:w="0" w:type="dxa"/>
        <w:tblLayout w:type="fixed"/>
        <w:tblCellMar>
          <w:top w:w="28" w:type="dxa"/>
          <w:left w:w="28" w:type="dxa"/>
          <w:bottom w:w="28" w:type="dxa"/>
          <w:right w:w="28" w:type="dxa"/>
        </w:tblCellMar>
      </w:tblPr>
      <w:tblGrid>
        <w:gridCol w:w="1472"/>
        <w:gridCol w:w="1294"/>
        <w:gridCol w:w="1298"/>
        <w:gridCol w:w="211"/>
        <w:gridCol w:w="541"/>
        <w:gridCol w:w="109"/>
        <w:gridCol w:w="109"/>
        <w:gridCol w:w="109"/>
        <w:gridCol w:w="109"/>
        <w:gridCol w:w="211"/>
        <w:gridCol w:w="54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inventory obsolescence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As of March 31, 2024 and December 31, 2023, the Company had </w:t>
      </w:r>
      <w:r>
        <w:rPr>
          <w:rFonts w:ascii="Times New Roman;sans-serif" w:hAnsi="Times New Roman;sans-serif"/>
          <w:b w:val="false"/>
          <w:color w:val="000000"/>
          <w:sz w:val="22"/>
          <w:shd w:fill="FFFFFF" w:val="clear"/>
        </w:rPr>
        <w:t>$21.1 million</w:t>
      </w:r>
      <w:r>
        <w:rPr>
          <w:color w:val="000000"/>
        </w:rPr>
        <w:t xml:space="preserve"> </w:t>
      </w:r>
      <w:r>
        <w:rPr>
          <w:rFonts w:ascii="Times New Roman;sans-serif" w:hAnsi="Times New Roman;sans-serif"/>
          <w:b w:val="false"/>
          <w:color w:val="000000"/>
          <w:sz w:val="22"/>
        </w:rPr>
        <w:t>and $24.8 million, respectively, in consigned inventory held on behalf of suppliers which is not recorded in the unaudited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5. ACCRUED EXPENSES AND OTHER CURRENT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Accrued expenses and other current liabilities consist of the following (in thousands):</w:t>
      </w:r>
    </w:p>
    <w:p>
      <w:pPr>
        <w:pStyle w:val="TextBody"/>
        <w:bidi w:val="0"/>
        <w:spacing w:before="0" w:after="0"/>
        <w:jc w:val="left"/>
        <w:rPr/>
      </w:pPr>
      <w:r>
        <w:rPr/>
      </w:r>
    </w:p>
    <w:tbl>
      <w:tblPr>
        <w:tblW w:w="7143" w:type="dxa"/>
        <w:jc w:val="center"/>
        <w:tblInd w:w="0" w:type="dxa"/>
        <w:tblLayout w:type="fixed"/>
        <w:tblCellMar>
          <w:top w:w="28" w:type="dxa"/>
          <w:left w:w="28" w:type="dxa"/>
          <w:bottom w:w="28" w:type="dxa"/>
          <w:right w:w="28" w:type="dxa"/>
        </w:tblCellMar>
      </w:tblPr>
      <w:tblGrid>
        <w:gridCol w:w="1614"/>
        <w:gridCol w:w="1415"/>
        <w:gridCol w:w="1426"/>
        <w:gridCol w:w="211"/>
        <w:gridCol w:w="736"/>
        <w:gridCol w:w="109"/>
        <w:gridCol w:w="109"/>
        <w:gridCol w:w="109"/>
        <w:gridCol w:w="109"/>
        <w:gridCol w:w="250"/>
        <w:gridCol w:w="873"/>
        <w:gridCol w:w="182"/>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received not billed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other tax payable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returns and allowances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TRA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33,599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43,824</w:t>
            </w:r>
            <w:r>
              <w:rPr>
                <w:color w:val="000000"/>
              </w:rPr>
              <w:t> </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Included in accrued expenses and other current liabilities is a provision for sales returns and allowances. Returns are estimated based on past experience and current expectations and are recorded as an adjustment to revenue. </w:t>
      </w:r>
      <w:r>
        <w:rPr>
          <w:rFonts w:ascii="Times New Roman;sans-serif" w:hAnsi="Times New Roman;sans-serif"/>
          <w:b w:val="false"/>
          <w:color w:val="000000"/>
          <w:sz w:val="22"/>
          <w:shd w:fill="FFFFFF" w:val="clear"/>
        </w:rPr>
        <w:t xml:space="preserve">Activity for the </w:t>
      </w:r>
      <w:r>
        <w:rPr>
          <w:rFonts w:ascii="Times New Roman;sans-serif" w:hAnsi="Times New Roman;sans-serif"/>
          <w:b w:val="false"/>
          <w:color w:val="000000"/>
          <w:sz w:val="22"/>
        </w:rPr>
        <w:t>three months ended</w:t>
      </w:r>
      <w:r>
        <w:rPr>
          <w:color w:val="000000"/>
          <w:shd w:fill="FFFFFF" w:val="clear"/>
        </w:rPr>
        <w:t xml:space="preserve"> </w:t>
      </w:r>
      <w:r>
        <w:rPr>
          <w:rFonts w:ascii="Times New Roman;sans-serif" w:hAnsi="Times New Roman;sans-serif"/>
          <w:b w:val="false"/>
          <w:color w:val="000000"/>
          <w:sz w:val="22"/>
          <w:shd w:fill="FFFFFF" w:val="clear"/>
        </w:rPr>
        <w:t>March 31, 2024 and 2023, was as follows (in thousands):</w:t>
      </w:r>
    </w:p>
    <w:p>
      <w:pPr>
        <w:pStyle w:val="TextBody"/>
        <w:bidi w:val="0"/>
        <w:spacing w:before="0" w:after="0"/>
        <w:jc w:val="left"/>
        <w:rPr/>
      </w:pPr>
      <w:r>
        <w:rPr/>
      </w:r>
    </w:p>
    <w:tbl>
      <w:tblPr>
        <w:tblW w:w="4913" w:type="dxa"/>
        <w:jc w:val="center"/>
        <w:tblInd w:w="0" w:type="dxa"/>
        <w:tblLayout w:type="fixed"/>
        <w:tblCellMar>
          <w:top w:w="28" w:type="dxa"/>
          <w:left w:w="28" w:type="dxa"/>
          <w:bottom w:w="28" w:type="dxa"/>
          <w:right w:w="28" w:type="dxa"/>
        </w:tblCellMar>
      </w:tblPr>
      <w:tblGrid>
        <w:gridCol w:w="956"/>
        <w:gridCol w:w="840"/>
        <w:gridCol w:w="843"/>
        <w:gridCol w:w="211"/>
        <w:gridCol w:w="631"/>
        <w:gridCol w:w="109"/>
        <w:gridCol w:w="109"/>
        <w:gridCol w:w="109"/>
        <w:gridCol w:w="109"/>
        <w:gridCol w:w="211"/>
        <w:gridCol w:w="63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6. LEASES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operating lease costs were as follows (in thousands):</w:t>
      </w:r>
    </w:p>
    <w:p>
      <w:pPr>
        <w:pStyle w:val="TextBody"/>
        <w:bidi w:val="0"/>
        <w:spacing w:before="0" w:after="2"/>
        <w:jc w:val="left"/>
        <w:rPr/>
      </w:pPr>
      <w:r>
        <w:rPr/>
      </w:r>
    </w:p>
    <w:tbl>
      <w:tblPr>
        <w:tblW w:w="7875" w:type="dxa"/>
        <w:jc w:val="left"/>
        <w:tblInd w:w="0" w:type="dxa"/>
        <w:tblLayout w:type="fixed"/>
        <w:tblCellMar>
          <w:top w:w="28" w:type="dxa"/>
          <w:left w:w="28" w:type="dxa"/>
          <w:bottom w:w="28" w:type="dxa"/>
          <w:right w:w="28" w:type="dxa"/>
        </w:tblCellMar>
      </w:tblPr>
      <w:tblGrid>
        <w:gridCol w:w="586"/>
        <w:gridCol w:w="516"/>
        <w:gridCol w:w="518"/>
        <w:gridCol w:w="1049"/>
        <w:gridCol w:w="1049"/>
        <w:gridCol w:w="1052"/>
        <w:gridCol w:w="109"/>
        <w:gridCol w:w="109"/>
        <w:gridCol w:w="109"/>
        <w:gridCol w:w="109"/>
        <w:gridCol w:w="109"/>
        <w:gridCol w:w="109"/>
        <w:gridCol w:w="109"/>
        <w:gridCol w:w="109"/>
        <w:gridCol w:w="109"/>
        <w:gridCol w:w="196"/>
        <w:gridCol w:w="571"/>
        <w:gridCol w:w="109"/>
        <w:gridCol w:w="109"/>
        <w:gridCol w:w="109"/>
        <w:gridCol w:w="109"/>
        <w:gridCol w:w="196"/>
        <w:gridCol w:w="5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costs</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2,286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1,818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maturity analysis of the operating lease liabilities as of March 31, 2024 was as follows (in thousands):</w:t>
      </w:r>
    </w:p>
    <w:tbl>
      <w:tblPr>
        <w:tblW w:w="5151" w:type="dxa"/>
        <w:jc w:val="center"/>
        <w:tblInd w:w="0" w:type="dxa"/>
        <w:tblLayout w:type="fixed"/>
        <w:tblCellMar>
          <w:top w:w="28" w:type="dxa"/>
          <w:left w:w="28" w:type="dxa"/>
          <w:bottom w:w="28" w:type="dxa"/>
          <w:right w:w="28" w:type="dxa"/>
        </w:tblCellMar>
      </w:tblPr>
      <w:tblGrid>
        <w:gridCol w:w="1498"/>
        <w:gridCol w:w="1319"/>
        <w:gridCol w:w="1323"/>
        <w:gridCol w:w="196"/>
        <w:gridCol w:w="661"/>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For the remainder of the year ending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color w:val="000000"/>
                <w:sz w:val="18"/>
              </w:rPr>
              <w:t>Total minimum lease payments</w:t>
            </w:r>
            <w:r>
              <w:rPr>
                <w:rFonts w:ascii="Times New Roman;sans-serif" w:hAnsi="Times New Roman;sans-serif"/>
                <w:b/>
                <w:color w:val="000000"/>
                <w:sz w:val="12"/>
              </w:rPr>
              <w:t>(1)</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present value of operating lease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42,634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37,262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18"/>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 xml:space="preserve">Future minimum lease payments exclude $4.6 million of future payments required under signed lease agreements that has not yet commenced. These operating leases will commence after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with a lease term of five to seven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weighted-average remaining lease term and weighted-average discount rate on long-term leases was as follows: </w:t>
      </w:r>
    </w:p>
    <w:p>
      <w:pPr>
        <w:pStyle w:val="TextBody"/>
        <w:bidi w:val="0"/>
        <w:spacing w:before="0" w:after="0"/>
        <w:jc w:val="left"/>
        <w:rPr/>
      </w:pPr>
      <w:r>
        <w:rPr/>
      </w:r>
    </w:p>
    <w:tbl>
      <w:tblPr>
        <w:tblW w:w="6816" w:type="dxa"/>
        <w:jc w:val="left"/>
        <w:tblInd w:w="0" w:type="dxa"/>
        <w:tblLayout w:type="fixed"/>
        <w:tblCellMar>
          <w:top w:w="28" w:type="dxa"/>
          <w:left w:w="28" w:type="dxa"/>
          <w:bottom w:w="28" w:type="dxa"/>
          <w:right w:w="28" w:type="dxa"/>
        </w:tblCellMar>
      </w:tblPr>
      <w:tblGrid>
        <w:gridCol w:w="1511"/>
        <w:gridCol w:w="1326"/>
        <w:gridCol w:w="1332"/>
        <w:gridCol w:w="109"/>
        <w:gridCol w:w="109"/>
        <w:gridCol w:w="109"/>
        <w:gridCol w:w="223"/>
        <w:gridCol w:w="223"/>
        <w:gridCol w:w="528"/>
        <w:gridCol w:w="109"/>
        <w:gridCol w:w="109"/>
        <w:gridCol w:w="109"/>
        <w:gridCol w:w="213"/>
        <w:gridCol w:w="213"/>
        <w:gridCol w:w="593"/>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 operating leases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years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years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9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Cash paid for amounts included in the measurement of lease liabilities was $1.9 million and $1.3 million for the three months ended March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7. DEBT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net carrying amount of the Company's outstanding debt as of March 31, 2024 and December 31, 2023, net of debt issuance costs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9"/>
        <w:gridCol w:w="298"/>
        <w:gridCol w:w="300"/>
        <w:gridCol w:w="283"/>
        <w:gridCol w:w="969"/>
        <w:gridCol w:w="147"/>
        <w:gridCol w:w="109"/>
        <w:gridCol w:w="109"/>
        <w:gridCol w:w="109"/>
        <w:gridCol w:w="275"/>
        <w:gridCol w:w="671"/>
        <w:gridCol w:w="142"/>
        <w:gridCol w:w="109"/>
        <w:gridCol w:w="109"/>
        <w:gridCol w:w="109"/>
        <w:gridCol w:w="264"/>
        <w:gridCol w:w="903"/>
        <w:gridCol w:w="136"/>
        <w:gridCol w:w="109"/>
        <w:gridCol w:w="109"/>
        <w:gridCol w:w="109"/>
        <w:gridCol w:w="283"/>
        <w:gridCol w:w="969"/>
        <w:gridCol w:w="147"/>
        <w:gridCol w:w="109"/>
        <w:gridCol w:w="109"/>
        <w:gridCol w:w="109"/>
        <w:gridCol w:w="275"/>
        <w:gridCol w:w="671"/>
        <w:gridCol w:w="142"/>
        <w:gridCol w:w="109"/>
        <w:gridCol w:w="109"/>
        <w:gridCol w:w="109"/>
        <w:gridCol w:w="262"/>
        <w:gridCol w:w="895"/>
        <w:gridCol w:w="199"/>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Credit Agreement - Silicon Valley Bank</w:t>
      </w:r>
    </w:p>
    <w:p>
      <w:pPr>
        <w:pStyle w:val="TextBody"/>
        <w:bidi w:val="0"/>
        <w:spacing w:lineRule="auto" w:line="288" w:before="0" w:after="20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On May 24, 2022, Brilliant Earth, LLC, as borrower, and Silicon Valley Bank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 </w:t>
      </w:r>
    </w:p>
    <w:p>
      <w:pPr>
        <w:pStyle w:val="TextBody"/>
        <w:bidi w:val="0"/>
        <w:spacing w:lineRule="auto" w:line="288" w:before="0" w:after="20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w:t>
      </w:r>
    </w:p>
    <w:p>
      <w:pPr>
        <w:pStyle w:val="TextBody"/>
        <w:bidi w:val="0"/>
        <w:spacing w:lineRule="auto" w:line="288" w:before="0" w:after="200"/>
        <w:ind w:left="0" w:right="0" w:firstLine="720"/>
        <w:jc w:val="both"/>
        <w:rPr/>
      </w:pPr>
      <w:r>
        <w:rPr>
          <w:rFonts w:ascii="Times New Roman;sans-serif" w:hAnsi="Times New Roman;sans-serif"/>
          <w:b w:val="false"/>
          <w:color w:val="000000"/>
          <w:sz w:val="22"/>
          <w:shd w:fill="FFFFFF" w:val="clear"/>
        </w:rPr>
        <w:t xml:space="preserve">On February 21, 2024, we entered into the First Amendment to the SVB Credit Agreement </w:t>
      </w:r>
      <w:r>
        <w:rPr>
          <w:rFonts w:ascii="Times New Roman;sans-serif" w:hAnsi="Times New Roman;sans-serif"/>
          <w:b w:val="false"/>
          <w:color w:val="000000"/>
          <w:sz w:val="22"/>
        </w:rPr>
        <w:t>(the "First Amendment"), pursuant to which the lenders agreed to suspend the requirement to comply with the Consolidated Fixed Charge Coverage Ratio covenant on the last day of the fiscal quarters ending December 31, 2023, March 31, 2024, and June 30, 2024. The First Amendment also requires us to maintain Balance Sheet Cash (defined as unrestricted cash and cash equivalents held in accounts with the lenders and their affiliates ) in an amount greater than the sum of the aggregate principal amount outstanding under the SVB Revolving Facility (including issued letters of credit) and the aggregate principal amount of the SVB Term Loan outstanding at such time, which requirement applies at all times commencing on February 21, 2024 until the last day of the fiscal quarter ending June 30, 2024. After such time, the minimum Balance Sheet Cash covenant no longer applies.</w:t>
      </w:r>
    </w:p>
    <w:p>
      <w:pPr>
        <w:pStyle w:val="TextBody"/>
        <w:bidi w:val="0"/>
        <w:spacing w:lineRule="auto" w:line="288" w:before="0" w:after="20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As of March 31, 2024, the Company was in compliance with all applicable covenants under the SVB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The Company's debt effective interest rate was </w:t>
      </w:r>
      <w:r>
        <w:rPr>
          <w:rFonts w:ascii="Times New Roman;sans-serif" w:hAnsi="Times New Roman;sans-serif"/>
          <w:b w:val="false"/>
          <w:color w:val="000000"/>
          <w:sz w:val="22"/>
          <w:shd w:fill="FFFFFF" w:val="clear"/>
        </w:rPr>
        <w:t>8.10%</w:t>
      </w:r>
      <w:r>
        <w:rPr>
          <w:color w:val="000000"/>
        </w:rPr>
        <w:t xml:space="preserve"> </w:t>
      </w:r>
      <w:r>
        <w:rPr>
          <w:rFonts w:ascii="Times New Roman;sans-serif" w:hAnsi="Times New Roman;sans-serif"/>
          <w:b w:val="false"/>
          <w:color w:val="000000"/>
          <w:sz w:val="22"/>
        </w:rPr>
        <w:t xml:space="preserve">and 7.72% for the three months ended March 31, 2024 and 2023, respectively. </w:t>
      </w:r>
    </w:p>
    <w:p>
      <w:pPr>
        <w:pStyle w:val="TextBody"/>
        <w:bidi w:val="0"/>
        <w:spacing w:before="0" w:after="2"/>
        <w:jc w:val="left"/>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2"/>
        </w:rPr>
        <w:t>As of March 31, 2024, there w</w:t>
      </w:r>
      <w:r>
        <w:rPr>
          <w:rFonts w:ascii="Times New Roman;sans-serif" w:hAnsi="Times New Roman;sans-serif"/>
          <w:b w:val="false"/>
          <w:color w:val="000000"/>
          <w:sz w:val="22"/>
          <w:shd w:fill="FFFFFF" w:val="clear"/>
        </w:rPr>
        <w:t>ere no am</w:t>
      </w:r>
      <w:r>
        <w:rPr>
          <w:rFonts w:ascii="Times New Roman;sans-serif" w:hAnsi="Times New Roman;sans-serif"/>
          <w:b w:val="false"/>
          <w:color w:val="000000"/>
          <w:sz w:val="22"/>
        </w:rPr>
        <w:t>ounts outstanding under the SVB Revolving Facility.</w:t>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March 31, 2024, the aggregate future principal payments under the SVB Term Loan were as follows (in thousands):</w:t>
      </w:r>
    </w:p>
    <w:tbl>
      <w:tblPr>
        <w:tblW w:w="6201" w:type="dxa"/>
        <w:jc w:val="center"/>
        <w:tblInd w:w="0" w:type="dxa"/>
        <w:tblLayout w:type="fixed"/>
        <w:tblCellMar>
          <w:top w:w="28" w:type="dxa"/>
          <w:left w:w="28" w:type="dxa"/>
          <w:bottom w:w="28" w:type="dxa"/>
          <w:right w:w="28" w:type="dxa"/>
        </w:tblCellMar>
      </w:tblPr>
      <w:tblGrid>
        <w:gridCol w:w="1695"/>
        <w:gridCol w:w="1490"/>
        <w:gridCol w:w="1494"/>
        <w:gridCol w:w="211"/>
        <w:gridCol w:w="721"/>
        <w:gridCol w:w="109"/>
        <w:gridCol w:w="109"/>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the year ending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8. 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Restricted Stock Units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following table summarizes the activity related to the Company's restricted stock units ("RSUs") for the three months ended March 31, 2024:</w:t>
      </w:r>
    </w:p>
    <w:p>
      <w:pPr>
        <w:pStyle w:val="TextBody"/>
        <w:bidi w:val="0"/>
        <w:spacing w:before="0" w:after="2"/>
        <w:jc w:val="left"/>
        <w:rPr/>
      </w:pPr>
      <w:r>
        <w:rPr/>
      </w:r>
    </w:p>
    <w:tbl>
      <w:tblPr>
        <w:tblW w:w="8949" w:type="dxa"/>
        <w:jc w:val="left"/>
        <w:tblInd w:w="0" w:type="dxa"/>
        <w:tblLayout w:type="fixed"/>
        <w:tblCellMar>
          <w:top w:w="28" w:type="dxa"/>
          <w:left w:w="28" w:type="dxa"/>
          <w:bottom w:w="28" w:type="dxa"/>
          <w:right w:w="28" w:type="dxa"/>
        </w:tblCellMar>
      </w:tblPr>
      <w:tblGrid>
        <w:gridCol w:w="1320"/>
        <w:gridCol w:w="1161"/>
        <w:gridCol w:w="1163"/>
        <w:gridCol w:w="499"/>
        <w:gridCol w:w="499"/>
        <w:gridCol w:w="501"/>
        <w:gridCol w:w="109"/>
        <w:gridCol w:w="109"/>
        <w:gridCol w:w="109"/>
        <w:gridCol w:w="836"/>
        <w:gridCol w:w="2028"/>
        <w:gridCol w:w="615"/>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 unvested</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3,942,052 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1,468,413 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(506,264)</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 unvested</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4,851,475 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RSUs was $2.4 million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shd w:fill="FFFFFF" w:val="clear"/>
        </w:rPr>
        <w:t xml:space="preserve">$2.0 million for </w:t>
      </w:r>
      <w:r>
        <w:rPr>
          <w:rFonts w:ascii="Times New Roman;sans-serif" w:hAnsi="Times New Roman;sans-serif"/>
          <w:b w:val="false"/>
          <w:color w:val="000000"/>
          <w:sz w:val="22"/>
        </w:rPr>
        <w:t>three months ended March 31, 2024 and 2023 r</w:t>
      </w:r>
      <w:r>
        <w:rPr>
          <w:rFonts w:ascii="Times New Roman;sans-serif" w:hAnsi="Times New Roman;sans-serif"/>
          <w:b w:val="false"/>
          <w:color w:val="000000"/>
          <w:sz w:val="22"/>
          <w:shd w:fill="FFFFFF" w:val="clear"/>
        </w:rPr>
        <w:t xml:space="preserve">espectively, </w:t>
      </w:r>
      <w:r>
        <w:rPr>
          <w:rFonts w:ascii="Times New Roman;sans-serif" w:hAnsi="Times New Roman;sans-serif"/>
          <w:b w:val="false"/>
          <w:color w:val="000000"/>
          <w:sz w:val="22"/>
        </w:rPr>
        <w:t xml:space="preserve">and is included in selling, general and administrative expenses in the unaudited condensed consolidated statements of operations.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As of March 31, 2024, total compensation cost related to unvested RSUs not yet recognized is </w:t>
      </w:r>
      <w:r>
        <w:rPr>
          <w:rFonts w:ascii="Times New Roman;sans-serif" w:hAnsi="Times New Roman;sans-serif"/>
          <w:b w:val="false"/>
          <w:color w:val="000000"/>
          <w:sz w:val="22"/>
          <w:shd w:fill="FFFFFF" w:val="clear"/>
        </w:rPr>
        <w:t>$22.6 million</w:t>
      </w:r>
      <w:r>
        <w:rPr>
          <w:color w:val="000000"/>
        </w:rPr>
        <w:t xml:space="preserve"> </w:t>
      </w:r>
      <w:r>
        <w:rPr>
          <w:rFonts w:ascii="Times New Roman;sans-serif" w:hAnsi="Times New Roman;sans-serif"/>
          <w:b w:val="false"/>
          <w:color w:val="000000"/>
          <w:sz w:val="22"/>
        </w:rPr>
        <w:t xml:space="preserve">and is expected to be recognized over a weighted-average period of approximately </w:t>
      </w:r>
      <w:r>
        <w:rPr>
          <w:rFonts w:ascii="Times New Roman;sans-serif" w:hAnsi="Times New Roman;sans-serif"/>
          <w:b w:val="false"/>
          <w:color w:val="000000"/>
          <w:sz w:val="22"/>
          <w:shd w:fill="FFFFFF" w:val="clear"/>
        </w:rPr>
        <w:t>2.6</w:t>
      </w:r>
      <w:r>
        <w:rPr>
          <w:color w:val="000000"/>
        </w:rPr>
        <w:t xml:space="preserve"> </w:t>
      </w:r>
      <w:r>
        <w:rPr>
          <w:rFonts w:ascii="Times New Roman;sans-serif" w:hAnsi="Times New Roman;sans-serif"/>
          <w:b w:val="false"/>
          <w:color w:val="000000"/>
          <w:sz w:val="22"/>
        </w:rPr>
        <w:t>years.</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Stock Options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following table summarizes the activity related to the outstanding and exercisable stock options </w:t>
      </w:r>
      <w:r>
        <w:rPr>
          <w:rFonts w:ascii="Times New Roman;sans-serif" w:hAnsi="Times New Roman;sans-serif"/>
          <w:b w:val="false"/>
          <w:color w:val="000000"/>
          <w:sz w:val="22"/>
          <w:shd w:fill="FFFFFF" w:val="clear"/>
        </w:rPr>
        <w:t xml:space="preserve">for the </w:t>
      </w:r>
      <w:r>
        <w:rPr>
          <w:rFonts w:ascii="Times New Roman;sans-serif" w:hAnsi="Times New Roman;sans-serif"/>
          <w:b w:val="false"/>
          <w:color w:val="000000"/>
          <w:sz w:val="22"/>
        </w:rPr>
        <w:t>three months ended March 31, 2024</w:t>
      </w:r>
      <w:r>
        <w:rPr>
          <w:rFonts w:ascii="Times New Roman;sans-serif" w:hAnsi="Times New Roman;sans-serif"/>
          <w:b w:val="false"/>
          <w:color w:val="000000"/>
          <w:sz w:val="22"/>
          <w:shd w:fill="FFFFFF" w:val="clear"/>
        </w:rPr>
        <w:t>:</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804"/>
        <w:gridCol w:w="707"/>
        <w:gridCol w:w="708"/>
        <w:gridCol w:w="554"/>
        <w:gridCol w:w="367"/>
        <w:gridCol w:w="364"/>
        <w:gridCol w:w="109"/>
        <w:gridCol w:w="109"/>
        <w:gridCol w:w="109"/>
        <w:gridCol w:w="359"/>
        <w:gridCol w:w="1048"/>
        <w:gridCol w:w="185"/>
        <w:gridCol w:w="109"/>
        <w:gridCol w:w="109"/>
        <w:gridCol w:w="109"/>
        <w:gridCol w:w="449"/>
        <w:gridCol w:w="1089"/>
        <w:gridCol w:w="234"/>
        <w:gridCol w:w="109"/>
        <w:gridCol w:w="109"/>
        <w:gridCol w:w="109"/>
        <w:gridCol w:w="686"/>
        <w:gridCol w:w="686"/>
        <w:gridCol w:w="98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741,201 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2024</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2024</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2024</w:t>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741,201 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As of March 31, 2024,</w:t>
      </w:r>
      <w:r>
        <w:rPr>
          <w:color w:val="000000"/>
          <w:shd w:fill="FFFFFF" w:val="clear"/>
        </w:rPr>
        <w:t xml:space="preserve"> </w:t>
      </w:r>
      <w:r>
        <w:rPr>
          <w:rFonts w:ascii="Times New Roman;sans-serif" w:hAnsi="Times New Roman;sans-serif"/>
          <w:b w:val="false"/>
          <w:color w:val="000000"/>
          <w:sz w:val="22"/>
          <w:shd w:fill="FFFFFF" w:val="clear"/>
        </w:rPr>
        <w:t xml:space="preserve">the vested stock options did not have an aggregated intrinsic value as the exercise price exceeded the estimated fair market value of the stock options.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stock options was approximately $0.2 million and $0.2 million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 xml:space="preserve">for the </w:t>
      </w:r>
      <w:r>
        <w:rPr>
          <w:rFonts w:ascii="Times New Roman;sans-serif" w:hAnsi="Times New Roman;sans-serif"/>
          <w:b w:val="false"/>
          <w:color w:val="000000"/>
          <w:sz w:val="22"/>
        </w:rPr>
        <w:t>three months ended March 31, 2024 and 2023 r</w:t>
      </w:r>
      <w:r>
        <w:rPr>
          <w:rFonts w:ascii="Times New Roman;sans-serif" w:hAnsi="Times New Roman;sans-serif"/>
          <w:b w:val="false"/>
          <w:color w:val="000000"/>
          <w:sz w:val="22"/>
          <w:shd w:fill="FFFFFF" w:val="clear"/>
        </w:rPr>
        <w:t>espectively, and is included in selling, general and administrative expenses in the unaudited condensed consolidated statements of operations.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As of March 31, 2024, total compensation cost related to unvested options not yet recognized is $0.6 million</w:t>
      </w:r>
      <w:r>
        <w:rPr>
          <w:color w:val="000000"/>
        </w:rPr>
        <w:t xml:space="preserve"> </w:t>
      </w:r>
      <w:r>
        <w:rPr>
          <w:rFonts w:ascii="Times New Roman;sans-serif" w:hAnsi="Times New Roman;sans-serif"/>
          <w:b w:val="false"/>
          <w:color w:val="000000"/>
          <w:sz w:val="22"/>
        </w:rPr>
        <w:t>and is expected to be recognized over a weighted-average period of approximately 1.0 year.</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9</w:t>
      </w:r>
      <w:r>
        <w:rPr>
          <w:rFonts w:ascii="Times New Roman;sans-serif" w:hAnsi="Times New Roman;sans-serif"/>
          <w:b/>
          <w:color w:val="000000"/>
          <w:sz w:val="22"/>
          <w:shd w:fill="FFFFFF" w:val="clear"/>
        </w:rPr>
        <w:t>. INCOME TAXES AND TAX RECEIVABLE AGREEMENT</w:t>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Overview of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Tax Provision and Deferred Tax Asset</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 xml:space="preserve">At the end of each interim period, Brilliant Earth Group, Inc. estimates the effective tax rate expected to be applicable for the full fiscal year. This differs from the method utilized at the end of an annual period. </w:t>
      </w:r>
      <w:r>
        <w:rPr>
          <w:rFonts w:ascii="Times New Roman;sans-serif" w:hAnsi="Times New Roman;sans-serif"/>
          <w:b w:val="false"/>
          <w:color w:val="000000"/>
          <w:sz w:val="22"/>
        </w:rPr>
        <w:t>The Company's effective tax rate of 6.40% for the three months ended March 31, 2024, differs from the U.S. federal statutory tax rate of 21% primarily due to income associated with the non-controlling interest, state tax expense and other permanent items.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The Company recorded net decreases in deferred tax assets of </w:t>
      </w:r>
      <w:r>
        <w:rPr>
          <w:rFonts w:ascii="Times New Roman;sans-serif" w:hAnsi="Times New Roman;sans-serif"/>
          <w:b w:val="false"/>
          <w:color w:val="000000"/>
          <w:sz w:val="22"/>
          <w:shd w:fill="FFFFFF" w:val="clear"/>
        </w:rPr>
        <w:t>$0.3 million</w:t>
      </w:r>
      <w:r>
        <w:rPr>
          <w:color w:val="000000"/>
        </w:rPr>
        <w:t xml:space="preserve"> </w:t>
      </w:r>
      <w:r>
        <w:rPr>
          <w:rFonts w:ascii="Times New Roman;sans-serif" w:hAnsi="Times New Roman;sans-serif"/>
          <w:b w:val="false"/>
          <w:color w:val="000000"/>
          <w:sz w:val="22"/>
        </w:rPr>
        <w:t>during the three months ended March 31, 2024, with a corresponding decrease to additional paid in capital, resulting from changes in the outside basis difference on Brilliant Earth Group Inc.'s investment in Brilliant Earth, LLC. The Company has determined it is more-likely-than-not that it will be able to realize this deferred tax asset in the future.     </w:t>
      </w:r>
      <w:r>
        <w:rPr>
          <w:rFonts w:ascii="Times New Roman;sans-serif" w:hAnsi="Times New Roman;sans-serif"/>
          <w:b w:val="false"/>
          <w:color w:val="000000"/>
          <w:sz w:val="22"/>
          <w:shd w:fill="FFFFFF" w:val="clear"/>
        </w:rPr>
        <w:br/>
        <w:br/>
      </w:r>
      <w:r>
        <w:rPr>
          <w:rFonts w:ascii="Times New Roman;sans-serif" w:hAnsi="Times New Roman;sans-serif"/>
          <w:b/>
          <w:i/>
          <w:color w:val="000000"/>
          <w:sz w:val="22"/>
        </w:rPr>
        <w:t xml:space="preserve">Tax Receivable Agreement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In addition, as part of the IPO, the Company entered into a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 xml:space="preserve">As of </w:t>
      </w:r>
      <w:r>
        <w:rPr>
          <w:rFonts w:ascii="Times New Roman;sans-serif" w:hAnsi="Times New Roman;sans-serif"/>
          <w:b w:val="false"/>
          <w:color w:val="000000"/>
          <w:sz w:val="22"/>
        </w:rPr>
        <w:t>March 31, 2024</w:t>
      </w:r>
      <w:r>
        <w:rPr>
          <w:rFonts w:ascii="Times New Roman;sans-serif" w:hAnsi="Times New Roman;sans-serif"/>
          <w:b w:val="false"/>
          <w:color w:val="000000"/>
          <w:sz w:val="22"/>
          <w:shd w:fill="FFFFFF" w:val="clear"/>
        </w:rPr>
        <w:t>, related to the TRA, the Company has recorded (i) a deferred tax asset in the amount of</w:t>
      </w:r>
      <w:r>
        <w:rPr>
          <w:color w:val="000000"/>
        </w:rPr>
        <w:t xml:space="preserve"> </w:t>
      </w:r>
      <w:r>
        <w:rPr>
          <w:rFonts w:ascii="Times New Roman;sans-serif" w:hAnsi="Times New Roman;sans-serif"/>
          <w:b w:val="false"/>
          <w:color w:val="000000"/>
          <w:sz w:val="22"/>
          <w:shd w:fill="FFFFFF" w:val="clear"/>
        </w:rPr>
        <w:t>$8.6 million</w:t>
      </w:r>
      <w:r>
        <w:rPr>
          <w:rFonts w:ascii="Times New Roman;sans-serif" w:hAnsi="Times New Roman;sans-serif"/>
          <w:b w:val="false"/>
          <w:color w:val="000000"/>
          <w:sz w:val="22"/>
        </w:rPr>
        <w:t xml:space="preserve">, (ii) a corresponding estimated liability with a balance of </w:t>
      </w:r>
      <w:r>
        <w:rPr>
          <w:rFonts w:ascii="Times New Roman;sans-serif" w:hAnsi="Times New Roman;sans-serif"/>
          <w:b w:val="false"/>
          <w:color w:val="000000"/>
          <w:sz w:val="22"/>
          <w:shd w:fill="FFFFFF" w:val="clear"/>
        </w:rPr>
        <w:t>$8.0 million</w:t>
      </w:r>
      <w:r>
        <w:rPr>
          <w:color w:val="000000"/>
        </w:rPr>
        <w:t xml:space="preserve"> </w:t>
      </w:r>
      <w:r>
        <w:rPr>
          <w:rFonts w:ascii="Times New Roman;sans-serif" w:hAnsi="Times New Roman;sans-serif"/>
          <w:b w:val="false"/>
          <w:color w:val="000000"/>
          <w:sz w:val="22"/>
        </w:rPr>
        <w:t xml:space="preserve">representing 85% of the </w:t>
      </w:r>
      <w:r>
        <w:rPr>
          <w:rFonts w:ascii="Times New Roman;sans-serif" w:hAnsi="Times New Roman;sans-serif"/>
          <w:b w:val="false"/>
          <w:color w:val="000000"/>
          <w:sz w:val="22"/>
          <w:shd w:fill="FFFFFF" w:val="clear"/>
        </w:rPr>
        <w:t>projected tax benefits to the Continuing Equity Owners; and (iii) $0.6 million of additional paid-in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remains pending as of the date of this Quarterly Report on Form 10-Q. At this time, any liability related to the alleged claims is not currently probable or reasonably estimable.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7" w:after="16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2"/>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w:t>
      </w:r>
      <w:r>
        <w:rPr>
          <w:rFonts w:ascii="Times New Roman;sans-serif" w:hAnsi="Times New Roman;sans-serif"/>
          <w:b w:val="false"/>
          <w:color w:val="000000"/>
          <w:sz w:val="22"/>
        </w:rPr>
        <w:t>2023</w:t>
      </w:r>
      <w:r>
        <w:rPr>
          <w:color w:val="000000"/>
        </w:rPr>
        <w:t xml:space="preserve"> </w:t>
      </w:r>
      <w:r>
        <w:rPr>
          <w:rFonts w:ascii="Times New Roman;sans-serif" w:hAnsi="Times New Roman;sans-serif"/>
          <w:b w:val="false"/>
          <w:i/>
          <w:color w:val="000000"/>
          <w:sz w:val="22"/>
        </w:rPr>
        <w:t xml:space="preserve">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w:t>
      </w:r>
      <w:r>
        <w:rPr>
          <w:rFonts w:ascii="Times New Roman;sans-serif" w:hAnsi="Times New Roman;sans-serif"/>
          <w:b w:val="false"/>
          <w:color w:val="000000"/>
          <w:sz w:val="22"/>
        </w:rPr>
        <w:t>2023</w:t>
      </w:r>
      <w:r>
        <w:rPr>
          <w:color w:val="000000"/>
        </w:rPr>
        <w:t xml:space="preserve"> </w:t>
      </w:r>
      <w:r>
        <w:rPr>
          <w:rFonts w:ascii="Times New Roman;sans-serif" w:hAnsi="Times New Roman;sans-serif"/>
          <w:b w:val="false"/>
          <w:i/>
          <w:color w:val="000000"/>
          <w:sz w:val="22"/>
        </w:rPr>
        <w:t>Form 10-K. We assume no obligation to update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2"/>
        </w:rPr>
      </w:pPr>
      <w:r>
        <w:rPr>
          <w:rFonts w:ascii="Times New Roman;sans-serif" w:hAnsi="Times New Roman;sans-serif"/>
          <w:b/>
          <w:color w:val="000000"/>
          <w:sz w:val="22"/>
        </w:rPr>
        <w:t>Company Overview</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bidi w:val="0"/>
        <w:spacing w:before="0" w:after="2"/>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three months ended March 31,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Net sales of </w:t>
      </w:r>
      <w:r>
        <w:rPr>
          <w:rFonts w:ascii="Times New Roman;sans-serif" w:hAnsi="Times New Roman;sans-serif"/>
          <w:b w:val="false"/>
          <w:color w:val="000000"/>
          <w:sz w:val="22"/>
          <w:shd w:fill="FFFFFF" w:val="clear"/>
        </w:rPr>
        <w:t>$97.3 million</w:t>
      </w:r>
      <w:r>
        <w:rPr>
          <w:rFonts w:ascii="Times New Roman;sans-serif" w:hAnsi="Times New Roman;sans-serif"/>
          <w:b w:val="false"/>
          <w:color w:val="000000"/>
          <w:sz w:val="22"/>
        </w:rPr>
        <w:t>, down 0.4% compared to $97.7 million for the three months ended March 31,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Net income of </w:t>
      </w:r>
      <w:r>
        <w:rPr>
          <w:rFonts w:ascii="Times New Roman;sans-serif" w:hAnsi="Times New Roman;sans-serif"/>
          <w:b w:val="false"/>
          <w:color w:val="000000"/>
          <w:sz w:val="22"/>
          <w:shd w:fill="FFFFFF" w:val="clear"/>
        </w:rPr>
        <w:t>$1.1 million</w:t>
      </w:r>
      <w:r>
        <w:rPr>
          <w:rFonts w:ascii="Times New Roman;sans-serif" w:hAnsi="Times New Roman;sans-serif"/>
          <w:b w:val="false"/>
          <w:color w:val="000000"/>
          <w:sz w:val="22"/>
        </w:rPr>
        <w:t>, up 342.5% compared to a net loss of $0.4 million for the three months ended March 31,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Net income margin of </w:t>
      </w:r>
      <w:r>
        <w:rPr>
          <w:rFonts w:ascii="Times New Roman;sans-serif" w:hAnsi="Times New Roman;sans-serif"/>
          <w:b w:val="false"/>
          <w:color w:val="000000"/>
          <w:sz w:val="22"/>
          <w:shd w:fill="FFFFFF" w:val="clear"/>
        </w:rPr>
        <w:t>1.1%</w:t>
      </w:r>
      <w:r>
        <w:rPr>
          <w:rFonts w:ascii="Times New Roman;sans-serif" w:hAnsi="Times New Roman;sans-serif"/>
          <w:b w:val="false"/>
          <w:color w:val="000000"/>
          <w:sz w:val="22"/>
        </w:rPr>
        <w:t>, compared to a net loss margin of 0.5% for the three months ended March 31,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Adjusted EBITDA of </w:t>
      </w:r>
      <w:r>
        <w:rPr>
          <w:rFonts w:ascii="Times New Roman;sans-serif" w:hAnsi="Times New Roman;sans-serif"/>
          <w:b w:val="false"/>
          <w:color w:val="000000"/>
          <w:sz w:val="22"/>
          <w:shd w:fill="FFFFFF" w:val="clear"/>
        </w:rPr>
        <w:t>$5.1 million</w:t>
      </w:r>
      <w:r>
        <w:rPr>
          <w:rFonts w:ascii="Times New Roman;sans-serif" w:hAnsi="Times New Roman;sans-serif"/>
          <w:b w:val="false"/>
          <w:color w:val="000000"/>
          <w:sz w:val="22"/>
        </w:rPr>
        <w:t>, down 8.3%, compared to $5.5 million for the three months ended March 31, 2023;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Adjusted EBITDA margin of </w:t>
      </w:r>
      <w:r>
        <w:rPr>
          <w:rFonts w:ascii="Times New Roman;sans-serif" w:hAnsi="Times New Roman;sans-serif"/>
          <w:b w:val="false"/>
          <w:color w:val="000000"/>
          <w:sz w:val="22"/>
          <w:shd w:fill="FFFFFF" w:val="clear"/>
        </w:rPr>
        <w:t>5.2%</w:t>
      </w:r>
      <w:r>
        <w:rPr>
          <w:rFonts w:ascii="Times New Roman;sans-serif" w:hAnsi="Times New Roman;sans-serif"/>
          <w:b w:val="false"/>
          <w:color w:val="000000"/>
          <w:sz w:val="22"/>
        </w:rPr>
        <w:t>, compared to 5.7% for the three months ended March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operate in one operating and reporting segment, the retail sale of diamonds, gemstones and jewelry.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Key Factors Affecting Our Performance</w:t>
      </w:r>
    </w:p>
    <w:p>
      <w:pPr>
        <w:pStyle w:val="TextBody"/>
        <w:bidi w:val="0"/>
        <w:spacing w:before="0" w:after="2"/>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Our Ability to Increase Brand Awareness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pStyle w:val="TextBody"/>
        <w:bidi w:val="0"/>
        <w:spacing w:before="0" w:after="0"/>
        <w:jc w:val="both"/>
        <w:rPr/>
      </w:pPr>
      <w:r>
        <w:rPr/>
      </w:r>
    </w:p>
    <w:p>
      <w:pPr>
        <w:pStyle w:val="TextBody"/>
        <w:bidi w:val="0"/>
        <w:spacing w:lineRule="auto" w:line="300" w:before="0" w:after="2"/>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Cost-Effective Acquisition of New Customers and Retention of Existing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will continue to drive fine jewelry orders from new customers and repeat orders from existing customers.</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Our Ability to Continue Successfully Growing and Managing our Omnichannel Presence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Our Ability to Successfully Introduce New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International Expansion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We are in the early stages of expanding globally, and a larger geographic footprint will help drive future growth. Our early proof-points from localizing our website for Canada, Australia, and the United Kingdom, and our sales to customers fr</w:t>
      </w:r>
      <w:r>
        <w:rPr>
          <w:rFonts w:ascii="Times New Roman;sans-serif" w:hAnsi="Times New Roman;sans-serif"/>
          <w:b w:val="false"/>
          <w:color w:val="000000"/>
          <w:sz w:val="22"/>
          <w:shd w:fill="FFFFFF" w:val="clear"/>
        </w:rPr>
        <w:t>om over 50 countries, pro</w:t>
      </w:r>
      <w:r>
        <w:rPr>
          <w:rFonts w:ascii="Times New Roman;sans-serif" w:hAnsi="Times New Roman;sans-serif"/>
          <w:b w:val="false"/>
          <w:color w:val="000000"/>
          <w:sz w:val="22"/>
        </w:rPr>
        <w:t>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Operational and Marketing Efficiency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specialist team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bidi w:val="0"/>
        <w:spacing w:before="0" w:after="0"/>
        <w:jc w:val="both"/>
        <w:rPr/>
      </w:pPr>
      <w:r>
        <w:rPr/>
      </w:r>
    </w:p>
    <w:p>
      <w:pPr>
        <w:pStyle w:val="TextBody"/>
        <w:bidi w:val="0"/>
        <w:spacing w:lineRule="auto" w:line="300" w:before="0" w:after="2"/>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Costs of Operating as a Public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is critical to our future success.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Macroeconomic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Seasonality</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larger share of our annual revenues and profits traditionally occur in the fourth quarter because it includes the November and December holiday sales period.</w:t>
      </w:r>
    </w:p>
    <w:p>
      <w:pPr>
        <w:pStyle w:val="TextBody"/>
        <w:bidi w:val="0"/>
        <w:spacing w:before="0" w:after="2"/>
        <w:jc w:val="both"/>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Components of Results of Operations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a description of the components of our results of operations, refer to Part II, Item 7, “Management’s Discussion and Analysis of Financial Condition and Results of Operations” of our 2023 Form 10-K."</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data in the following table for the periods presented have been derived from the unaudited condensed consolidated financial statements included elsewhere in this Quarterly Report on Form 10-Q.</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Comparison of Three Months Ended March 31, 2024 and 2023</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sets forth our statements of operations for the three months ended March 31, 2024 and 2023, including amounts and percentages of net sales for each period and the period-to-period change in dollars and percent (amounts in thousands):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8"/>
        <w:gridCol w:w="789"/>
        <w:gridCol w:w="571"/>
        <w:gridCol w:w="211"/>
        <w:gridCol w:w="721"/>
        <w:gridCol w:w="109"/>
        <w:gridCol w:w="109"/>
        <w:gridCol w:w="109"/>
        <w:gridCol w:w="109"/>
        <w:gridCol w:w="308"/>
        <w:gridCol w:w="308"/>
        <w:gridCol w:w="417"/>
        <w:gridCol w:w="109"/>
        <w:gridCol w:w="109"/>
        <w:gridCol w:w="109"/>
        <w:gridCol w:w="211"/>
        <w:gridCol w:w="721"/>
        <w:gridCol w:w="109"/>
        <w:gridCol w:w="109"/>
        <w:gridCol w:w="109"/>
        <w:gridCol w:w="109"/>
        <w:gridCol w:w="308"/>
        <w:gridCol w:w="308"/>
        <w:gridCol w:w="417"/>
        <w:gridCol w:w="109"/>
        <w:gridCol w:w="109"/>
        <w:gridCol w:w="109"/>
        <w:gridCol w:w="211"/>
        <w:gridCol w:w="499"/>
        <w:gridCol w:w="109"/>
        <w:gridCol w:w="109"/>
        <w:gridCol w:w="109"/>
        <w:gridCol w:w="109"/>
        <w:gridCol w:w="359"/>
        <w:gridCol w:w="362"/>
        <w:gridCol w:w="474"/>
      </w:tblGrid>
      <w:tr>
        <w:trPr/>
        <w:tc>
          <w:tcPr>
            <w:tcW w:w="10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allocable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allocable to Brilliant Earth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Net Sales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Net sales for the three months ended March 31, 2024 decreased by $0.4 million, or 0.4%, compared to the three months ended March 31, 2023. The decrease in net sales was due to a decrease of 12.4% in AOV, largely offset by an increase in order volumes of 13.7%. </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decrease in AOV was driven by an increase in sales of lower price point products, including fine jewelry.</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13.7% increase in order volumes was due to:</w:t>
      </w:r>
    </w:p>
    <w:p>
      <w:pPr>
        <w:pStyle w:val="TextBody"/>
        <w:bidi w:val="0"/>
        <w:spacing w:before="0" w:after="2"/>
        <w:jc w:val="both"/>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2"/>
          <w:shd w:fill="FFFFFF" w:val="clear"/>
        </w:rPr>
        <w:t>strong omnichannel performance across the Company's products and new product collection releases, in particular lower price point products, including fine jewelry;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continued effectiveness of our customer acquisition and retention activities; and </w:t>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the opening of new showrooms.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Gross Profit</w:t>
      </w:r>
    </w:p>
    <w:p>
      <w:pPr>
        <w:pStyle w:val="TextBody"/>
        <w:bidi w:val="0"/>
        <w:spacing w:before="0" w:after="2"/>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 xml:space="preserve">Gross profit for the three months ended March 31, 2024 increased by $4.6 million, or 8.6%, compared to the three months ended March 31, 2023. Gross margin, expressed as a percentage and calculated as gross profit divided by net sales, increased by 500 basis points for the three months ended March 31, 2024 compared to the three months ended March 31, 2023, primarily driven by our premium brand and differentiated product offerings, performance of our pricing engine, procurement efficiencies and benefits from our extended warranty program. Gross margin was further positively impacted by an 8.3% reduction in average platinum spot prices and negatively impacted by an increase of 9.7% in average gold spot prices for </w:t>
      </w:r>
      <w:r>
        <w:rPr>
          <w:rFonts w:ascii="Times New Roman;sans-serif" w:hAnsi="Times New Roman;sans-serif"/>
          <w:b w:val="false"/>
          <w:color w:val="000000"/>
          <w:sz w:val="22"/>
        </w:rPr>
        <w:t xml:space="preserve">the three months ended March 31, 2024 as compared to the three months ended March 31, 2023.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Selling, General and Administrative Expenses</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Selling, general and administrative expenses for the three months ended March 31, 2024 increased by </w:t>
      </w:r>
      <w:r>
        <w:rPr>
          <w:rFonts w:ascii="Times New Roman;sans-serif" w:hAnsi="Times New Roman;sans-serif"/>
          <w:b w:val="false"/>
          <w:color w:val="000000"/>
          <w:sz w:val="22"/>
          <w:shd w:fill="FFFFFF" w:val="clear"/>
        </w:rPr>
        <w:t>$3.7 million</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shd w:fill="FFFFFF" w:val="clear"/>
        </w:rPr>
        <w:t>6.8%,</w:t>
      </w:r>
      <w:r>
        <w:rPr>
          <w:color w:val="000000"/>
        </w:rPr>
        <w:t xml:space="preserve"> </w:t>
      </w:r>
      <w:r>
        <w:rPr>
          <w:rFonts w:ascii="Times New Roman;sans-serif" w:hAnsi="Times New Roman;sans-serif"/>
          <w:b w:val="false"/>
          <w:color w:val="000000"/>
          <w:sz w:val="22"/>
        </w:rPr>
        <w:t>compared to the three months ended March 31, 2023. Selling, general and administrative expenses as a percentage of net sales increased by 400 basis points for the quarter ended March 31, 2024 compared to the quarter ended March 31, 2023. The increase in selling, general and administrative expenses was driven by an increase in employment expenses, other general and administrative expenses, an</w:t>
      </w:r>
      <w:r>
        <w:rPr>
          <w:rFonts w:ascii="Times New Roman;sans-serif" w:hAnsi="Times New Roman;sans-serif"/>
          <w:b w:val="false"/>
          <w:color w:val="000000"/>
          <w:sz w:val="22"/>
          <w:shd w:fill="FFFFFF" w:val="clear"/>
        </w:rPr>
        <w:t>d marketing expenses, w</w:t>
      </w:r>
      <w:r>
        <w:rPr>
          <w:rFonts w:ascii="Times New Roman;sans-serif" w:hAnsi="Times New Roman;sans-serif"/>
          <w:b w:val="false"/>
          <w:color w:val="000000"/>
          <w:sz w:val="22"/>
        </w:rPr>
        <w:t xml:space="preserve">hich increased </w:t>
      </w:r>
      <w:r>
        <w:rPr>
          <w:rFonts w:ascii="Times New Roman;sans-serif" w:hAnsi="Times New Roman;sans-serif"/>
          <w:b w:val="false"/>
          <w:color w:val="000000"/>
          <w:sz w:val="22"/>
          <w:shd w:fill="FFFFFF" w:val="clear"/>
        </w:rPr>
        <w:t>by $2.6 million, $0.6 million, and $0.5 million, respectively, from the quarter ended March 31, 2023 to the</w:t>
      </w:r>
      <w:r>
        <w:rPr>
          <w:color w:val="000000"/>
        </w:rPr>
        <w:t xml:space="preserve"> </w:t>
      </w:r>
      <w:r>
        <w:rPr>
          <w:rFonts w:ascii="Times New Roman;sans-serif" w:hAnsi="Times New Roman;sans-serif"/>
          <w:b w:val="false"/>
          <w:color w:val="000000"/>
          <w:sz w:val="22"/>
        </w:rPr>
        <w:t xml:space="preserve">quarter ended March 31, 2024. </w:t>
      </w:r>
    </w:p>
    <w:p>
      <w:pPr>
        <w:pStyle w:val="TextBody"/>
        <w:bidi w:val="0"/>
        <w:spacing w:before="0" w:after="2"/>
        <w:jc w:val="left"/>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The increase in employment expenses was driven by an increase in salaries and wages, equity-based compensation, payroll taxes and other benefits expense primarily due to the addition of staff to support our growth</w:t>
      </w:r>
      <w:r>
        <w:rPr>
          <w:rFonts w:ascii="Times New Roman;sans-serif" w:hAnsi="Times New Roman;sans-serif"/>
          <w:b w:val="false"/>
          <w:color w:val="000000"/>
          <w:sz w:val="22"/>
          <w:shd w:fill="FFFFFF" w:val="clear"/>
        </w:rPr>
        <w:t>. The increase in other general and administrative expenses was a result of overall Company growth and principally driven by a $0.6 million increase in rent and lease related expenses, a $0.4 million increase in other general administrative expenses, a $0.3 million increase in contract labor, a $0.3 million increase in professional fees, a $0.3 million increase in information technology and other software-related costs, and a $0.2 million increase in depreciation expense. Th</w:t>
      </w:r>
      <w:r>
        <w:rPr>
          <w:rFonts w:ascii="Times New Roman;sans-serif" w:hAnsi="Times New Roman;sans-serif"/>
          <w:b w:val="false"/>
          <w:color w:val="000000"/>
          <w:sz w:val="22"/>
        </w:rPr>
        <w:t xml:space="preserve">ese increases in other general and administrative expenses were partially offset by a </w:t>
      </w:r>
      <w:r>
        <w:rPr>
          <w:rFonts w:ascii="Times New Roman;sans-serif" w:hAnsi="Times New Roman;sans-serif"/>
          <w:b w:val="false"/>
          <w:color w:val="000000"/>
          <w:sz w:val="22"/>
          <w:shd w:fill="FFFFFF" w:val="clear"/>
        </w:rPr>
        <w:t xml:space="preserve">$1.5 million </w:t>
      </w:r>
      <w:r>
        <w:rPr>
          <w:rFonts w:ascii="Times New Roman;sans-serif" w:hAnsi="Times New Roman;sans-serif"/>
          <w:b w:val="false"/>
          <w:color w:val="000000"/>
          <w:sz w:val="22"/>
        </w:rPr>
        <w:t xml:space="preserve">decrease in pre-opening expenses from the opening of new showrooms compared to the quarter ended March 31, 2023. The increase in marketing expenses was driven by increased investments in marketing and advertising to increase brand awareness and support strategic growth initiatives. </w:t>
      </w:r>
    </w:p>
    <w:p>
      <w:pPr>
        <w:pStyle w:val="TextBody"/>
        <w:bidi w:val="0"/>
        <w:spacing w:before="0" w:after="2"/>
        <w:jc w:val="left"/>
        <w:rPr/>
      </w:pPr>
      <w:r>
        <w:rPr/>
      </w:r>
    </w:p>
    <w:p>
      <w:pPr>
        <w:pStyle w:val="TextBody"/>
        <w:bidi w:val="0"/>
        <w:spacing w:lineRule="auto" w:line="300" w:before="0" w:after="200"/>
        <w:jc w:val="both"/>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Other Income, net</w:t>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Other income, net for the three months ended March 31, 2024 increased by </w:t>
      </w:r>
      <w:r>
        <w:rPr>
          <w:rFonts w:ascii="Times New Roman;sans-serif" w:hAnsi="Times New Roman;sans-serif"/>
          <w:b w:val="false"/>
          <w:color w:val="000000"/>
          <w:sz w:val="22"/>
          <w:shd w:fill="FFFFFF" w:val="clear"/>
        </w:rPr>
        <w:t>$0.6 million</w:t>
      </w:r>
      <w:r>
        <w:rPr>
          <w:rFonts w:ascii="Times New Roman;sans-serif" w:hAnsi="Times New Roman;sans-serif"/>
          <w:b w:val="false"/>
          <w:color w:val="000000"/>
          <w:sz w:val="22"/>
        </w:rPr>
        <w:t xml:space="preserve">, compared to the three months ended March 31, 2023, primarily due to increased interest income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our cash balances. Additionally, this amount includes immaterial losses on exchange rates on consumer payments and other miscellaneous income.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Key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key performance metrics for the periods presented (amounts in thousands, except for total orders and AOV):</w:t>
      </w:r>
    </w:p>
    <w:p>
      <w:pPr>
        <w:pStyle w:val="TextBody"/>
        <w:bidi w:val="0"/>
        <w:spacing w:before="0" w:after="0"/>
        <w:jc w:val="left"/>
        <w:rPr/>
      </w:pPr>
      <w:r>
        <w:rPr/>
      </w:r>
    </w:p>
    <w:tbl>
      <w:tblPr>
        <w:tblW w:w="7927" w:type="dxa"/>
        <w:jc w:val="left"/>
        <w:tblInd w:w="0" w:type="dxa"/>
        <w:tblLayout w:type="fixed"/>
        <w:tblCellMar>
          <w:top w:w="28" w:type="dxa"/>
          <w:left w:w="28" w:type="dxa"/>
          <w:bottom w:w="28" w:type="dxa"/>
          <w:right w:w="28" w:type="dxa"/>
        </w:tblCellMar>
      </w:tblPr>
      <w:tblGrid>
        <w:gridCol w:w="402"/>
        <w:gridCol w:w="351"/>
        <w:gridCol w:w="356"/>
        <w:gridCol w:w="109"/>
        <w:gridCol w:w="109"/>
        <w:gridCol w:w="112"/>
        <w:gridCol w:w="112"/>
        <w:gridCol w:w="112"/>
        <w:gridCol w:w="112"/>
        <w:gridCol w:w="112"/>
        <w:gridCol w:w="112"/>
        <w:gridCol w:w="112"/>
        <w:gridCol w:w="112"/>
        <w:gridCol w:w="201"/>
        <w:gridCol w:w="664"/>
        <w:gridCol w:w="112"/>
        <w:gridCol w:w="109"/>
        <w:gridCol w:w="109"/>
        <w:gridCol w:w="109"/>
        <w:gridCol w:w="196"/>
        <w:gridCol w:w="646"/>
        <w:gridCol w:w="109"/>
        <w:gridCol w:w="109"/>
        <w:gridCol w:w="109"/>
        <w:gridCol w:w="109"/>
        <w:gridCol w:w="196"/>
        <w:gridCol w:w="496"/>
        <w:gridCol w:w="109"/>
        <w:gridCol w:w="109"/>
        <w:gridCol w:w="109"/>
        <w:gridCol w:w="109"/>
        <w:gridCol w:w="269"/>
        <w:gridCol w:w="271"/>
        <w:gridCol w:w="537"/>
        <w:gridCol w:w="109"/>
        <w:gridCol w:w="109"/>
        <w:gridCol w:w="109"/>
        <w:gridCol w:w="109"/>
        <w:gridCol w:w="109"/>
        <w:gridCol w:w="109"/>
        <w:gridCol w:w="109"/>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449" w:type="dxa"/>
            <w:gridSpan w:val="20"/>
            <w:tcBorders/>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Orders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53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AOV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5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Total Orders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Average Order Value</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Non-GAAP Financial Measures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Adjusted EBITDA and Adjusted EBITDA Margin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and Adjusted EBITDA margin, which are non-GAAP financial measures, are included in this Quarterly Report on Form 10-Q because they are used by management and our board of directors to assess our financial performance. We define Adjusted EBITDA as net income (loss) excluding interest expense, income taxes, depreciation expense, amortization of cloud-based software implementation costs, showroom pre-opening expense, equity-based compensation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(loss) that may vary substantially in frequency and magnitude from period to period. These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Adjusted EBITDA and Adjusted EBITDA margin to its most directly comparable GAAP financial measure, net income (loss) and net income (loss)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96"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reconciliation of net income (loss) and net income (loss) margin, the most comparable GAAP financial measures, to Adjusted EBITDA and Adjusted EBITDA margin, respectively, for the periods presented (amounts in thousands):</w:t>
      </w:r>
    </w:p>
    <w:tbl>
      <w:tblPr>
        <w:tblW w:w="10079" w:type="dxa"/>
        <w:jc w:val="left"/>
        <w:tblInd w:w="0" w:type="dxa"/>
        <w:tblLayout w:type="fixed"/>
        <w:tblCellMar>
          <w:top w:w="28" w:type="dxa"/>
          <w:left w:w="28" w:type="dxa"/>
          <w:bottom w:w="28" w:type="dxa"/>
          <w:right w:w="28" w:type="dxa"/>
        </w:tblCellMar>
      </w:tblPr>
      <w:tblGrid>
        <w:gridCol w:w="1789"/>
        <w:gridCol w:w="1574"/>
        <w:gridCol w:w="1586"/>
        <w:gridCol w:w="109"/>
        <w:gridCol w:w="109"/>
        <w:gridCol w:w="109"/>
        <w:gridCol w:w="109"/>
        <w:gridCol w:w="109"/>
        <w:gridCol w:w="109"/>
        <w:gridCol w:w="624"/>
        <w:gridCol w:w="624"/>
        <w:gridCol w:w="626"/>
        <w:gridCol w:w="109"/>
        <w:gridCol w:w="196"/>
        <w:gridCol w:w="571"/>
        <w:gridCol w:w="286"/>
        <w:gridCol w:w="109"/>
        <w:gridCol w:w="109"/>
        <w:gridCol w:w="109"/>
        <w:gridCol w:w="196"/>
        <w:gridCol w:w="571"/>
        <w:gridCol w:w="346"/>
      </w:tblGrid>
      <w:tr>
        <w:trPr/>
        <w:tc>
          <w:tcPr>
            <w:tcW w:w="178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2602" w:type="dxa"/>
            <w:gridSpan w:val="10"/>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1,067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(440)</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cloud-based software implementation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Showroom pre-opening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Transaction costs and other expense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5,085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5,547</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5.7</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Other income, net consists primarily of interest and other miscellaneous income, partially offset by expenses such as losses on exchange rates on consumer payments.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These expenses are those that we did not incur in the normal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Overview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Our primary requirements for liquidity and capital are for purchases of inventory, payment of operating expenses, tax distributions to Continuing Equity Owners,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March 31, 2024, we had a cash balance, excluding restricted cash, of </w:t>
      </w:r>
      <w:r>
        <w:rPr>
          <w:rFonts w:ascii="Times New Roman;sans-serif" w:hAnsi="Times New Roman;sans-serif"/>
          <w:b w:val="false"/>
          <w:color w:val="000000"/>
          <w:sz w:val="22"/>
          <w:shd w:fill="FFFFFF" w:val="clear"/>
        </w:rPr>
        <w:t>$147.5 million</w:t>
      </w:r>
      <w:r>
        <w:rPr>
          <w:rFonts w:ascii="Times New Roman;sans-serif" w:hAnsi="Times New Roman;sans-serif"/>
          <w:b w:val="false"/>
          <w:color w:val="000000"/>
          <w:sz w:val="22"/>
        </w:rPr>
        <w:t xml:space="preserve">, and negative working capital, which we define as our current assets less cash minus our current liabilities, of </w:t>
      </w:r>
      <w:r>
        <w:rPr>
          <w:rFonts w:ascii="Times New Roman;sans-serif" w:hAnsi="Times New Roman;sans-serif"/>
          <w:b w:val="false"/>
          <w:color w:val="000000"/>
          <w:sz w:val="22"/>
          <w:shd w:fill="FFFFFF" w:val="clear"/>
        </w:rPr>
        <w:t>($18.4) million</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 addition, as of March 31, 2024, the SVB Term Loan (as defined below) had an outstanding principal balance of </w:t>
      </w:r>
      <w:r>
        <w:rPr>
          <w:rFonts w:ascii="Times New Roman;sans-serif" w:hAnsi="Times New Roman;sans-serif"/>
          <w:b w:val="false"/>
          <w:color w:val="000000"/>
          <w:sz w:val="22"/>
          <w:shd w:fill="FFFFFF" w:val="clear"/>
        </w:rPr>
        <w:t>$59.3 million</w:t>
      </w:r>
      <w:r>
        <w:rPr>
          <w:rFonts w:ascii="Times New Roman;sans-serif" w:hAnsi="Times New Roman;sans-serif"/>
          <w:b w:val="false"/>
          <w:color w:val="000000"/>
          <w:sz w:val="22"/>
        </w:rPr>
        <w:t xml:space="preserve">, excluding unamortized debt issuance costs of </w:t>
      </w:r>
      <w:r>
        <w:rPr>
          <w:rFonts w:ascii="Times New Roman;sans-serif" w:hAnsi="Times New Roman;sans-serif"/>
          <w:b w:val="false"/>
          <w:color w:val="000000"/>
          <w:sz w:val="22"/>
          <w:shd w:fill="FFFFFF" w:val="clear"/>
        </w:rPr>
        <w:t>$0.5 million</w:t>
      </w:r>
      <w:r>
        <w:rPr>
          <w:rFonts w:ascii="Times New Roman;sans-serif" w:hAnsi="Times New Roman;sans-serif"/>
          <w:b w:val="false"/>
          <w:color w:val="000000"/>
          <w:sz w:val="22"/>
        </w:rPr>
        <w:t xml:space="preserve">, of which </w:t>
      </w:r>
      <w:r>
        <w:rPr>
          <w:rFonts w:ascii="Times New Roman;sans-serif" w:hAnsi="Times New Roman;sans-serif"/>
          <w:b w:val="false"/>
          <w:color w:val="000000"/>
          <w:sz w:val="22"/>
          <w:shd w:fill="FFFFFF" w:val="clear"/>
        </w:rPr>
        <w:t>$54.8 million</w:t>
      </w:r>
      <w:r>
        <w:rPr>
          <w:color w:val="000000"/>
        </w:rPr>
        <w:t xml:space="preserve"> </w:t>
      </w:r>
      <w:r>
        <w:rPr>
          <w:rFonts w:ascii="Times New Roman;sans-serif" w:hAnsi="Times New Roman;sans-serif"/>
          <w:b w:val="false"/>
          <w:color w:val="000000"/>
          <w:sz w:val="22"/>
        </w:rPr>
        <w:t xml:space="preserve">is classified as long-term. Refer to Note 7. "Debt" to our unaudited condensed consolidated financial statements included elsewhere in this Quarterly Report on Form 10-Q for aggregate future principal payments under the SVB Term Loan.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three months ended March 31, 2024, the Company declared and paid </w:t>
      </w:r>
      <w:r>
        <w:rPr>
          <w:rFonts w:ascii="Times New Roman;sans-serif" w:hAnsi="Times New Roman;sans-serif"/>
          <w:b w:val="false"/>
          <w:color w:val="000000"/>
          <w:sz w:val="22"/>
          <w:shd w:fill="FFFFFF" w:val="clear"/>
        </w:rPr>
        <w:t>$1.0 million</w:t>
      </w:r>
      <w:r>
        <w:rPr>
          <w:color w:val="000000"/>
        </w:rPr>
        <w:t xml:space="preserve"> </w:t>
      </w:r>
      <w:r>
        <w:rPr>
          <w:rFonts w:ascii="Times New Roman;sans-serif" w:hAnsi="Times New Roman;sans-serif"/>
          <w:b w:val="false"/>
          <w:color w:val="000000"/>
          <w:sz w:val="22"/>
        </w:rPr>
        <w:t xml:space="preserve">of distributions to, or on behalf of, members associated with their estimated income tax obligations. We are committed to continue to make quarterly distributions in connection with member estimated income tax obligations which we expect to fund with cash flow from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believe, based on our current projections, that we have sufficient sources of liquidity to meet our projected operating, debt service, and tax distribution requirements for at least the next 12 months following the filing of this Quarterly Report on Form 10-Q. </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Additional future liquidity needs</w:t>
      </w:r>
      <w:r>
        <w:rPr>
          <w:color w:val="000000"/>
          <w:shd w:fill="FFFFFF" w:val="clear"/>
        </w:rPr>
        <w:t xml:space="preserve"> </w:t>
      </w:r>
      <w:r>
        <w:rPr>
          <w:rFonts w:ascii="Times New Roman;sans-serif" w:hAnsi="Times New Roman;sans-serif"/>
          <w:b w:val="false"/>
          <w:color w:val="000000"/>
          <w:sz w:val="22"/>
          <w:shd w:fill="FFFFFF" w:val="clear"/>
        </w:rPr>
        <w:t>may include p</w:t>
      </w:r>
      <w:r>
        <w:rPr>
          <w:rFonts w:ascii="Times New Roman;sans-serif" w:hAnsi="Times New Roman;sans-serif"/>
          <w:b w:val="false"/>
          <w:color w:val="000000"/>
          <w:sz w:val="22"/>
        </w:rPr>
        <w:t xml:space="preserve">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i/>
          <w:color w:val="000000"/>
          <w:sz w:val="22"/>
        </w:rPr>
      </w:pPr>
      <w:r>
        <w:rPr>
          <w:rFonts w:ascii="Times New Roman;sans-serif" w:hAnsi="Times New Roman;sans-serif"/>
          <w:b/>
          <w:i/>
          <w:color w:val="000000"/>
          <w:sz w:val="22"/>
        </w:rPr>
        <w:t xml:space="preserve">Cash Flow Analysis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for the three months ended March 31, 2024 and 2023 (in thousands):</w:t>
      </w:r>
    </w:p>
    <w:p>
      <w:pPr>
        <w:pStyle w:val="TextBody"/>
        <w:bidi w:val="0"/>
        <w:spacing w:before="0" w:after="0"/>
        <w:jc w:val="left"/>
        <w:rPr/>
      </w:pPr>
      <w:r>
        <w:rPr/>
      </w:r>
    </w:p>
    <w:tbl>
      <w:tblPr>
        <w:tblW w:w="8201" w:type="dxa"/>
        <w:jc w:val="left"/>
        <w:tblInd w:w="0" w:type="dxa"/>
        <w:tblLayout w:type="fixed"/>
        <w:tblCellMar>
          <w:top w:w="28" w:type="dxa"/>
          <w:left w:w="28" w:type="dxa"/>
          <w:bottom w:w="28" w:type="dxa"/>
          <w:right w:w="28" w:type="dxa"/>
        </w:tblCellMar>
      </w:tblPr>
      <w:tblGrid>
        <w:gridCol w:w="1943"/>
        <w:gridCol w:w="1710"/>
        <w:gridCol w:w="1716"/>
        <w:gridCol w:w="222"/>
        <w:gridCol w:w="885"/>
        <w:gridCol w:w="114"/>
        <w:gridCol w:w="114"/>
        <w:gridCol w:w="114"/>
        <w:gridCol w:w="114"/>
        <w:gridCol w:w="222"/>
        <w:gridCol w:w="885"/>
        <w:gridCol w:w="162"/>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(8,353)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(8,677)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147,667</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146,177</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Operating Activities</w:t>
      </w:r>
    </w:p>
    <w:p>
      <w:pPr>
        <w:pStyle w:val="TextBody"/>
        <w:bidi w:val="0"/>
        <w:spacing w:before="0" w:after="0"/>
        <w:jc w:val="left"/>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For the three months ended March 31, 2024, net cash used in operating activities was </w:t>
      </w:r>
      <w:r>
        <w:rPr>
          <w:rFonts w:ascii="Times New Roman;sans-serif" w:hAnsi="Times New Roman;sans-serif"/>
          <w:b w:val="false"/>
          <w:color w:val="000000"/>
          <w:sz w:val="22"/>
          <w:shd w:fill="FFFFFF" w:val="clear"/>
        </w:rPr>
        <w:t>$5.8 million</w:t>
      </w:r>
      <w:r>
        <w:rPr>
          <w:color w:val="000000"/>
        </w:rPr>
        <w:t xml:space="preserve"> </w:t>
      </w:r>
      <w:r>
        <w:rPr>
          <w:rFonts w:ascii="Times New Roman;sans-serif" w:hAnsi="Times New Roman;sans-serif"/>
          <w:b w:val="false"/>
          <w:color w:val="000000"/>
          <w:sz w:val="22"/>
        </w:rPr>
        <w:t xml:space="preserve">compared to net cash used in operating activities of </w:t>
      </w:r>
      <w:r>
        <w:rPr>
          <w:rFonts w:ascii="Times New Roman;sans-serif" w:hAnsi="Times New Roman;sans-serif"/>
          <w:b w:val="false"/>
          <w:color w:val="000000"/>
          <w:sz w:val="22"/>
          <w:shd w:fill="FFFFFF" w:val="clear"/>
        </w:rPr>
        <w:t>$2.0 million</w:t>
      </w:r>
      <w:r>
        <w:rPr>
          <w:color w:val="000000"/>
        </w:rPr>
        <w:t xml:space="preserve"> </w:t>
      </w:r>
      <w:r>
        <w:rPr>
          <w:rFonts w:ascii="Times New Roman;sans-serif" w:hAnsi="Times New Roman;sans-serif"/>
          <w:b w:val="false"/>
          <w:color w:val="000000"/>
          <w:sz w:val="22"/>
        </w:rPr>
        <w:t xml:space="preserve">for the three months ended March 31, 2023, an increase of </w:t>
      </w:r>
      <w:r>
        <w:rPr>
          <w:rFonts w:ascii="Times New Roman;sans-serif" w:hAnsi="Times New Roman;sans-serif"/>
          <w:b w:val="false"/>
          <w:color w:val="000000"/>
          <w:sz w:val="22"/>
          <w:shd w:fill="FFFFFF" w:val="clear"/>
        </w:rPr>
        <w:t>$3.8 million</w:t>
      </w:r>
      <w:r>
        <w:rPr>
          <w:rFonts w:ascii="Times New Roman;sans-serif" w:hAnsi="Times New Roman;sans-serif"/>
          <w:b w:val="false"/>
          <w:color w:val="000000"/>
          <w:sz w:val="22"/>
        </w:rPr>
        <w:t xml:space="preserve">. This increase was primarily driven by </w:t>
      </w:r>
      <w:r>
        <w:rPr>
          <w:rFonts w:ascii="Times New Roman;sans-serif" w:hAnsi="Times New Roman;sans-serif"/>
          <w:b w:val="false"/>
          <w:color w:val="000000"/>
          <w:sz w:val="22"/>
          <w:shd w:fill="FFFFFF" w:val="clear"/>
        </w:rPr>
        <w:t>$6.0 million</w:t>
      </w:r>
      <w:r>
        <w:rPr>
          <w:color w:val="000000"/>
        </w:rPr>
        <w:t xml:space="preserve"> </w:t>
      </w:r>
      <w:r>
        <w:rPr>
          <w:rFonts w:ascii="Times New Roman;sans-serif" w:hAnsi="Times New Roman;sans-serif"/>
          <w:b w:val="false"/>
          <w:color w:val="000000"/>
          <w:sz w:val="22"/>
        </w:rPr>
        <w:t>from changes in assets and liabilities related to working capital management activ</w:t>
      </w:r>
      <w:r>
        <w:rPr>
          <w:rFonts w:ascii="Times New Roman;sans-serif" w:hAnsi="Times New Roman;sans-serif"/>
          <w:b w:val="false"/>
          <w:color w:val="000000"/>
          <w:sz w:val="22"/>
          <w:shd w:fill="FFFFFF" w:val="clear"/>
        </w:rPr>
        <w:t xml:space="preserve">ities, partially offset by an increase in net income adjusted for non-cash expense addbacks of $2.2 million. </w:t>
      </w:r>
      <w:r>
        <w:rPr>
          <w:rFonts w:ascii="Times New Roman;sans-serif" w:hAnsi="Times New Roman;sans-serif"/>
          <w:b w:val="false"/>
          <w:color w:val="000000"/>
          <w:sz w:val="22"/>
        </w:rPr>
        <w:t xml:space="preserve">The increase from changes in assets and liabilities related to operating activities was primarily due to an increase of </w:t>
      </w:r>
      <w:r>
        <w:rPr>
          <w:rFonts w:ascii="Times New Roman;sans-serif" w:hAnsi="Times New Roman;sans-serif"/>
          <w:b w:val="false"/>
          <w:color w:val="000000"/>
          <w:sz w:val="22"/>
          <w:shd w:fill="FFFFFF" w:val="clear"/>
        </w:rPr>
        <w:t xml:space="preserve">$2.1 million </w:t>
      </w:r>
      <w:r>
        <w:rPr>
          <w:rFonts w:ascii="Times New Roman;sans-serif" w:hAnsi="Times New Roman;sans-serif"/>
          <w:b w:val="false"/>
          <w:color w:val="000000"/>
          <w:sz w:val="22"/>
        </w:rPr>
        <w:t xml:space="preserve">in accounts payable, accrued expenses and other current liabilities, an increase of </w:t>
      </w:r>
      <w:r>
        <w:rPr>
          <w:rFonts w:ascii="Times New Roman;sans-serif" w:hAnsi="Times New Roman;sans-serif"/>
          <w:b w:val="false"/>
          <w:color w:val="000000"/>
          <w:sz w:val="22"/>
          <w:shd w:fill="FFFFFF" w:val="clear"/>
        </w:rPr>
        <w:t>$2.5 million</w:t>
      </w:r>
      <w:r>
        <w:rPr>
          <w:color w:val="000000"/>
        </w:rPr>
        <w:t xml:space="preserve"> </w:t>
      </w:r>
      <w:r>
        <w:rPr>
          <w:rFonts w:ascii="Times New Roman;sans-serif" w:hAnsi="Times New Roman;sans-serif"/>
          <w:b w:val="false"/>
          <w:color w:val="000000"/>
          <w:sz w:val="22"/>
        </w:rPr>
        <w:t xml:space="preserve">in inventories, and increases in prepaid expenses and other current assets, operating lease liabilities, and other assets of </w:t>
      </w:r>
      <w:r>
        <w:rPr>
          <w:rFonts w:ascii="Times New Roman;sans-serif" w:hAnsi="Times New Roman;sans-serif"/>
          <w:b w:val="false"/>
          <w:color w:val="000000"/>
          <w:sz w:val="22"/>
          <w:shd w:fill="FFFFFF" w:val="clear"/>
        </w:rPr>
        <w:t>$1.4 million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three months ended March 31, 2024, net cash used in investing activities was </w:t>
      </w:r>
      <w:r>
        <w:rPr>
          <w:rFonts w:ascii="Times New Roman;sans-serif" w:hAnsi="Times New Roman;sans-serif"/>
          <w:b w:val="false"/>
          <w:color w:val="000000"/>
          <w:sz w:val="22"/>
          <w:shd w:fill="FFFFFF" w:val="clear"/>
        </w:rPr>
        <w:t>$0.6 million</w:t>
      </w:r>
      <w:r>
        <w:rPr>
          <w:color w:val="000000"/>
        </w:rPr>
        <w:t xml:space="preserve"> </w:t>
      </w:r>
      <w:r>
        <w:rPr>
          <w:rFonts w:ascii="Times New Roman;sans-serif" w:hAnsi="Times New Roman;sans-serif"/>
          <w:b w:val="false"/>
          <w:color w:val="000000"/>
          <w:sz w:val="22"/>
        </w:rPr>
        <w:t xml:space="preserve">compared to $4.4 million for the three months ended March 31, 2023. The decrease of </w:t>
      </w:r>
      <w:r>
        <w:rPr>
          <w:rFonts w:ascii="Times New Roman;sans-serif" w:hAnsi="Times New Roman;sans-serif"/>
          <w:b w:val="false"/>
          <w:color w:val="000000"/>
          <w:sz w:val="22"/>
          <w:shd w:fill="FFFFFF" w:val="clear"/>
        </w:rPr>
        <w:t>$3.9 million</w:t>
      </w:r>
      <w:r>
        <w:rPr>
          <w:color w:val="000000"/>
        </w:rPr>
        <w:t xml:space="preserve"> </w:t>
      </w:r>
      <w:r>
        <w:rPr>
          <w:rFonts w:ascii="Times New Roman;sans-serif" w:hAnsi="Times New Roman;sans-serif"/>
          <w:b w:val="false"/>
          <w:color w:val="000000"/>
          <w:sz w:val="22"/>
        </w:rPr>
        <w:t>was principally due to a decrease in purchases of property and equipment related to new facilities leased during the period.</w:t>
      </w:r>
    </w:p>
    <w:p>
      <w:pPr>
        <w:pStyle w:val="TextBody"/>
        <w:bidi w:val="0"/>
        <w:spacing w:before="0" w:after="2"/>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Financing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For the three months ended March 31, 2024, net cash used in financing activities was </w:t>
      </w:r>
      <w:r>
        <w:rPr>
          <w:rFonts w:ascii="Times New Roman;sans-serif" w:hAnsi="Times New Roman;sans-serif"/>
          <w:b w:val="false"/>
          <w:color w:val="000000"/>
          <w:sz w:val="22"/>
          <w:shd w:fill="FFFFFF" w:val="clear"/>
        </w:rPr>
        <w:t>$2.0 million</w:t>
      </w:r>
      <w:r>
        <w:rPr>
          <w:color w:val="000000"/>
        </w:rPr>
        <w:t xml:space="preserve"> </w:t>
      </w:r>
      <w:r>
        <w:rPr>
          <w:rFonts w:ascii="Times New Roman;sans-serif" w:hAnsi="Times New Roman;sans-serif"/>
          <w:b w:val="false"/>
          <w:color w:val="000000"/>
          <w:sz w:val="22"/>
        </w:rPr>
        <w:t xml:space="preserve">compared to </w:t>
      </w:r>
      <w:r>
        <w:rPr>
          <w:rFonts w:ascii="Times New Roman;sans-serif" w:hAnsi="Times New Roman;sans-serif"/>
          <w:b w:val="false"/>
          <w:color w:val="000000"/>
          <w:sz w:val="22"/>
          <w:shd w:fill="FFFFFF" w:val="clear"/>
        </w:rPr>
        <w:t>$2.3 million</w:t>
      </w:r>
      <w:r>
        <w:rPr>
          <w:color w:val="000000"/>
        </w:rPr>
        <w:t xml:space="preserve"> </w:t>
      </w:r>
      <w:r>
        <w:rPr>
          <w:rFonts w:ascii="Times New Roman;sans-serif" w:hAnsi="Times New Roman;sans-serif"/>
          <w:b w:val="false"/>
          <w:color w:val="000000"/>
          <w:sz w:val="22"/>
        </w:rPr>
        <w:t xml:space="preserve">for the three months ended </w:t>
      </w:r>
      <w:r>
        <w:rPr>
          <w:rFonts w:ascii="Times New Roman;sans-serif" w:hAnsi="Times New Roman;sans-serif"/>
          <w:b w:val="false"/>
          <w:color w:val="000000"/>
          <w:sz w:val="22"/>
          <w:shd w:fill="FFFFFF" w:val="clear"/>
        </w:rPr>
        <w:t>March 31, 2023</w:t>
      </w:r>
      <w:r>
        <w:rPr>
          <w:rFonts w:ascii="Times New Roman;sans-serif" w:hAnsi="Times New Roman;sans-serif"/>
          <w:b w:val="false"/>
          <w:color w:val="000000"/>
          <w:sz w:val="22"/>
        </w:rPr>
        <w:t xml:space="preserve">. The decrease of </w:t>
      </w:r>
      <w:r>
        <w:rPr>
          <w:rFonts w:ascii="Times New Roman;sans-serif" w:hAnsi="Times New Roman;sans-serif"/>
          <w:b w:val="false"/>
          <w:color w:val="000000"/>
          <w:sz w:val="22"/>
          <w:shd w:fill="FFFFFF" w:val="clear"/>
        </w:rPr>
        <w:t>$0.3 million</w:t>
      </w:r>
      <w:r>
        <w:rPr>
          <w:color w:val="000000"/>
        </w:rPr>
        <w:t xml:space="preserve"> </w:t>
      </w:r>
      <w:r>
        <w:rPr>
          <w:rFonts w:ascii="Times New Roman;sans-serif" w:hAnsi="Times New Roman;sans-serif"/>
          <w:b w:val="false"/>
          <w:color w:val="000000"/>
          <w:sz w:val="22"/>
        </w:rPr>
        <w:t>was primarily due to lower tax distributions paid to members pursuant to</w:t>
      </w:r>
      <w:r>
        <w:rPr>
          <w:color w:val="000000"/>
          <w:shd w:fill="FFFFFF" w:val="clear"/>
        </w:rPr>
        <w:t xml:space="preserve"> </w:t>
      </w:r>
      <w:r>
        <w:rPr>
          <w:rFonts w:ascii="Times New Roman;sans-serif" w:hAnsi="Times New Roman;sans-serif"/>
          <w:b w:val="false"/>
          <w:color w:val="000000"/>
          <w:sz w:val="22"/>
          <w:shd w:fill="FFFFFF" w:val="clear"/>
        </w:rPr>
        <w:t xml:space="preserve">the LLC Agreement of $0.5 million. The decrease in tax distributions paid to members was partially offset by the payment of debt issuance costs of $0.1 million in connection with the First Amendment (as defined below) and repurchases of $0.1 million of our Class A common stock under the share repurchase program. </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Silicon Valley Bank Credit Facilities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2022, Brilliant Earth, LLC, as borrower, and Silicon Valley Bank ("SVB"), as administrative agent and collateral agent for the lenders, entered into a credit agreement ( the "SVB Credit Agreement"), which provides for a secured term loan credit facility of $65.0 million (the "SVB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Loan") and a secured revolving credit facility in the amount of up to $40.0 million (the "SVB Revolving Facility" and together with the SVB Term Loan, the "SVB Credit Facilities"). </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requires us to maintain Balance Sheet Cash (defined as unrestricted cash and cash equivalents held in accounts with the lenders and their affiliates ) in an amount greater than the sum of the aggregate principal amount outstanding under the SVB Revolving Facility (including issued letters of credit) and the aggregate principal amount of the SVB Term Loan outstanding at such time, which requirement applies at all times commencing on February 21, 2024 until the last day of the fiscal quarter ending June 30, 2024. After such time, the minimum Balance Sheet Cash covenant no longer applies. See Note 7. "Debt" to our unaudited condensed consolidated financial statements included elsewhere in this Quarterly Report on Form 10-Q for additional information on the SVB Credit Facilities. As of March 31, 2024, there were no amounts outstanding under the SVB Revolving Facility and </w:t>
      </w:r>
      <w:r>
        <w:rPr>
          <w:rFonts w:ascii="Times New Roman;sans-serif" w:hAnsi="Times New Roman;sans-serif"/>
          <w:b w:val="false"/>
          <w:color w:val="000000"/>
          <w:sz w:val="22"/>
          <w:shd w:fill="FFFFFF" w:val="clear"/>
        </w:rPr>
        <w:t>$59.3 million</w:t>
      </w:r>
      <w:r>
        <w:rPr>
          <w:color w:val="000000"/>
        </w:rPr>
        <w:t xml:space="preserve"> </w:t>
      </w:r>
      <w:r>
        <w:rPr>
          <w:rFonts w:ascii="Times New Roman;sans-serif" w:hAnsi="Times New Roman;sans-serif"/>
          <w:b w:val="false"/>
          <w:color w:val="000000"/>
          <w:sz w:val="22"/>
        </w:rPr>
        <w:t xml:space="preserve">outstanding under the SVB Term Loan, </w:t>
      </w:r>
      <w:r>
        <w:rPr>
          <w:rFonts w:ascii="Times New Roman;sans-serif" w:hAnsi="Times New Roman;sans-serif"/>
          <w:b w:val="false"/>
          <w:color w:val="000000"/>
          <w:sz w:val="22"/>
          <w:shd w:fill="FFFFFF" w:val="clear"/>
        </w:rPr>
        <w:t>$54.8 million</w:t>
      </w:r>
      <w:r>
        <w:rPr>
          <w:color w:val="000000"/>
        </w:rPr>
        <w:t xml:space="preserve"> </w:t>
      </w:r>
      <w:r>
        <w:rPr>
          <w:rFonts w:ascii="Times New Roman;sans-serif" w:hAnsi="Times New Roman;sans-serif"/>
          <w:b w:val="false"/>
          <w:color w:val="000000"/>
          <w:sz w:val="22"/>
        </w:rPr>
        <w:t>of which is classified as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Additional Liquidity Requirements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 addition, under the TRA, we are required to make cash payments to the Continuing Equity Owners equal to </w:t>
      </w:r>
      <w:r>
        <w:rPr>
          <w:rFonts w:ascii="Times New Roman;sans-serif" w:hAnsi="Times New Roman;sans-serif"/>
          <w:b w:val="false"/>
          <w:color w:val="000000"/>
          <w:sz w:val="22"/>
          <w:shd w:fill="FFFFFF" w:val="clear"/>
        </w:rPr>
        <w:t>85%</w:t>
      </w:r>
      <w:r>
        <w:rPr>
          <w:color w:val="000000"/>
        </w:rPr>
        <w:t xml:space="preserve"> </w:t>
      </w:r>
      <w:r>
        <w:rPr>
          <w:rFonts w:ascii="Times New Roman;sans-serif" w:hAnsi="Times New Roman;sans-serif"/>
          <w:b w:val="false"/>
          <w:color w:val="000000"/>
          <w:sz w:val="22"/>
        </w:rPr>
        <w:t>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pStyle w:val="TextBody"/>
        <w:bidi w:val="0"/>
        <w:spacing w:lineRule="auto" w:line="288" w:before="160" w:after="283"/>
        <w:jc w:val="both"/>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Contractual Obligations and Commitments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there were no material changes to our contractual obligations and commitments as disclosed in Part II, Item 7, "Management's Discussion and Analysis of Financial Condition and Results of Operations" of our 2023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to the Company's critical accounting policies and estimates from those described under "Critical Accounting Policies and Estimates" in the Management's Discussion and Analysis of Financial Condition and Results of Operations of our 2023 Form 10-K.</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For information regarding recent accounting pronouncements, see Note 1</w:t>
      </w:r>
      <w:r>
        <w:rPr>
          <w:color w:val="000000"/>
        </w:rPr>
        <w:t xml:space="preserve"> </w:t>
      </w:r>
      <w:r>
        <w:rPr>
          <w:rFonts w:ascii="Times New Roman;sans-serif" w:hAnsi="Times New Roman;sans-serif"/>
          <w:b w:val="false"/>
          <w:color w:val="000000"/>
          <w:sz w:val="22"/>
        </w:rPr>
        <w:t>to our unaudited condensed consolidated financial statements and related notes thereto included elsewhere in this Quarterly Report on Form 10-Q.</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JOBS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smaller reporting company as defined by Rule 12b-2 of the Securities Exchange Act of 1934 and are not required to provide the information under this item.</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Item 4. Controls and Procedures</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March 31, 2024, our disclosure controls and procedures were not effective due to the material weakness previously identified by management and described in Part II, Item 9A of our 2023 Form 10-K. </w:t>
      </w:r>
    </w:p>
    <w:p>
      <w:pPr>
        <w:pStyle w:val="TextBody"/>
        <w:bidi w:val="0"/>
        <w:spacing w:before="0" w:after="2"/>
        <w:ind w:left="0" w:right="0" w:firstLine="720"/>
        <w:jc w:val="both"/>
        <w:rPr/>
      </w:pPr>
      <w:r>
        <w:rPr/>
      </w:r>
    </w:p>
    <w:p>
      <w:pPr>
        <w:pStyle w:val="TextBody"/>
        <w:bidi w:val="0"/>
        <w:spacing w:lineRule="auto" w:line="288"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Previously Reported Material Weakness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disclosed in Part II, Item 9A of our 2023 Form 10-K, we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design and implementation of IT-dependent controls, such as journal entry controls. We believe that these control deficiencies were due to gaps in the sufficiency of IT resources and risk-assessment processes to identify and assess access in certain IT environments that could impact internal controls over financial reporting.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pStyle w:val="TextBody"/>
        <w:bidi w:val="0"/>
        <w:spacing w:before="0" w:after="2"/>
        <w:ind w:left="0" w:right="0" w:firstLine="720"/>
        <w:jc w:val="both"/>
        <w:rPr/>
      </w:pPr>
      <w:r>
        <w:rPr/>
      </w:r>
    </w:p>
    <w:p>
      <w:pPr>
        <w:pStyle w:val="TextBody"/>
        <w:bidi w:val="0"/>
        <w:spacing w:lineRule="auto" w:line="288"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Remediation</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response to this material weakness in internal control over financial reporting related to ineffective ITGCs for key IT systems, the Company has taken and is continuing to take actions to remediate change management and access related control failures. Our remediation plan includes: (i) enhancing processes around reviewing privileged access to key financial systems and ensuring appropriate segregation of duties, (ii) strengthening change management procedures, (iii) expanding the management and governance over ITGCs, (iv) developing and implementing additional training addressing internal controls, (v) enhancing the existing access management procedures and ownership; and (vi) establishing and monitoring metrics within information technology to track adherence to access and change management controls. Our remediation plan can only be accomplished over time and will be continually reviewed to determine that it is achieving its objectives.</w:t>
      </w:r>
    </w:p>
    <w:p>
      <w:pPr>
        <w:pStyle w:val="TextBody"/>
        <w:bidi w:val="0"/>
        <w:spacing w:before="0" w:after="2"/>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material weakness will not be considered remediated until the applicable controls operate for a sufficient period of time and management has concluded, through testing, that the controls are operating 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 </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Other than the actions to remediate the material weakness in our internal control over financial reporting as described above, which was ongoing as of the date of issuance of this Form 10-Q, there have been </w:t>
      </w:r>
      <w:r>
        <w:rPr>
          <w:rFonts w:ascii="Times New Roman;sans-serif" w:hAnsi="Times New Roman;sans-serif"/>
          <w:b w:val="false"/>
          <w:color w:val="000000"/>
          <w:sz w:val="22"/>
          <w:shd w:fill="FFFFFF" w:val="clear"/>
        </w:rPr>
        <w:t xml:space="preserve">no other changes </w:t>
      </w:r>
      <w:r>
        <w:rPr>
          <w:rFonts w:ascii="Times New Roman;sans-serif" w:hAnsi="Times New Roman;sans-serif"/>
          <w:b w:val="false"/>
          <w:color w:val="000000"/>
          <w:sz w:val="22"/>
        </w:rPr>
        <w:t xml:space="preserve">in our internal control over financial reporting (as defined in Rules 13a-15(f) and 15d-15(f) under the Exchange Act) during the quarter ended March 31, 2024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
        <w:jc w:val="left"/>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remains pending as of the date of this Quarterly Report on Form 10-Q. At this time, any liability related to the alleged claims is not currently probable or reasonably estimable. </w:t>
      </w:r>
    </w:p>
    <w:p>
      <w:pPr>
        <w:pStyle w:val="TextBody"/>
        <w:bidi w:val="0"/>
        <w:spacing w:before="0" w:after="2"/>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2"/>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risk factors are described in Part I, Item 1A, "Risk Factors" of our 2023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2"/>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2"/>
        <w:jc w:val="left"/>
        <w:rPr/>
      </w:pPr>
      <w:r>
        <w:rPr/>
      </w:r>
    </w:p>
    <w:p>
      <w:pPr>
        <w:pStyle w:val="TextBody"/>
        <w:bidi w:val="0"/>
        <w:spacing w:lineRule="auto" w:line="228" w:before="0" w:after="2"/>
        <w:jc w:val="left"/>
        <w:rPr>
          <w:rFonts w:ascii="Times New Roman;sans-serif" w:hAnsi="Times New Roman;sans-serif"/>
          <w:b/>
          <w:color w:val="000000"/>
          <w:sz w:val="22"/>
        </w:rPr>
      </w:pPr>
      <w:r>
        <w:rPr>
          <w:rFonts w:ascii="Times New Roman;sans-serif" w:hAnsi="Times New Roman;sans-serif"/>
          <w:b/>
          <w:color w:val="000000"/>
          <w:sz w:val="22"/>
        </w:rPr>
        <w:t>Issuer Repurchases of Equity Securities</w:t>
      </w:r>
    </w:p>
    <w:p>
      <w:pPr>
        <w:pStyle w:val="TextBody"/>
        <w:bidi w:val="0"/>
        <w:spacing w:before="0" w:after="2"/>
        <w:jc w:val="left"/>
        <w:rPr/>
      </w:pPr>
      <w:r>
        <w:rPr/>
      </w:r>
    </w:p>
    <w:p>
      <w:pPr>
        <w:pStyle w:val="TextBody"/>
        <w:bidi w:val="0"/>
        <w:spacing w:lineRule="auto" w:line="24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with respect to our repurchases of our Class A common stock during the three months ended March 31, 2024.</w:t>
      </w:r>
    </w:p>
    <w:tbl>
      <w:tblPr>
        <w:tblW w:w="10205" w:type="dxa"/>
        <w:jc w:val="left"/>
        <w:tblInd w:w="0" w:type="dxa"/>
        <w:tblLayout w:type="fixed"/>
        <w:tblCellMar>
          <w:top w:w="28" w:type="dxa"/>
          <w:left w:w="28" w:type="dxa"/>
          <w:bottom w:w="28" w:type="dxa"/>
          <w:right w:w="28" w:type="dxa"/>
        </w:tblCellMar>
      </w:tblPr>
      <w:tblGrid>
        <w:gridCol w:w="452"/>
        <w:gridCol w:w="338"/>
        <w:gridCol w:w="343"/>
        <w:gridCol w:w="109"/>
        <w:gridCol w:w="109"/>
        <w:gridCol w:w="109"/>
        <w:gridCol w:w="491"/>
        <w:gridCol w:w="464"/>
        <w:gridCol w:w="466"/>
        <w:gridCol w:w="109"/>
        <w:gridCol w:w="109"/>
        <w:gridCol w:w="109"/>
        <w:gridCol w:w="294"/>
        <w:gridCol w:w="700"/>
        <w:gridCol w:w="163"/>
        <w:gridCol w:w="109"/>
        <w:gridCol w:w="109"/>
        <w:gridCol w:w="109"/>
        <w:gridCol w:w="813"/>
        <w:gridCol w:w="813"/>
        <w:gridCol w:w="815"/>
        <w:gridCol w:w="109"/>
        <w:gridCol w:w="109"/>
        <w:gridCol w:w="109"/>
        <w:gridCol w:w="802"/>
        <w:gridCol w:w="802"/>
        <w:gridCol w:w="1141"/>
      </w:tblGrid>
      <w:tr>
        <w:trPr/>
        <w:tc>
          <w:tcPr>
            <w:tcW w:w="4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ans-serif" w:hAnsi="Times New Roman;sans-serif"/>
                <w:b/>
                <w:color w:val="000000"/>
                <w:sz w:val="18"/>
              </w:rPr>
              <w:t>Total Number of shares Purchased as Part of Publicly Announced Plans or Programs</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r>
          </w:p>
        </w:tc>
      </w:tr>
      <w:tr>
        <w:trPr/>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 January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million</w:t>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February 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million</w:t>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million</w:t>
            </w:r>
          </w:p>
        </w:tc>
      </w:tr>
    </w:tbl>
    <w:p>
      <w:pPr>
        <w:pStyle w:val="TextBody"/>
        <w:bidi w:val="0"/>
        <w:spacing w:lineRule="auto" w:line="268" w:before="0" w:after="0"/>
        <w:jc w:val="left"/>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 xml:space="preserve">(1) On December 8, 2023, the Company announced that the Board of Directors approved a share repurchase program authorizing the Company to purchase up to an aggregate of $20.0 million of the Company's Class A common stock through the expiration of the program on December 8, 2026. The repurchases may be executed 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 program does not obligate the Company to acquire any particular amount of Class A common stock and may be modified, suspended or terminated at any time at the discretion of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00" w:before="0" w:after="2"/>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 None.</w:t>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(b) None.</w:t>
      </w:r>
    </w:p>
    <w:p>
      <w:pPr>
        <w:pStyle w:val="TextBody"/>
        <w:bidi w:val="0"/>
        <w:spacing w:lineRule="auto" w:line="300" w:before="0" w:after="2"/>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 During the three months ended March 31, 2024, no directors or "officers" (as defined in Rule 16a-1(f) under the Exchange Act) of the Company adopted, modified or terminated "Rule 10b5-1 trading arrangements" and/or "non-Rule10b5-1 trading arrangements"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00" w:before="0" w:after="0"/>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83"/>
        <w:gridCol w:w="249"/>
        <w:gridCol w:w="250"/>
        <w:gridCol w:w="2157"/>
        <w:gridCol w:w="1932"/>
        <w:gridCol w:w="1940"/>
        <w:gridCol w:w="164"/>
        <w:gridCol w:w="164"/>
        <w:gridCol w:w="157"/>
        <w:gridCol w:w="232"/>
        <w:gridCol w:w="232"/>
        <w:gridCol w:w="145"/>
        <w:gridCol w:w="205"/>
        <w:gridCol w:w="205"/>
        <w:gridCol w:w="206"/>
        <w:gridCol w:w="189"/>
        <w:gridCol w:w="189"/>
        <w:gridCol w:w="191"/>
        <w:gridCol w:w="323"/>
        <w:gridCol w:w="323"/>
        <w:gridCol w:w="469"/>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 Furnished Herewith</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w:t>
            </w:r>
          </w:p>
        </w:tc>
        <w:tc>
          <w:tcPr>
            <w:tcW w:w="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ans-serif" w:hAnsi="Times New Roman;sans-serif"/>
                  <w:b w:val="false"/>
                  <w:color w:val="0000FF"/>
                  <w:sz w:val="16"/>
                  <w:u w:val="single"/>
                </w:rPr>
                <w:t>Amended and Restated Certificate of Incorporation of Brilliant Earth Group, Inc.</w:t>
              </w:r>
            </w:hyperlink>
          </w:p>
        </w:tc>
        <w:tc>
          <w:tcPr>
            <w:tcW w:w="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1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16"/>
                  <w:u w:val="single"/>
                </w:rPr>
                <w:t>Amended and Restated Bylaws of Brilliant Earth Group, Inc.</w:t>
              </w:r>
            </w:hyperlink>
          </w:p>
        </w:tc>
        <w:tc>
          <w:tcPr>
            <w:tcW w:w="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16"/>
                  <w:u w:val="single"/>
                </w:rPr>
                <w:t>Specimen Stock Certificate evidencing shares of Class A Common Stock</w:t>
              </w:r>
            </w:hyperlink>
          </w:p>
        </w:tc>
        <w:tc>
          <w:tcPr>
            <w:tcW w:w="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Times New Roman;sans-serif" w:hAnsi="Times New Roman;sans-serif"/>
                  <w:b w:val="false"/>
                  <w:color w:val="0000FF"/>
                  <w:sz w:val="16"/>
                  <w:u w:val="single"/>
                </w:rPr>
                <w:t>Senior Secured Credit Facilities Credit Agreement dated as of May 24, 2022, as amended by the First Amendment to Credit Agreement, dated February 21, 2024, among Brilliant Earth, LLC as the Borrower, the several lenders from time to time party thereto, Silicon Valley Bank as Administrative Agent, Joint Lead Arranger, Bookrunner, Issuing Lender and Swingline Lender and JPMorgan Chase Bank, N.A., as Joint Lead Arranger.</w:t>
              </w:r>
            </w:hyperlink>
          </w:p>
        </w:tc>
        <w:tc>
          <w:tcPr>
            <w:tcW w:w="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3/28/2024</w:t>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1brlt-certifi.htm">
              <w:r>
                <w:rPr>
                  <w:rStyle w:val="InternetLink"/>
                  <w:rFonts w:ascii="Times New Roman;sans-serif" w:hAnsi="Times New Roman;sans-serif"/>
                  <w:b w:val="false"/>
                  <w:color w:val="0000FF"/>
                  <w:sz w:val="16"/>
                  <w:u w:val="single"/>
                </w:rPr>
                <w:t>Certification of Chief Executive Officer pursuant to Rule 13a-14(a)/15d-14(a).</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2brlt-certifi.htm">
              <w:r>
                <w:rPr>
                  <w:rStyle w:val="InternetLink"/>
                  <w:rFonts w:ascii="Times New Roman;sans-serif" w:hAnsi="Times New Roman;sans-serif"/>
                  <w:b w:val="false"/>
                  <w:color w:val="0000FF"/>
                  <w:sz w:val="16"/>
                  <w:u w:val="single"/>
                </w:rPr>
                <w:t>Certification of Chief Financial Officer pursuant to Rule 13a-14(a)/15d-14(a).</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1brlt-certifi.htm">
              <w:r>
                <w:rPr>
                  <w:rStyle w:val="InternetLink"/>
                  <w:rFonts w:ascii="Times New Roman;sans-serif" w:hAnsi="Times New Roman;sans-serif"/>
                  <w:b w:val="false"/>
                  <w:color w:val="0000FF"/>
                  <w:sz w:val="16"/>
                  <w:u w:val="single"/>
                </w:rPr>
                <w:t>Certification of Chief Executive Officer pursuant to 18 U.S.C. Section 1350.</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2brlt-certifi.htm">
              <w:r>
                <w:rPr>
                  <w:rStyle w:val="InternetLink"/>
                  <w:rFonts w:ascii="Times New Roman;sans-serif" w:hAnsi="Times New Roman;sans-serif"/>
                  <w:b w:val="false"/>
                  <w:color w:val="0000FF"/>
                  <w:sz w:val="16"/>
                  <w:u w:val="single"/>
                </w:rPr>
                <w:t>Certification of Chief Financial Officer pursuant to 18 U.S.C. Section 1350.</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Schedules and exhibits to this Exhibit omitted pursuant to Regulation S-K Item 601(a)(5). Brilliant Earth agrees to furnish supplementally a copy of any omitted schedule or exhibit to the SEC upon request.</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portions of this exhibit (indicated by “[****]”) have been redacted pursuant to Regulation S-K Item 601(b)(10)(iv) because such information is (i) not material and (ii) is the type of information that the Company both customarily and actually treats as private and confidential.</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00" w:before="0" w:after="0"/>
        <w:jc w:val="left"/>
        <w:rPr/>
      </w:pPr>
      <w:hyperlink w:anchor="ic356762c6beb4c8e9466276706b98bd9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Act of 1934, the registrant has duly caused this report to be signed on its behalf by the undersigned, thereunto duly authorized.</w:t>
      </w:r>
    </w:p>
    <w:p>
      <w:pPr>
        <w:pStyle w:val="TextBody"/>
        <w:bidi w:val="0"/>
        <w:spacing w:before="0" w:after="2"/>
        <w:jc w:val="left"/>
        <w:rPr/>
      </w:pPr>
      <w:r>
        <w:rPr/>
      </w:r>
    </w:p>
    <w:p>
      <w:pPr>
        <w:pStyle w:val="TextBody"/>
        <w:bidi w:val="0"/>
        <w:spacing w:lineRule="auto" w:line="300" w:before="0" w:after="2"/>
        <w:ind w:left="0" w:right="0" w:firstLine="720"/>
        <w:jc w:val="right"/>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w:t>
      </w:r>
    </w:p>
    <w:p>
      <w:pPr>
        <w:pStyle w:val="TextBody"/>
        <w:bidi w:val="0"/>
        <w:spacing w:before="0" w:after="2"/>
        <w:ind w:left="0" w:right="0" w:hanging="3510"/>
        <w:jc w:val="left"/>
        <w:rPr/>
      </w:pPr>
      <w:r>
        <w:rPr/>
      </w:r>
    </w:p>
    <w:p>
      <w:pPr>
        <w:pStyle w:val="TextBody"/>
        <w:bidi w:val="0"/>
        <w:spacing w:lineRule="auto" w:line="300" w:before="0" w:after="2"/>
        <w:ind w:left="0" w:right="0" w:hanging="3510"/>
        <w:jc w:val="right"/>
        <w:rPr/>
      </w:pPr>
      <w:r>
        <w:rPr>
          <w:rFonts w:ascii="Times New Roman;sans-serif" w:hAnsi="Times New Roman;sans-serif"/>
          <w:b w:val="false"/>
          <w:color w:val="000000"/>
          <w:sz w:val="22"/>
        </w:rPr>
        <w:t>May 10, 2024            </w:t>
      </w:r>
      <w:r>
        <w:rPr>
          <w:rFonts w:ascii="Times New Roman;sans-serif" w:hAnsi="Times New Roman;sans-serif"/>
          <w:b w:val="false"/>
          <w:color w:val="000000"/>
          <w:sz w:val="22"/>
          <w:u w:val="single"/>
        </w:rPr>
        <w:t>By:/s/ Jeffrey Kuo</w:t>
      </w:r>
    </w:p>
    <w:p>
      <w:pPr>
        <w:pStyle w:val="TextBody"/>
        <w:bidi w:val="0"/>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Jeffrey Kuo </w:t>
      </w:r>
    </w:p>
    <w:p>
      <w:pPr>
        <w:pStyle w:val="TextBody"/>
        <w:bidi w:val="0"/>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spacing w:lineRule="auto" w:line="300" w:before="0" w:after="2"/>
        <w:ind w:left="0" w:right="0" w:hanging="3510"/>
        <w:jc w:val="righ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Financial Officer and Principal Accounting Officer) </w:t>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CERTIFICATION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Beth Gerstein,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 May 10, 2024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Jeffrey Kuo,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 May 10, 2024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w:t>
      </w:r>
      <w:r>
        <w:rPr>
          <w:rFonts w:ascii="Times New Roman;sans-serif" w:hAnsi="Times New Roman;sans-serif"/>
          <w:b w:val="false"/>
          <w:color w:val="000000"/>
          <w:sz w:val="24"/>
          <w:u w:val="single"/>
        </w:rPr>
        <w:t>Jeffrey</w:t>
      </w:r>
      <w:r>
        <w:rPr>
          <w:color w:val="000000"/>
          <w:u w:val="single"/>
        </w:rPr>
        <w:t xml:space="preserve"> </w:t>
      </w:r>
      <w:r>
        <w:rPr>
          <w:rFonts w:ascii="Times New Roman;sans-serif" w:hAnsi="Times New Roman;sans-serif"/>
          <w:b w:val="false"/>
          <w:color w:val="000000"/>
          <w:sz w:val="22"/>
          <w:u w:val="single"/>
        </w:rPr>
        <w:t>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on Form 10-Q of Brilliant Earth Group, Inc. (the “Company”) for the period ended March 31, 2024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10, 2024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on Form 10-Q of Brilliant Earth Group, Inc. (the “Company”) for the period ended March 31, 2024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10, 2024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w:t>
      </w:r>
      <w:r>
        <w:rPr>
          <w:rFonts w:ascii="Times New Roman;sans-serif" w:hAnsi="Times New Roman;sans-serif"/>
          <w:b w:val="false"/>
          <w:color w:val="000000"/>
          <w:sz w:val="24"/>
          <w:u w:val="single"/>
        </w:rPr>
        <w:t>Jeffrey</w:t>
      </w:r>
      <w:r>
        <w:rPr>
          <w:color w:val="000000"/>
          <w:u w:val="single"/>
        </w:rPr>
        <w:t xml:space="preserve"> </w:t>
      </w:r>
      <w:r>
        <w:rPr>
          <w:rFonts w:ascii="Times New Roman;sans-serif" w:hAnsi="Times New Roman;sans-serif"/>
          <w:b w:val="false"/>
          <w:color w:val="000000"/>
          <w:sz w:val="22"/>
          <w:u w:val="single"/>
        </w:rPr>
        <w:t>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Financial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hyperlink" Target="https://www.sec.gov/Archives/edgar/data/1866757/000186675724000040/exh1015combined1afirstam.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16663</Words>
  <Characters>92275</Characters>
  <CharactersWithSpaces>108175</CharactersWithSpaces>
  <Paragraphs>1835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