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64770</wp:posOffset>
            </wp:positionV>
            <wp:extent cx="2228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53340</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4" w:lineRule="exact"/>
        <w:rPr>
          <w:sz w:val="24"/>
          <w:szCs w:val="24"/>
          <w:color w:val="auto"/>
        </w:rPr>
      </w:pPr>
    </w:p>
    <w:p>
      <w:pPr>
        <w:ind w:left="360" w:hanging="33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1" w:lineRule="exact"/>
        <w:rPr>
          <w:sz w:val="24"/>
          <w:szCs w:val="24"/>
          <w:color w:val="auto"/>
        </w:rPr>
      </w:pPr>
    </w:p>
    <w:p>
      <w:pPr>
        <w:ind w:left="360" w:hanging="33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2"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0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70"/>
        </w:trPr>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80" w:type="dxa"/>
            <w:vAlign w:val="bottom"/>
            <w:gridSpan w:val="6"/>
          </w:tcPr>
          <w:p>
            <w:pPr>
              <w:jc w:val="center"/>
              <w:ind w:right="3282"/>
              <w:spacing w:after="0"/>
              <w:rPr>
                <w:sz w:val="20"/>
                <w:szCs w:val="20"/>
                <w:color w:val="auto"/>
              </w:rPr>
            </w:pPr>
            <w:r>
              <w:rPr>
                <w:rFonts w:ascii="Times New Roman" w:cs="Times New Roman" w:eastAsia="Times New Roman" w:hAnsi="Times New Roman"/>
                <w:sz w:val="18"/>
                <w:szCs w:val="18"/>
                <w:b w:val="1"/>
                <w:bCs w:val="1"/>
                <w:color w:val="auto"/>
              </w:rPr>
              <w:t>Commission File Number 001-40836</w:t>
            </w:r>
          </w:p>
        </w:tc>
      </w:tr>
      <w:tr>
        <w:trPr>
          <w:trHeight w:val="81"/>
        </w:trPr>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c>
          <w:tcPr>
            <w:tcW w:w="68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578"/>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60" w:type="dxa"/>
            <w:vAlign w:val="bottom"/>
            <w:gridSpan w:val="7"/>
          </w:tcPr>
          <w:p>
            <w:pPr>
              <w:jc w:val="center"/>
              <w:ind w:right="2782"/>
              <w:spacing w:after="0"/>
              <w:rPr>
                <w:sz w:val="20"/>
                <w:szCs w:val="20"/>
                <w:color w:val="auto"/>
              </w:rPr>
            </w:pPr>
            <w:r>
              <w:rPr>
                <w:rFonts w:ascii="Times New Roman" w:cs="Times New Roman" w:eastAsia="Times New Roman" w:hAnsi="Times New Roman"/>
                <w:sz w:val="32"/>
                <w:szCs w:val="32"/>
                <w:b w:val="1"/>
                <w:bCs w:val="1"/>
                <w:color w:val="auto"/>
              </w:rPr>
              <w:t>Brilliant Earth Group, Inc.</w:t>
            </w: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80" w:type="dxa"/>
            <w:vAlign w:val="bottom"/>
            <w:gridSpan w:val="6"/>
          </w:tcPr>
          <w:p>
            <w:pPr>
              <w:jc w:val="center"/>
              <w:ind w:right="326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78"/>
        </w:trPr>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2680" w:type="dxa"/>
            <w:vAlign w:val="bottom"/>
          </w:tcPr>
          <w:p>
            <w:pPr>
              <w:spacing w:after="0"/>
              <w:rPr>
                <w:sz w:val="6"/>
                <w:szCs w:val="6"/>
                <w:color w:val="auto"/>
              </w:rPr>
            </w:pPr>
          </w:p>
        </w:tc>
      </w:tr>
      <w:tr>
        <w:trPr>
          <w:trHeight w:val="453"/>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gridSpan w:val="3"/>
          </w:tcPr>
          <w:p>
            <w:pPr>
              <w:jc w:val="right"/>
              <w:ind w:right="1762"/>
              <w:spacing w:after="0"/>
              <w:rPr>
                <w:sz w:val="20"/>
                <w:szCs w:val="20"/>
                <w:color w:val="auto"/>
              </w:rPr>
            </w:pPr>
            <w:r>
              <w:rPr>
                <w:rFonts w:ascii="Times New Roman" w:cs="Times New Roman" w:eastAsia="Times New Roman" w:hAnsi="Times New Roman"/>
                <w:sz w:val="18"/>
                <w:szCs w:val="18"/>
                <w:b w:val="1"/>
                <w:bCs w:val="1"/>
                <w:color w:val="auto"/>
              </w:rPr>
              <w:t>87-1015499</w:t>
            </w:r>
          </w:p>
        </w:tc>
      </w:tr>
      <w:tr>
        <w:trPr>
          <w:trHeight w:val="284"/>
        </w:trPr>
        <w:tc>
          <w:tcPr>
            <w:tcW w:w="6380" w:type="dxa"/>
            <w:vAlign w:val="bottom"/>
            <w:gridSpan w:val="7"/>
          </w:tcPr>
          <w:p>
            <w:pPr>
              <w:jc w:val="center"/>
              <w:ind w:right="14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Number)</w:t>
            </w:r>
          </w:p>
        </w:tc>
      </w:tr>
      <w:tr>
        <w:trPr>
          <w:trHeight w:val="275"/>
        </w:trPr>
        <w:tc>
          <w:tcPr>
            <w:tcW w:w="960" w:type="dxa"/>
            <w:vAlign w:val="bottom"/>
          </w:tcPr>
          <w:p>
            <w:pPr>
              <w:spacing w:after="0"/>
              <w:rPr>
                <w:sz w:val="23"/>
                <w:szCs w:val="23"/>
                <w:color w:val="auto"/>
              </w:rPr>
            </w:pPr>
          </w:p>
        </w:tc>
        <w:tc>
          <w:tcPr>
            <w:tcW w:w="542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300 Grant Avenue, Third Floor</w:t>
            </w: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38"/>
        </w:trPr>
        <w:tc>
          <w:tcPr>
            <w:tcW w:w="960" w:type="dxa"/>
            <w:vAlign w:val="bottom"/>
          </w:tcPr>
          <w:p>
            <w:pPr>
              <w:spacing w:after="0"/>
              <w:rPr>
                <w:sz w:val="20"/>
                <w:szCs w:val="20"/>
                <w:color w:val="auto"/>
              </w:rPr>
            </w:pPr>
          </w:p>
        </w:tc>
        <w:tc>
          <w:tcPr>
            <w:tcW w:w="542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4020" w:type="dxa"/>
            <w:vAlign w:val="bottom"/>
            <w:gridSpan w:val="3"/>
          </w:tcPr>
          <w:p>
            <w:pPr>
              <w:jc w:val="right"/>
              <w:ind w:right="1982"/>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83"/>
        </w:trPr>
        <w:tc>
          <w:tcPr>
            <w:tcW w:w="960" w:type="dxa"/>
            <w:vAlign w:val="bottom"/>
          </w:tcPr>
          <w:p>
            <w:pPr>
              <w:spacing w:after="0"/>
              <w:rPr>
                <w:sz w:val="24"/>
                <w:szCs w:val="24"/>
                <w:color w:val="auto"/>
              </w:rPr>
            </w:pPr>
          </w:p>
        </w:tc>
        <w:tc>
          <w:tcPr>
            <w:tcW w:w="542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(Zip Code)</w:t>
            </w:r>
          </w:p>
        </w:tc>
      </w:tr>
      <w:tr>
        <w:trPr>
          <w:trHeight w:val="405"/>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40" w:type="dxa"/>
            <w:vAlign w:val="bottom"/>
            <w:gridSpan w:val="4"/>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9"/>
              </w:rPr>
              <w:t>(800) 691-0952</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360" w:type="dxa"/>
            <w:vAlign w:val="bottom"/>
            <w:gridSpan w:val="7"/>
          </w:tcPr>
          <w:p>
            <w:pPr>
              <w:jc w:val="center"/>
              <w:ind w:right="280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8"/>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N/A</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60" w:type="dxa"/>
            <w:vAlign w:val="bottom"/>
            <w:gridSpan w:val="8"/>
          </w:tcPr>
          <w:p>
            <w:pPr>
              <w:jc w:val="center"/>
              <w:ind w:right="1802"/>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33"/>
        </w:trPr>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385"/>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60" w:type="dxa"/>
            <w:vAlign w:val="bottom"/>
            <w:gridSpan w:val="7"/>
          </w:tcPr>
          <w:p>
            <w:pPr>
              <w:jc w:val="center"/>
              <w:ind w:right="280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02"/>
        </w:trPr>
        <w:tc>
          <w:tcPr>
            <w:tcW w:w="9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6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40"/>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4"/>
              </w:rPr>
              <w:t>BRLT</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40" w:lineRule="exact"/>
        <w:rPr>
          <w:sz w:val="24"/>
          <w:szCs w:val="24"/>
          <w:color w:val="auto"/>
        </w:rPr>
      </w:pPr>
    </w:p>
    <w:p>
      <w:pPr>
        <w:jc w:val="right"/>
        <w:spacing w:after="0" w:line="219" w:lineRule="exact"/>
        <w:rPr>
          <w:sz w:val="20"/>
          <w:szCs w:val="20"/>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9"/>
          <w:szCs w:val="19"/>
          <w:color w:val="auto"/>
        </w:rPr>
        <w:t>☒</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34" w:lineRule="exact"/>
        <w:rPr>
          <w:sz w:val="24"/>
          <w:szCs w:val="24"/>
          <w:color w:val="auto"/>
        </w:rPr>
      </w:pPr>
    </w:p>
    <w:p>
      <w:pPr>
        <w:ind w:left="10500"/>
        <w:spacing w:after="0" w:line="207" w:lineRule="exact"/>
        <w:rPr>
          <w:sz w:val="20"/>
          <w:szCs w:val="20"/>
          <w:color w:val="auto"/>
        </w:rPr>
      </w:pPr>
      <w:r>
        <w:rPr>
          <w:rFonts w:ascii="Times New Roman" w:cs="Times New Roman" w:eastAsia="Times New Roman" w:hAnsi="Times New Roman"/>
          <w:sz w:val="17"/>
          <w:szCs w:val="17"/>
          <w:color w:val="auto"/>
        </w:rPr>
        <w:t xml:space="preserve">Yes No </w:t>
      </w:r>
      <w:r>
        <w:rPr>
          <w:rFonts w:ascii="MS PGothic" w:cs="MS PGothic" w:eastAsia="MS PGothic" w:hAnsi="MS PGothic"/>
          <w:sz w:val="18"/>
          <w:szCs w:val="18"/>
          <w:color w:val="auto"/>
        </w:rPr>
        <w:t>☒</w:t>
      </w:r>
    </w:p>
    <w:p>
      <w:pPr>
        <w:spacing w:after="0" w:line="95"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w:t>
      </w:r>
    </w:p>
    <w:p>
      <w:pPr>
        <w:spacing w:after="0" w:line="192"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0" w:lineRule="exact"/>
        <w:rPr>
          <w:sz w:val="24"/>
          <w:szCs w:val="24"/>
          <w:color w:val="auto"/>
        </w:rPr>
      </w:pPr>
    </w:p>
    <w:p>
      <w:pPr>
        <w:sectPr>
          <w:pgSz w:w="11900" w:h="16838" w:orient="portrait"/>
          <w:cols w:equalWidth="0" w:num="1">
            <w:col w:w="11240"/>
          </w:cols>
          <w:pgMar w:left="320" w:top="472" w:right="339" w:bottom="1440" w:gutter="0" w:footer="0" w:header="0"/>
        </w:sectPr>
      </w:pPr>
    </w:p>
    <w:p>
      <w:pPr>
        <w:spacing w:after="0" w:line="22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4"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0"/>
          <w:szCs w:val="20"/>
          <w:color w:val="auto"/>
        </w:rPr>
      </w:pPr>
    </w:p>
    <w:p>
      <w:pPr>
        <w:ind w:right="22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7" w:lineRule="exact"/>
        <w:rPr>
          <w:sz w:val="20"/>
          <w:szCs w:val="20"/>
          <w:color w:val="auto"/>
        </w:rPr>
      </w:pPr>
    </w:p>
    <w:p>
      <w:pPr>
        <w:ind w:right="300"/>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7" w:lineRule="exact"/>
        <w:rPr>
          <w:sz w:val="20"/>
          <w:szCs w:val="20"/>
          <w:color w:val="auto"/>
        </w:rPr>
      </w:pPr>
    </w:p>
    <w:p>
      <w:pPr>
        <w:ind w:right="380"/>
        <w:spacing w:after="0" w:line="206"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 that required a recovery analysis of incentive-based compensation received by any of the registrant's executive officers during the relevant recovery period pursuant to §240.10D-1(b).</w:t>
      </w:r>
      <w:r>
        <w:rPr>
          <w:rFonts w:ascii="MS PGothic" w:cs="MS PGothic" w:eastAsia="MS PGothic" w:hAnsi="MS PGothic"/>
          <w:sz w:val="16"/>
          <w:szCs w:val="16"/>
          <w:color w:val="auto"/>
        </w:rPr>
        <w:t>☐</w:t>
      </w:r>
    </w:p>
    <w:p>
      <w:pPr>
        <w:spacing w:after="0" w:line="16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95"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Class A common stock held by non-affiliates was $19.3 million based on the closing price as of June 30, 2025, the last business day of the registrant's most recently completed second fiscal quarter, as reported on the Nasdaq Global Market on such date.</w:t>
      </w:r>
    </w:p>
    <w:p>
      <w:pPr>
        <w:spacing w:after="0" w:line="204"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6"/>
          <w:szCs w:val="16"/>
          <w:color w:val="auto"/>
        </w:rPr>
        <w:t>As of March 13, 2026, there were 16,162,992 shares of the registrant's Class A common stock, $0.0001 par value per share, outstanding, 35,822,342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Specifically identified portions of the registrant’s definitive proxy statement for the 2026 annual meeting of stockholders, which will be filed no later than 120 days after the end of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6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0"/>
        </w:trPr>
        <w:tc>
          <w:tcPr>
            <w:tcW w:w="760" w:type="dxa"/>
            <w:vAlign w:val="bottom"/>
            <w:vMerge w:val="restart"/>
          </w:tcPr>
          <w:p>
            <w:pPr>
              <w:spacing w:after="0"/>
              <w:rPr>
                <w:sz w:val="3"/>
                <w:szCs w:val="3"/>
                <w:color w:val="auto"/>
              </w:rPr>
            </w:pPr>
          </w:p>
        </w:tc>
        <w:tc>
          <w:tcPr>
            <w:tcW w:w="44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78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1519FD"/>
              </w:rPr>
              <w:t>Part I</w:t>
            </w: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520" w:type="dxa"/>
            <w:vAlign w:val="bottom"/>
            <w:vMerge w:val="restart"/>
          </w:tcPr>
          <w:p>
            <w:pPr>
              <w:spacing w:after="0"/>
              <w:rPr>
                <w:sz w:val="3"/>
                <w:szCs w:val="3"/>
                <w:color w:val="auto"/>
              </w:rPr>
            </w:pPr>
          </w:p>
        </w:tc>
        <w:tc>
          <w:tcPr>
            <w:tcW w:w="9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920" w:type="dxa"/>
            <w:vAlign w:val="bottom"/>
            <w:vMerge w:val="restart"/>
          </w:tcPr>
          <w:p>
            <w:pPr>
              <w:spacing w:after="0"/>
              <w:rPr>
                <w:sz w:val="3"/>
                <w:szCs w:val="3"/>
                <w:color w:val="auto"/>
              </w:rPr>
            </w:pPr>
          </w:p>
        </w:tc>
        <w:tc>
          <w:tcPr>
            <w:tcW w:w="680" w:type="dxa"/>
            <w:vAlign w:val="bottom"/>
            <w:vMerge w:val="restart"/>
          </w:tcPr>
          <w:p>
            <w:pPr>
              <w:spacing w:after="0"/>
              <w:rPr>
                <w:sz w:val="3"/>
                <w:szCs w:val="3"/>
                <w:color w:val="auto"/>
              </w:rPr>
            </w:pPr>
          </w:p>
        </w:tc>
        <w:tc>
          <w:tcPr>
            <w:tcW w:w="1780" w:type="dxa"/>
            <w:vAlign w:val="bottom"/>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0" w:type="dxa"/>
            <w:vAlign w:val="bottom"/>
            <w:tcBorders>
              <w:bottom w:val="single" w:sz="8" w:color="1519FD"/>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780" w:type="dxa"/>
            <w:vAlign w:val="bottom"/>
            <w:gridSpan w:val="5"/>
          </w:tcPr>
          <w:p>
            <w:pPr>
              <w:jc w:val="right"/>
              <w:ind w:right="20"/>
              <w:spacing w:after="0" w:line="169" w:lineRule="exact"/>
              <w:rPr>
                <w:sz w:val="20"/>
                <w:szCs w:val="20"/>
                <w:color w:val="auto"/>
              </w:rPr>
            </w:pPr>
            <w:r>
              <w:rPr>
                <w:rFonts w:ascii="Times New Roman" w:cs="Times New Roman" w:eastAsia="Times New Roman" w:hAnsi="Times New Roman"/>
                <w:sz w:val="18"/>
                <w:szCs w:val="18"/>
                <w:color w:val="1519FD"/>
              </w:rPr>
              <w:t>8</w:t>
            </w:r>
          </w:p>
        </w:tc>
        <w:tc>
          <w:tcPr>
            <w:tcW w:w="0" w:type="dxa"/>
            <w:vAlign w:val="bottom"/>
          </w:tcPr>
          <w:p>
            <w:pPr>
              <w:spacing w:after="0"/>
              <w:rPr>
                <w:sz w:val="1"/>
                <w:szCs w:val="1"/>
                <w:color w:val="auto"/>
              </w:rPr>
            </w:pPr>
          </w:p>
        </w:tc>
      </w:tr>
      <w:tr>
        <w:trPr>
          <w:trHeight w:val="20"/>
        </w:trPr>
        <w:tc>
          <w:tcPr>
            <w:tcW w:w="104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1519FD"/>
              </w:rPr>
              <w:t>Item 1. Business</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40" w:type="dxa"/>
            <w:vAlign w:val="bottom"/>
            <w:gridSpan w:val="29"/>
            <w:vMerge w:val="continue"/>
          </w:tcPr>
          <w:p>
            <w:pPr>
              <w:spacing w:after="0"/>
              <w:rPr>
                <w:sz w:val="20"/>
                <w:szCs w:val="20"/>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8</w:t>
            </w:r>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440" w:type="dxa"/>
            <w:vAlign w:val="bottom"/>
            <w:shd w:val="clear" w:color="auto" w:fill="1519F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40" w:type="dxa"/>
            <w:vAlign w:val="bottom"/>
            <w:tcBorders>
              <w:bottom w:val="single" w:sz="8" w:color="1519FD"/>
            </w:tcBorders>
            <w:gridSpan w:val="5"/>
          </w:tcPr>
          <w:p>
            <w:pPr>
              <w:spacing w:after="0"/>
              <w:rPr>
                <w:sz w:val="20"/>
                <w:szCs w:val="20"/>
                <w:color w:val="auto"/>
              </w:rPr>
            </w:pPr>
            <w:r>
              <w:rPr>
                <w:rFonts w:ascii="Times New Roman" w:cs="Times New Roman" w:eastAsia="Times New Roman" w:hAnsi="Times New Roman"/>
                <w:sz w:val="18"/>
                <w:szCs w:val="18"/>
                <w:color w:val="1519FD"/>
              </w:rPr>
              <w:t>Item 1A. Risk Factors</w:t>
            </w:r>
          </w:p>
        </w:tc>
        <w:tc>
          <w:tcPr>
            <w:tcW w:w="8800" w:type="dxa"/>
            <w:vAlign w:val="bottom"/>
            <w:gridSpan w:val="24"/>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1519FD"/>
            </w:tcBorders>
            <w:gridSpan w:val="13"/>
          </w:tcPr>
          <w:p>
            <w:pPr>
              <w:spacing w:after="0"/>
              <w:rPr>
                <w:sz w:val="20"/>
                <w:szCs w:val="20"/>
                <w:color w:val="auto"/>
              </w:rPr>
            </w:pPr>
            <w:r>
              <w:rPr>
                <w:rFonts w:ascii="Times New Roman" w:cs="Times New Roman" w:eastAsia="Times New Roman" w:hAnsi="Times New Roman"/>
                <w:sz w:val="18"/>
                <w:szCs w:val="18"/>
                <w:color w:val="1519FD"/>
              </w:rPr>
              <w:t>Item 1B. Unresolved Staff Comments</w:t>
            </w:r>
          </w:p>
        </w:tc>
        <w:tc>
          <w:tcPr>
            <w:tcW w:w="7660" w:type="dxa"/>
            <w:vAlign w:val="bottom"/>
            <w:gridSpan w:val="16"/>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40" w:type="dxa"/>
            <w:vAlign w:val="bottom"/>
            <w:tcBorders>
              <w:top w:val="single" w:sz="8" w:color="0000FF"/>
              <w:bottom w:val="single" w:sz="8" w:color="1519FD"/>
            </w:tcBorders>
            <w:gridSpan w:val="4"/>
          </w:tcPr>
          <w:p>
            <w:pPr>
              <w:spacing w:after="0"/>
              <w:rPr>
                <w:sz w:val="20"/>
                <w:szCs w:val="20"/>
                <w:color w:val="auto"/>
              </w:rPr>
            </w:pPr>
            <w:r>
              <w:rPr>
                <w:rFonts w:ascii="Times New Roman" w:cs="Times New Roman" w:eastAsia="Times New Roman" w:hAnsi="Times New Roman"/>
                <w:sz w:val="18"/>
                <w:szCs w:val="18"/>
                <w:color w:val="1519FD"/>
              </w:rPr>
              <w:t>Item 2. Properties</w:t>
            </w:r>
          </w:p>
        </w:tc>
        <w:tc>
          <w:tcPr>
            <w:tcW w:w="340" w:type="dxa"/>
            <w:vAlign w:val="bottom"/>
            <w:tcBorders>
              <w:top w:val="single" w:sz="8" w:color="0000FF"/>
            </w:tcBorders>
            <w:gridSpan w:val="2"/>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top w:val="single" w:sz="8" w:color="1519FD"/>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1519FD"/>
            </w:tcBorders>
            <w:gridSpan w:val="7"/>
          </w:tcPr>
          <w:p>
            <w:pPr>
              <w:spacing w:after="0"/>
              <w:rPr>
                <w:sz w:val="20"/>
                <w:szCs w:val="20"/>
                <w:color w:val="auto"/>
              </w:rPr>
            </w:pPr>
            <w:r>
              <w:rPr>
                <w:rFonts w:ascii="Times New Roman" w:cs="Times New Roman" w:eastAsia="Times New Roman" w:hAnsi="Times New Roman"/>
                <w:sz w:val="18"/>
                <w:szCs w:val="18"/>
                <w:color w:val="1519FD"/>
                <w:w w:val="99"/>
              </w:rPr>
              <w:t>Item 3. Legal Proceedings</w:t>
            </w:r>
          </w:p>
        </w:tc>
        <w:tc>
          <w:tcPr>
            <w:tcW w:w="8540" w:type="dxa"/>
            <w:vAlign w:val="bottom"/>
            <w:gridSpan w:val="22"/>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380" w:type="dxa"/>
            <w:vAlign w:val="bottom"/>
            <w:tcBorders>
              <w:bottom w:val="single" w:sz="8" w:color="1519FD"/>
            </w:tcBorders>
            <w:gridSpan w:val="10"/>
          </w:tcPr>
          <w:p>
            <w:pPr>
              <w:spacing w:after="0"/>
              <w:rPr>
                <w:sz w:val="20"/>
                <w:szCs w:val="20"/>
                <w:color w:val="auto"/>
              </w:rPr>
            </w:pPr>
            <w:r>
              <w:rPr>
                <w:rFonts w:ascii="Times New Roman" w:cs="Times New Roman" w:eastAsia="Times New Roman" w:hAnsi="Times New Roman"/>
                <w:sz w:val="18"/>
                <w:szCs w:val="18"/>
                <w:color w:val="1519FD"/>
              </w:rPr>
              <w:t>Item 4. Mine Safety Disclosures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340" w:type="dxa"/>
            <w:vAlign w:val="bottom"/>
            <w:gridSpan w:val="10"/>
          </w:tcPr>
          <w:p>
            <w:pPr>
              <w:jc w:val="center"/>
              <w:ind w:right="4920"/>
              <w:spacing w:after="0"/>
              <w:rPr>
                <w:sz w:val="20"/>
                <w:szCs w:val="20"/>
                <w:color w:val="auto"/>
              </w:rPr>
            </w:pPr>
            <w:r>
              <w:rPr>
                <w:rFonts w:ascii="Times New Roman" w:cs="Times New Roman" w:eastAsia="Times New Roman" w:hAnsi="Times New Roman"/>
                <w:sz w:val="18"/>
                <w:szCs w:val="18"/>
                <w:color w:val="1519FD"/>
                <w:w w:val="92"/>
              </w:rPr>
              <w:t>Part II</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1519FD"/>
            </w:tcBorders>
          </w:tcPr>
          <w:p>
            <w:pPr>
              <w:spacing w:after="0" w:line="20" w:lineRule="exact"/>
              <w:rPr>
                <w:sz w:val="1"/>
                <w:szCs w:val="1"/>
                <w:color w:val="auto"/>
              </w:rPr>
            </w:pPr>
          </w:p>
        </w:tc>
        <w:tc>
          <w:tcPr>
            <w:tcW w:w="420" w:type="dxa"/>
            <w:vAlign w:val="bottom"/>
            <w:gridSpan w:val="2"/>
            <w:shd w:val="clear" w:color="auto" w:fill="151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60" w:type="dxa"/>
            <w:vAlign w:val="bottom"/>
            <w:tcBorders>
              <w:bottom w:val="single" w:sz="8" w:color="1519FD"/>
            </w:tcBorders>
            <w:gridSpan w:val="28"/>
          </w:tcPr>
          <w:p>
            <w:pPr>
              <w:spacing w:after="0"/>
              <w:rPr>
                <w:sz w:val="20"/>
                <w:szCs w:val="20"/>
                <w:color w:val="auto"/>
              </w:rPr>
            </w:pPr>
            <w:r>
              <w:rPr>
                <w:rFonts w:ascii="Times New Roman" w:cs="Times New Roman" w:eastAsia="Times New Roman" w:hAnsi="Times New Roman"/>
                <w:sz w:val="18"/>
                <w:szCs w:val="18"/>
                <w:color w:val="1519FD"/>
              </w:rPr>
              <w:t>Item 5. Market for Registrant's Common Equity, Related Stockholder Matters and Issuer Purchases of Equity Securities</w:t>
            </w:r>
          </w:p>
        </w:tc>
        <w:tc>
          <w:tcPr>
            <w:tcW w:w="178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80" w:type="dxa"/>
            <w:vAlign w:val="bottom"/>
            <w:tcBorders>
              <w:bottom w:val="single" w:sz="8" w:color="1519FD"/>
            </w:tcBorders>
            <w:gridSpan w:val="3"/>
          </w:tcPr>
          <w:p>
            <w:pPr>
              <w:spacing w:after="0"/>
              <w:rPr>
                <w:sz w:val="20"/>
                <w:szCs w:val="20"/>
                <w:color w:val="auto"/>
              </w:rPr>
            </w:pPr>
            <w:r>
              <w:rPr>
                <w:rFonts w:ascii="Times New Roman" w:cs="Times New Roman" w:eastAsia="Times New Roman" w:hAnsi="Times New Roman"/>
                <w:sz w:val="18"/>
                <w:szCs w:val="18"/>
                <w:color w:val="1519FD"/>
                <w:w w:val="98"/>
              </w:rPr>
              <w:t>Item 6. [Reserved</w:t>
            </w:r>
          </w:p>
        </w:tc>
        <w:tc>
          <w:tcPr>
            <w:tcW w:w="7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1519FD"/>
                <w:w w:val="74"/>
              </w:rPr>
              <w:t>]</w:t>
            </w:r>
          </w:p>
        </w:tc>
        <w:tc>
          <w:tcPr>
            <w:tcW w:w="24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60" w:type="dxa"/>
            <w:vAlign w:val="bottom"/>
            <w:gridSpan w:val="2"/>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40" w:type="dxa"/>
            <w:vAlign w:val="bottom"/>
            <w:tcBorders>
              <w:bottom w:val="single" w:sz="8" w:color="1519FD"/>
            </w:tcBorders>
            <w:gridSpan w:val="25"/>
          </w:tcPr>
          <w:p>
            <w:pPr>
              <w:spacing w:after="0"/>
              <w:rPr>
                <w:sz w:val="20"/>
                <w:szCs w:val="20"/>
                <w:color w:val="auto"/>
              </w:rPr>
            </w:pPr>
            <w:r>
              <w:rPr>
                <w:rFonts w:ascii="Times New Roman" w:cs="Times New Roman" w:eastAsia="Times New Roman" w:hAnsi="Times New Roman"/>
                <w:sz w:val="18"/>
                <w:szCs w:val="18"/>
                <w:color w:val="1519FD"/>
              </w:rPr>
              <w:t>Item 7. Management's Discussion and Analysis of Financial Condition and Results of Operations</w:t>
            </w:r>
          </w:p>
        </w:tc>
        <w:tc>
          <w:tcPr>
            <w:tcW w:w="3400" w:type="dxa"/>
            <w:vAlign w:val="bottom"/>
            <w:gridSpan w:val="4"/>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1519FD"/>
            </w:tcBorders>
            <w:gridSpan w:val="19"/>
          </w:tcPr>
          <w:p>
            <w:pPr>
              <w:spacing w:after="0"/>
              <w:rPr>
                <w:sz w:val="20"/>
                <w:szCs w:val="20"/>
                <w:color w:val="auto"/>
              </w:rPr>
            </w:pPr>
            <w:r>
              <w:rPr>
                <w:rFonts w:ascii="Times New Roman" w:cs="Times New Roman" w:eastAsia="Times New Roman" w:hAnsi="Times New Roman"/>
                <w:sz w:val="18"/>
                <w:szCs w:val="18"/>
                <w:color w:val="1519FD"/>
              </w:rPr>
              <w:t>Item 7A. Quantitative and Qualitative Disclosures About Market Risk</w:t>
            </w:r>
          </w:p>
        </w:tc>
        <w:tc>
          <w:tcPr>
            <w:tcW w:w="4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2460" w:type="dxa"/>
            <w:vAlign w:val="bottom"/>
            <w:gridSpan w:val="2"/>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Times New Roman" w:cs="Times New Roman" w:eastAsia="Times New Roman" w:hAnsi="Times New Roman"/>
                <w:sz w:val="18"/>
                <w:szCs w:val="18"/>
                <w:color w:val="1519FD"/>
                <w:w w:val="88"/>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440" w:type="dxa"/>
            <w:vAlign w:val="bottom"/>
            <w:gridSpan w:val="29"/>
          </w:tcPr>
          <w:p>
            <w:pPr>
              <w:spacing w:after="0"/>
              <w:rPr>
                <w:sz w:val="20"/>
                <w:szCs w:val="20"/>
                <w:color w:val="auto"/>
              </w:rPr>
            </w:pPr>
            <w:r>
              <w:rPr>
                <w:rFonts w:ascii="Times New Roman" w:cs="Times New Roman" w:eastAsia="Times New Roman" w:hAnsi="Times New Roman"/>
                <w:sz w:val="18"/>
                <w:szCs w:val="18"/>
                <w:color w:val="1519FD"/>
              </w:rPr>
              <w:t>Item 8. Financial Statements and Supplementary Data</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44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6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2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12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60" w:type="dxa"/>
            <w:vAlign w:val="bottom"/>
            <w:shd w:val="clear" w:color="auto" w:fill="1519FD"/>
          </w:tcPr>
          <w:p>
            <w:pPr>
              <w:spacing w:after="0" w:line="20" w:lineRule="exact"/>
              <w:rPr>
                <w:sz w:val="1"/>
                <w:szCs w:val="1"/>
                <w:color w:val="auto"/>
              </w:rPr>
            </w:pPr>
          </w:p>
        </w:tc>
        <w:tc>
          <w:tcPr>
            <w:tcW w:w="780" w:type="dxa"/>
            <w:vAlign w:val="bottom"/>
            <w:shd w:val="clear" w:color="auto" w:fill="1519FD"/>
          </w:tcPr>
          <w:p>
            <w:pPr>
              <w:spacing w:after="0" w:line="20" w:lineRule="exact"/>
              <w:rPr>
                <w:sz w:val="1"/>
                <w:szCs w:val="1"/>
                <w:color w:val="auto"/>
              </w:rPr>
            </w:pPr>
          </w:p>
        </w:tc>
        <w:tc>
          <w:tcPr>
            <w:tcW w:w="22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1519FD"/>
            </w:tcBorders>
            <w:shd w:val="clear" w:color="auto" w:fill="1519FD"/>
          </w:tcPr>
          <w:p>
            <w:pPr>
              <w:spacing w:after="0" w:line="20" w:lineRule="exact"/>
              <w:rPr>
                <w:sz w:val="1"/>
                <w:szCs w:val="1"/>
                <w:color w:val="auto"/>
              </w:rPr>
            </w:pPr>
          </w:p>
        </w:tc>
        <w:tc>
          <w:tcPr>
            <w:tcW w:w="80" w:type="dxa"/>
            <w:vAlign w:val="bottom"/>
            <w:tcBorders>
              <w:bottom w:val="single" w:sz="8" w:color="1519FD"/>
            </w:tcBorders>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440" w:type="dxa"/>
            <w:vAlign w:val="bottom"/>
            <w:gridSpan w:val="29"/>
          </w:tcPr>
          <w:p>
            <w:pPr>
              <w:spacing w:after="0"/>
              <w:rPr>
                <w:sz w:val="20"/>
                <w:szCs w:val="20"/>
                <w:color w:val="auto"/>
              </w:rPr>
            </w:pPr>
            <w:r>
              <w:rPr>
                <w:rFonts w:ascii="Times New Roman" w:cs="Times New Roman" w:eastAsia="Times New Roman" w:hAnsi="Times New Roman"/>
                <w:sz w:val="18"/>
                <w:szCs w:val="18"/>
                <w:color w:val="1519FD"/>
              </w:rPr>
              <w:t>Item 9. Changes in and Disagreements With Accountants on Accounting and Financial Disclosure</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115</w:t>
            </w:r>
          </w:p>
        </w:tc>
        <w:tc>
          <w:tcPr>
            <w:tcW w:w="0" w:type="dxa"/>
            <w:vAlign w:val="bottom"/>
          </w:tcPr>
          <w:p>
            <w:pPr>
              <w:spacing w:after="0"/>
              <w:rPr>
                <w:sz w:val="1"/>
                <w:szCs w:val="1"/>
                <w:color w:val="auto"/>
              </w:rPr>
            </w:pPr>
          </w:p>
        </w:tc>
      </w:tr>
      <w:tr>
        <w:trPr>
          <w:trHeight w:val="20"/>
        </w:trPr>
        <w:tc>
          <w:tcPr>
            <w:tcW w:w="2520" w:type="dxa"/>
            <w:vAlign w:val="bottom"/>
            <w:tcBorders>
              <w:top w:val="single" w:sz="8" w:color="1519FD"/>
            </w:tcBorders>
            <w:gridSpan w:val="12"/>
            <w:vMerge w:val="restart"/>
          </w:tcPr>
          <w:p>
            <w:pPr>
              <w:spacing w:after="0"/>
              <w:rPr>
                <w:sz w:val="20"/>
                <w:szCs w:val="20"/>
                <w:color w:val="auto"/>
              </w:rPr>
            </w:pPr>
            <w:r>
              <w:rPr>
                <w:rFonts w:ascii="Times New Roman" w:cs="Times New Roman" w:eastAsia="Times New Roman" w:hAnsi="Times New Roman"/>
                <w:sz w:val="18"/>
                <w:szCs w:val="18"/>
                <w:color w:val="1519FD"/>
              </w:rPr>
              <w:t>Item 9A. Controls and Procedures</w:t>
            </w:r>
          </w:p>
        </w:tc>
        <w:tc>
          <w:tcPr>
            <w:tcW w:w="4540" w:type="dxa"/>
            <w:vAlign w:val="bottom"/>
            <w:tcBorders>
              <w:top w:val="single" w:sz="8" w:color="1519FD"/>
            </w:tcBorders>
            <w:gridSpan w:val="14"/>
            <w:vMerge w:val="restart"/>
          </w:tcPr>
          <w:p>
            <w:pPr>
              <w:spacing w:after="0" w:line="20" w:lineRule="exact"/>
              <w:rPr>
                <w:sz w:val="1"/>
                <w:szCs w:val="1"/>
                <w:color w:val="auto"/>
              </w:rPr>
            </w:pPr>
          </w:p>
        </w:tc>
        <w:tc>
          <w:tcPr>
            <w:tcW w:w="3380" w:type="dxa"/>
            <w:vAlign w:val="bottom"/>
            <w:gridSpan w:val="3"/>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520" w:type="dxa"/>
            <w:vAlign w:val="bottom"/>
            <w:tcBorders>
              <w:bottom w:val="single" w:sz="8" w:color="1519FD"/>
            </w:tcBorders>
            <w:gridSpan w:val="12"/>
            <w:vMerge w:val="continue"/>
          </w:tcPr>
          <w:p>
            <w:pPr>
              <w:spacing w:after="0"/>
              <w:rPr>
                <w:sz w:val="21"/>
                <w:szCs w:val="21"/>
                <w:color w:val="auto"/>
              </w:rPr>
            </w:pPr>
          </w:p>
        </w:tc>
        <w:tc>
          <w:tcPr>
            <w:tcW w:w="4540" w:type="dxa"/>
            <w:vAlign w:val="bottom"/>
            <w:gridSpan w:val="14"/>
            <w:vMerge w:val="continue"/>
          </w:tcPr>
          <w:p>
            <w:pPr>
              <w:spacing w:after="0"/>
              <w:rPr>
                <w:sz w:val="21"/>
                <w:szCs w:val="21"/>
                <w:color w:val="auto"/>
              </w:rPr>
            </w:pPr>
          </w:p>
        </w:tc>
        <w:tc>
          <w:tcPr>
            <w:tcW w:w="3380" w:type="dxa"/>
            <w:vAlign w:val="bottom"/>
            <w:gridSpan w:val="3"/>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115</w:t>
            </w:r>
          </w:p>
        </w:tc>
        <w:tc>
          <w:tcPr>
            <w:tcW w:w="0" w:type="dxa"/>
            <w:vAlign w:val="bottom"/>
          </w:tcPr>
          <w:p>
            <w:pPr>
              <w:spacing w:after="0"/>
              <w:rPr>
                <w:sz w:val="1"/>
                <w:szCs w:val="1"/>
                <w:color w:val="auto"/>
              </w:rPr>
            </w:pPr>
          </w:p>
        </w:tc>
      </w:tr>
      <w:tr>
        <w:trPr>
          <w:trHeight w:val="20"/>
        </w:trPr>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1519FD"/>
                <w:w w:val="99"/>
              </w:rPr>
              <w:t>Item 9B. Other Information</w:t>
            </w:r>
          </w:p>
        </w:tc>
        <w:tc>
          <w:tcPr>
            <w:tcW w:w="8440" w:type="dxa"/>
            <w:vAlign w:val="bottom"/>
            <w:gridSpan w:val="21"/>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00" w:type="dxa"/>
            <w:vAlign w:val="bottom"/>
            <w:tcBorders>
              <w:bottom w:val="single" w:sz="8" w:color="1519FD"/>
            </w:tcBorders>
            <w:gridSpan w:val="8"/>
            <w:vMerge w:val="continue"/>
          </w:tcPr>
          <w:p>
            <w:pPr>
              <w:spacing w:after="0"/>
              <w:rPr>
                <w:sz w:val="21"/>
                <w:szCs w:val="21"/>
                <w:color w:val="auto"/>
              </w:rPr>
            </w:pPr>
          </w:p>
        </w:tc>
        <w:tc>
          <w:tcPr>
            <w:tcW w:w="8440" w:type="dxa"/>
            <w:vAlign w:val="bottom"/>
            <w:gridSpan w:val="21"/>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116</w:t>
            </w:r>
          </w:p>
        </w:tc>
        <w:tc>
          <w:tcPr>
            <w:tcW w:w="0" w:type="dxa"/>
            <w:vAlign w:val="bottom"/>
          </w:tcPr>
          <w:p>
            <w:pPr>
              <w:spacing w:after="0"/>
              <w:rPr>
                <w:sz w:val="1"/>
                <w:szCs w:val="1"/>
                <w:color w:val="auto"/>
              </w:rPr>
            </w:pPr>
          </w:p>
        </w:tc>
      </w:tr>
      <w:tr>
        <w:trPr>
          <w:trHeight w:val="20"/>
        </w:trPr>
        <w:tc>
          <w:tcPr>
            <w:tcW w:w="55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1519FD"/>
                <w:w w:val="99"/>
              </w:rPr>
              <w:t>Item 9C. Disclosure Regarding Foreign Jurisdictions that Prevent Inspections</w:t>
            </w:r>
          </w:p>
        </w:tc>
        <w:tc>
          <w:tcPr>
            <w:tcW w:w="4860" w:type="dxa"/>
            <w:vAlign w:val="bottom"/>
            <w:gridSpan w:val="6"/>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80" w:type="dxa"/>
            <w:vAlign w:val="bottom"/>
            <w:tcBorders>
              <w:bottom w:val="single" w:sz="8" w:color="1519FD"/>
            </w:tcBorders>
            <w:gridSpan w:val="23"/>
            <w:vMerge w:val="continue"/>
          </w:tcPr>
          <w:p>
            <w:pPr>
              <w:spacing w:after="0"/>
              <w:rPr>
                <w:sz w:val="21"/>
                <w:szCs w:val="21"/>
                <w:color w:val="auto"/>
              </w:rPr>
            </w:pPr>
          </w:p>
        </w:tc>
        <w:tc>
          <w:tcPr>
            <w:tcW w:w="4860" w:type="dxa"/>
            <w:vAlign w:val="bottom"/>
            <w:gridSpan w:val="6"/>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1519FD"/>
              </w:rPr>
              <w:t>Part III</w:t>
            </w:r>
          </w:p>
        </w:tc>
        <w:tc>
          <w:tcPr>
            <w:tcW w:w="4880" w:type="dxa"/>
            <w:vAlign w:val="bottom"/>
            <w:gridSpan w:val="7"/>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bottom w:val="single" w:sz="8" w:color="1519FD"/>
            </w:tcBorders>
            <w:gridSpan w:val="4"/>
            <w:vMerge w:val="continue"/>
          </w:tcPr>
          <w:p>
            <w:pPr>
              <w:spacing w:after="0"/>
              <w:rPr>
                <w:sz w:val="21"/>
                <w:szCs w:val="21"/>
                <w:color w:val="auto"/>
              </w:rPr>
            </w:pPr>
          </w:p>
        </w:tc>
        <w:tc>
          <w:tcPr>
            <w:tcW w:w="4880" w:type="dxa"/>
            <w:vAlign w:val="bottom"/>
            <w:gridSpan w:val="7"/>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118</w:t>
            </w:r>
          </w:p>
        </w:tc>
        <w:tc>
          <w:tcPr>
            <w:tcW w:w="0" w:type="dxa"/>
            <w:vAlign w:val="bottom"/>
          </w:tcPr>
          <w:p>
            <w:pPr>
              <w:spacing w:after="0"/>
              <w:rPr>
                <w:sz w:val="1"/>
                <w:szCs w:val="1"/>
                <w:color w:val="auto"/>
              </w:rPr>
            </w:pPr>
          </w:p>
        </w:tc>
      </w:tr>
      <w:tr>
        <w:trPr>
          <w:trHeight w:val="20"/>
        </w:trPr>
        <w:tc>
          <w:tcPr>
            <w:tcW w:w="47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1519FD"/>
              </w:rPr>
              <w:t>Item 10. Directors, Executive Officers and Corporate Governance</w:t>
            </w:r>
          </w:p>
        </w:tc>
        <w:tc>
          <w:tcPr>
            <w:tcW w:w="5660" w:type="dxa"/>
            <w:vAlign w:val="bottom"/>
            <w:gridSpan w:val="1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tcBorders>
              <w:bottom w:val="single" w:sz="8" w:color="1519FD"/>
            </w:tcBorders>
            <w:gridSpan w:val="17"/>
            <w:vMerge w:val="continue"/>
          </w:tcPr>
          <w:p>
            <w:pPr>
              <w:spacing w:after="0"/>
              <w:rPr>
                <w:sz w:val="21"/>
                <w:szCs w:val="21"/>
                <w:color w:val="auto"/>
              </w:rPr>
            </w:pPr>
          </w:p>
        </w:tc>
        <w:tc>
          <w:tcPr>
            <w:tcW w:w="5660" w:type="dxa"/>
            <w:vAlign w:val="bottom"/>
            <w:gridSpan w:val="12"/>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118</w:t>
            </w:r>
          </w:p>
        </w:tc>
        <w:tc>
          <w:tcPr>
            <w:tcW w:w="0" w:type="dxa"/>
            <w:vAlign w:val="bottom"/>
          </w:tcPr>
          <w:p>
            <w:pPr>
              <w:spacing w:after="0"/>
              <w:rPr>
                <w:sz w:val="1"/>
                <w:szCs w:val="1"/>
                <w:color w:val="auto"/>
              </w:rPr>
            </w:pPr>
          </w:p>
        </w:tc>
      </w:tr>
      <w:tr>
        <w:trPr>
          <w:trHeight w:val="20"/>
        </w:trPr>
        <w:tc>
          <w:tcPr>
            <w:tcW w:w="2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1519FD"/>
              </w:rPr>
              <w:t>Item 11. Executive Compensation</w:t>
            </w:r>
          </w:p>
        </w:tc>
        <w:tc>
          <w:tcPr>
            <w:tcW w:w="7940" w:type="dxa"/>
            <w:vAlign w:val="bottom"/>
            <w:gridSpan w:val="18"/>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500" w:type="dxa"/>
            <w:vAlign w:val="bottom"/>
            <w:tcBorders>
              <w:bottom w:val="single" w:sz="8" w:color="1519FD"/>
            </w:tcBorders>
            <w:gridSpan w:val="11"/>
            <w:vMerge w:val="continue"/>
          </w:tcPr>
          <w:p>
            <w:pPr>
              <w:spacing w:after="0"/>
              <w:rPr>
                <w:sz w:val="21"/>
                <w:szCs w:val="21"/>
                <w:color w:val="auto"/>
              </w:rPr>
            </w:pPr>
          </w:p>
        </w:tc>
        <w:tc>
          <w:tcPr>
            <w:tcW w:w="7940" w:type="dxa"/>
            <w:vAlign w:val="bottom"/>
            <w:gridSpan w:val="18"/>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118</w:t>
            </w:r>
          </w:p>
        </w:tc>
        <w:tc>
          <w:tcPr>
            <w:tcW w:w="0" w:type="dxa"/>
            <w:vAlign w:val="bottom"/>
          </w:tcPr>
          <w:p>
            <w:pPr>
              <w:spacing w:after="0"/>
              <w:rPr>
                <w:sz w:val="1"/>
                <w:szCs w:val="1"/>
                <w:color w:val="auto"/>
              </w:rPr>
            </w:pPr>
          </w:p>
        </w:tc>
      </w:tr>
      <w:tr>
        <w:trPr>
          <w:trHeight w:val="20"/>
        </w:trPr>
        <w:tc>
          <w:tcPr>
            <w:tcW w:w="798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1519FD"/>
              </w:rPr>
              <w:t>Item 12. Security Ownership of Certain Beneficial Owners and Management and Related Stockholder Matters</w:t>
            </w:r>
          </w:p>
        </w:tc>
        <w:tc>
          <w:tcPr>
            <w:tcW w:w="2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1519FD"/>
            </w:tcBorders>
            <w:gridSpan w:val="27"/>
            <w:vMerge w:val="continue"/>
          </w:tcPr>
          <w:p>
            <w:pPr>
              <w:spacing w:after="0"/>
              <w:rPr>
                <w:sz w:val="21"/>
                <w:szCs w:val="21"/>
                <w:color w:val="auto"/>
              </w:rPr>
            </w:pPr>
          </w:p>
        </w:tc>
        <w:tc>
          <w:tcPr>
            <w:tcW w:w="2460" w:type="dxa"/>
            <w:vAlign w:val="bottom"/>
            <w:gridSpan w:val="2"/>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118</w:t>
            </w:r>
          </w:p>
        </w:tc>
        <w:tc>
          <w:tcPr>
            <w:tcW w:w="0" w:type="dxa"/>
            <w:vAlign w:val="bottom"/>
          </w:tcPr>
          <w:p>
            <w:pPr>
              <w:spacing w:after="0"/>
              <w:rPr>
                <w:sz w:val="1"/>
                <w:szCs w:val="1"/>
                <w:color w:val="auto"/>
              </w:rPr>
            </w:pPr>
          </w:p>
        </w:tc>
      </w:tr>
      <w:tr>
        <w:trPr>
          <w:trHeight w:val="20"/>
        </w:trPr>
        <w:tc>
          <w:tcPr>
            <w:tcW w:w="104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1519FD"/>
              </w:rPr>
              <w:t>Item 13. Certain Relationships and Related Transactions, and Director Independence</w:t>
            </w: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440" w:type="dxa"/>
            <w:vAlign w:val="bottom"/>
            <w:gridSpan w:val="29"/>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118</w:t>
            </w:r>
          </w:p>
        </w:tc>
        <w:tc>
          <w:tcPr>
            <w:tcW w:w="0" w:type="dxa"/>
            <w:vAlign w:val="bottom"/>
          </w:tcPr>
          <w:p>
            <w:pPr>
              <w:spacing w:after="0"/>
              <w:rPr>
                <w:sz w:val="1"/>
                <w:szCs w:val="1"/>
                <w:color w:val="auto"/>
              </w:rPr>
            </w:pPr>
          </w:p>
        </w:tc>
      </w:tr>
      <w:tr>
        <w:trPr>
          <w:trHeight w:val="20"/>
        </w:trPr>
        <w:tc>
          <w:tcPr>
            <w:tcW w:w="3560" w:type="dxa"/>
            <w:vAlign w:val="bottom"/>
            <w:tcBorders>
              <w:top w:val="single" w:sz="8" w:color="1519FD"/>
            </w:tcBorders>
            <w:gridSpan w:val="14"/>
            <w:vMerge w:val="restart"/>
          </w:tcPr>
          <w:p>
            <w:pPr>
              <w:spacing w:after="0"/>
              <w:rPr>
                <w:sz w:val="20"/>
                <w:szCs w:val="20"/>
                <w:color w:val="auto"/>
              </w:rPr>
            </w:pPr>
            <w:r>
              <w:rPr>
                <w:rFonts w:ascii="Times New Roman" w:cs="Times New Roman" w:eastAsia="Times New Roman" w:hAnsi="Times New Roman"/>
                <w:sz w:val="18"/>
                <w:szCs w:val="18"/>
                <w:color w:val="1519FD"/>
              </w:rPr>
              <w:t>Item 14. Principal Accountant Fees and Services</w:t>
            </w:r>
          </w:p>
        </w:tc>
        <w:tc>
          <w:tcPr>
            <w:tcW w:w="2540" w:type="dxa"/>
            <w:vAlign w:val="bottom"/>
            <w:tcBorders>
              <w:top w:val="single" w:sz="8" w:color="1519FD"/>
            </w:tcBorders>
            <w:gridSpan w:val="10"/>
            <w:vMerge w:val="restart"/>
          </w:tcPr>
          <w:p>
            <w:pPr>
              <w:spacing w:after="0" w:line="20" w:lineRule="exact"/>
              <w:rPr>
                <w:sz w:val="1"/>
                <w:szCs w:val="1"/>
                <w:color w:val="auto"/>
              </w:rPr>
            </w:pPr>
          </w:p>
        </w:tc>
        <w:tc>
          <w:tcPr>
            <w:tcW w:w="4340" w:type="dxa"/>
            <w:vAlign w:val="bottom"/>
            <w:gridSpan w:val="5"/>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14"/>
            <w:vMerge w:val="continue"/>
          </w:tcPr>
          <w:p>
            <w:pPr>
              <w:spacing w:after="0"/>
              <w:rPr>
                <w:sz w:val="21"/>
                <w:szCs w:val="21"/>
                <w:color w:val="auto"/>
              </w:rPr>
            </w:pPr>
          </w:p>
        </w:tc>
        <w:tc>
          <w:tcPr>
            <w:tcW w:w="2540" w:type="dxa"/>
            <w:vAlign w:val="bottom"/>
            <w:gridSpan w:val="10"/>
            <w:vMerge w:val="continue"/>
          </w:tcPr>
          <w:p>
            <w:pPr>
              <w:spacing w:after="0"/>
              <w:rPr>
                <w:sz w:val="21"/>
                <w:szCs w:val="21"/>
                <w:color w:val="auto"/>
              </w:rPr>
            </w:pPr>
          </w:p>
        </w:tc>
        <w:tc>
          <w:tcPr>
            <w:tcW w:w="4340" w:type="dxa"/>
            <w:vAlign w:val="bottom"/>
            <w:gridSpan w:val="5"/>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118</w:t>
            </w:r>
          </w:p>
        </w:tc>
        <w:tc>
          <w:tcPr>
            <w:tcW w:w="0" w:type="dxa"/>
            <w:vAlign w:val="bottom"/>
          </w:tcPr>
          <w:p>
            <w:pPr>
              <w:spacing w:after="0"/>
              <w:rPr>
                <w:sz w:val="1"/>
                <w:szCs w:val="1"/>
                <w:color w:val="auto"/>
              </w:rPr>
            </w:pPr>
          </w:p>
        </w:tc>
      </w:tr>
      <w:tr>
        <w:trPr>
          <w:trHeight w:val="27"/>
        </w:trPr>
        <w:tc>
          <w:tcPr>
            <w:tcW w:w="760" w:type="dxa"/>
            <w:vAlign w:val="bottom"/>
            <w:shd w:val="clear" w:color="auto" w:fill="1519FD"/>
          </w:tcPr>
          <w:p>
            <w:pPr>
              <w:spacing w:after="0"/>
              <w:rPr>
                <w:sz w:val="2"/>
                <w:szCs w:val="2"/>
                <w:color w:val="auto"/>
              </w:rPr>
            </w:pPr>
          </w:p>
        </w:tc>
        <w:tc>
          <w:tcPr>
            <w:tcW w:w="440" w:type="dxa"/>
            <w:vAlign w:val="bottom"/>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60" w:type="dxa"/>
            <w:vAlign w:val="bottom"/>
            <w:shd w:val="clear" w:color="auto" w:fill="1519FD"/>
          </w:tcPr>
          <w:p>
            <w:pPr>
              <w:spacing w:after="0"/>
              <w:rPr>
                <w:sz w:val="2"/>
                <w:szCs w:val="2"/>
                <w:color w:val="auto"/>
              </w:rPr>
            </w:pPr>
          </w:p>
        </w:tc>
        <w:tc>
          <w:tcPr>
            <w:tcW w:w="300" w:type="dxa"/>
            <w:vAlign w:val="bottom"/>
            <w:shd w:val="clear" w:color="auto" w:fill="1519FD"/>
          </w:tcPr>
          <w:p>
            <w:pPr>
              <w:spacing w:after="0"/>
              <w:rPr>
                <w:sz w:val="2"/>
                <w:szCs w:val="2"/>
                <w:color w:val="auto"/>
              </w:rPr>
            </w:pPr>
          </w:p>
        </w:tc>
        <w:tc>
          <w:tcPr>
            <w:tcW w:w="40" w:type="dxa"/>
            <w:vAlign w:val="bottom"/>
            <w:shd w:val="clear" w:color="auto" w:fill="1519FD"/>
          </w:tcPr>
          <w:p>
            <w:pPr>
              <w:spacing w:after="0"/>
              <w:rPr>
                <w:sz w:val="2"/>
                <w:szCs w:val="2"/>
                <w:color w:val="auto"/>
              </w:rPr>
            </w:pPr>
          </w:p>
        </w:tc>
        <w:tc>
          <w:tcPr>
            <w:tcW w:w="22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240" w:type="dxa"/>
            <w:vAlign w:val="bottom"/>
            <w:shd w:val="clear" w:color="auto" w:fill="1519FD"/>
          </w:tcPr>
          <w:p>
            <w:pPr>
              <w:spacing w:after="0"/>
              <w:rPr>
                <w:sz w:val="2"/>
                <w:szCs w:val="2"/>
                <w:color w:val="auto"/>
              </w:rPr>
            </w:pPr>
          </w:p>
        </w:tc>
        <w:tc>
          <w:tcPr>
            <w:tcW w:w="140" w:type="dxa"/>
            <w:vAlign w:val="bottom"/>
            <w:shd w:val="clear" w:color="auto" w:fill="1519FD"/>
          </w:tcPr>
          <w:p>
            <w:pPr>
              <w:spacing w:after="0"/>
              <w:rPr>
                <w:sz w:val="2"/>
                <w:szCs w:val="2"/>
                <w:color w:val="auto"/>
              </w:rPr>
            </w:pPr>
          </w:p>
        </w:tc>
        <w:tc>
          <w:tcPr>
            <w:tcW w:w="120" w:type="dxa"/>
            <w:vAlign w:val="bottom"/>
            <w:shd w:val="clear" w:color="auto" w:fill="1519FD"/>
          </w:tcPr>
          <w:p>
            <w:pPr>
              <w:spacing w:after="0"/>
              <w:rPr>
                <w:sz w:val="2"/>
                <w:szCs w:val="2"/>
                <w:color w:val="auto"/>
              </w:rPr>
            </w:pPr>
          </w:p>
        </w:tc>
        <w:tc>
          <w:tcPr>
            <w:tcW w:w="20" w:type="dxa"/>
            <w:vAlign w:val="bottom"/>
            <w:shd w:val="clear" w:color="auto" w:fill="1519FD"/>
          </w:tcPr>
          <w:p>
            <w:pPr>
              <w:spacing w:after="0"/>
              <w:rPr>
                <w:sz w:val="2"/>
                <w:szCs w:val="2"/>
                <w:color w:val="auto"/>
              </w:rPr>
            </w:pPr>
          </w:p>
        </w:tc>
        <w:tc>
          <w:tcPr>
            <w:tcW w:w="260" w:type="dxa"/>
            <w:vAlign w:val="bottom"/>
            <w:shd w:val="clear" w:color="auto" w:fill="1519FD"/>
          </w:tcPr>
          <w:p>
            <w:pPr>
              <w:spacing w:after="0"/>
              <w:rPr>
                <w:sz w:val="2"/>
                <w:szCs w:val="2"/>
                <w:color w:val="auto"/>
              </w:rPr>
            </w:pPr>
          </w:p>
        </w:tc>
        <w:tc>
          <w:tcPr>
            <w:tcW w:w="780" w:type="dxa"/>
            <w:vAlign w:val="bottom"/>
            <w:shd w:val="clear" w:color="auto" w:fill="1519FD"/>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0" w:type="dxa"/>
            <w:vAlign w:val="bottom"/>
            <w:gridSpan w:val="11"/>
            <w:vMerge w:val="restart"/>
          </w:tcPr>
          <w:p>
            <w:pPr>
              <w:jc w:val="center"/>
              <w:ind w:right="4880"/>
              <w:spacing w:after="0"/>
              <w:rPr>
                <w:sz w:val="20"/>
                <w:szCs w:val="20"/>
                <w:color w:val="auto"/>
              </w:rPr>
            </w:pPr>
            <w:r>
              <w:rPr>
                <w:rFonts w:ascii="Times New Roman" w:cs="Times New Roman" w:eastAsia="Times New Roman" w:hAnsi="Times New Roman"/>
                <w:sz w:val="18"/>
                <w:szCs w:val="18"/>
                <w:color w:val="1519FD"/>
                <w:w w:val="98"/>
              </w:rPr>
              <w:t>Part IV</w:t>
            </w:r>
          </w:p>
        </w:tc>
        <w:tc>
          <w:tcPr>
            <w:tcW w:w="500" w:type="dxa"/>
            <w:vAlign w:val="bottom"/>
          </w:tcPr>
          <w:p>
            <w:pPr>
              <w:spacing w:after="0"/>
              <w:rPr>
                <w:sz w:val="2"/>
                <w:szCs w:val="2"/>
                <w:color w:val="auto"/>
              </w:rPr>
            </w:pPr>
          </w:p>
        </w:tc>
        <w:tc>
          <w:tcPr>
            <w:tcW w:w="260" w:type="dxa"/>
            <w:vAlign w:val="bottom"/>
            <w:gridSpan w:val="3"/>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0" w:type="dxa"/>
            <w:vAlign w:val="bottom"/>
            <w:gridSpan w:val="11"/>
            <w:vMerge w:val="continue"/>
          </w:tcPr>
          <w:p>
            <w:pPr>
              <w:spacing w:after="0"/>
              <w:rPr>
                <w:sz w:val="22"/>
                <w:szCs w:val="22"/>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119</w:t>
            </w:r>
          </w:p>
        </w:tc>
        <w:tc>
          <w:tcPr>
            <w:tcW w:w="0" w:type="dxa"/>
            <w:vAlign w:val="bottom"/>
          </w:tcPr>
          <w:p>
            <w:pPr>
              <w:spacing w:after="0"/>
              <w:rPr>
                <w:sz w:val="1"/>
                <w:szCs w:val="1"/>
                <w:color w:val="auto"/>
              </w:rPr>
            </w:pPr>
          </w:p>
        </w:tc>
      </w:tr>
      <w:tr>
        <w:trPr>
          <w:trHeight w:val="20"/>
        </w:trPr>
        <w:tc>
          <w:tcPr>
            <w:tcW w:w="37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1519FD"/>
              </w:rPr>
              <w:t>Item 15. Exhibit and Financial Statement Schedules</w:t>
            </w:r>
          </w:p>
        </w:tc>
        <w:tc>
          <w:tcPr>
            <w:tcW w:w="1260" w:type="dxa"/>
            <w:vAlign w:val="bottom"/>
            <w:gridSpan w:val="3"/>
            <w:vMerge w:val="restart"/>
          </w:tcPr>
          <w:p>
            <w:pPr>
              <w:spacing w:after="0" w:line="20" w:lineRule="exact"/>
              <w:rPr>
                <w:sz w:val="1"/>
                <w:szCs w:val="1"/>
                <w:color w:val="auto"/>
              </w:rPr>
            </w:pPr>
          </w:p>
        </w:tc>
        <w:tc>
          <w:tcPr>
            <w:tcW w:w="520" w:type="dxa"/>
            <w:vAlign w:val="bottom"/>
            <w:tcBorders>
              <w:top w:val="single" w:sz="8" w:color="1519FD"/>
            </w:tcBorders>
            <w:gridSpan w:val="4"/>
            <w:vMerge w:val="restart"/>
          </w:tcPr>
          <w:p>
            <w:pPr>
              <w:spacing w:after="0" w:line="20" w:lineRule="exact"/>
              <w:rPr>
                <w:sz w:val="1"/>
                <w:szCs w:val="1"/>
                <w:color w:val="auto"/>
              </w:rPr>
            </w:pPr>
          </w:p>
        </w:tc>
        <w:tc>
          <w:tcPr>
            <w:tcW w:w="4880" w:type="dxa"/>
            <w:vAlign w:val="bottom"/>
            <w:gridSpan w:val="7"/>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80" w:type="dxa"/>
            <w:vAlign w:val="bottom"/>
            <w:tcBorders>
              <w:bottom w:val="single" w:sz="8" w:color="1519FD"/>
            </w:tcBorders>
            <w:gridSpan w:val="15"/>
            <w:vMerge w:val="continue"/>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520" w:type="dxa"/>
            <w:vAlign w:val="bottom"/>
            <w:gridSpan w:val="4"/>
            <w:vMerge w:val="continue"/>
          </w:tcPr>
          <w:p>
            <w:pPr>
              <w:spacing w:after="0"/>
              <w:rPr>
                <w:sz w:val="21"/>
                <w:szCs w:val="21"/>
                <w:color w:val="auto"/>
              </w:rPr>
            </w:pPr>
          </w:p>
        </w:tc>
        <w:tc>
          <w:tcPr>
            <w:tcW w:w="4880" w:type="dxa"/>
            <w:vAlign w:val="bottom"/>
            <w:gridSpan w:val="7"/>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119</w:t>
            </w:r>
          </w:p>
        </w:tc>
        <w:tc>
          <w:tcPr>
            <w:tcW w:w="0" w:type="dxa"/>
            <w:vAlign w:val="bottom"/>
          </w:tcPr>
          <w:p>
            <w:pPr>
              <w:spacing w:after="0"/>
              <w:rPr>
                <w:sz w:val="1"/>
                <w:szCs w:val="1"/>
                <w:color w:val="auto"/>
              </w:rPr>
            </w:pPr>
          </w:p>
        </w:tc>
      </w:tr>
      <w:tr>
        <w:trPr>
          <w:trHeight w:val="20"/>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1519FD"/>
              </w:rPr>
              <w:t>Item 16. Form 10-K Summary</w:t>
            </w:r>
          </w:p>
        </w:tc>
        <w:tc>
          <w:tcPr>
            <w:tcW w:w="8200" w:type="dxa"/>
            <w:vAlign w:val="bottom"/>
            <w:gridSpan w:val="20"/>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240" w:type="dxa"/>
            <w:vAlign w:val="bottom"/>
            <w:tcBorders>
              <w:bottom w:val="single" w:sz="8" w:color="1519FD"/>
            </w:tcBorders>
            <w:gridSpan w:val="9"/>
            <w:vMerge w:val="continue"/>
          </w:tcPr>
          <w:p>
            <w:pPr>
              <w:spacing w:after="0"/>
              <w:rPr>
                <w:sz w:val="21"/>
                <w:szCs w:val="21"/>
                <w:color w:val="auto"/>
              </w:rPr>
            </w:pPr>
          </w:p>
        </w:tc>
        <w:tc>
          <w:tcPr>
            <w:tcW w:w="8200" w:type="dxa"/>
            <w:vAlign w:val="bottom"/>
            <w:gridSpan w:val="20"/>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120</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1519FD"/>
                <w:w w:val="97"/>
              </w:rPr>
              <w:t>Signatures</w:t>
            </w:r>
          </w:p>
        </w:tc>
        <w:tc>
          <w:tcPr>
            <w:tcW w:w="9680" w:type="dxa"/>
            <w:vAlign w:val="bottom"/>
            <w:gridSpan w:val="2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680" w:type="dxa"/>
            <w:vAlign w:val="bottom"/>
            <w:gridSpan w:val="28"/>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121</w:t>
            </w:r>
          </w:p>
        </w:tc>
        <w:tc>
          <w:tcPr>
            <w:tcW w:w="0" w:type="dxa"/>
            <w:vAlign w:val="bottom"/>
          </w:tcPr>
          <w:p>
            <w:pPr>
              <w:spacing w:after="0"/>
              <w:rPr>
                <w:sz w:val="1"/>
                <w:szCs w:val="1"/>
                <w:color w:val="auto"/>
              </w:rPr>
            </w:pPr>
          </w:p>
        </w:tc>
      </w:tr>
      <w:tr>
        <w:trPr>
          <w:trHeight w:val="27"/>
        </w:trPr>
        <w:tc>
          <w:tcPr>
            <w:tcW w:w="760" w:type="dxa"/>
            <w:vAlign w:val="bottom"/>
            <w:shd w:val="clear" w:color="auto" w:fill="1519FD"/>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7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plans and objectives of management for future operations, including, among others, statements regarding expected growth, future net sales, profitability, and operating efficiencies, introduction of new products, market opportunity, future capital expenditures, showroom expansion and international expansion plans, brand awareness and marketing initiatives, customer acquisition and retention, omnichannel strategy, supply chain and sourcing, tariffs and trade policy, fluctuations in commodity and precious metals prices, liquidity and capital resources, payments under the Tax Receivable Agreement, anticipated cost savings and operational improvements, our competitive position, trends in consumer preferences, our expectations regarding our status as an emerging growth company and smaller reporting company, and any potential future declaration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21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the important factors described in Part I, Item 1A “Risk Factors” and elsewhere in this Annual Report on Form 10-K. Other sections of this Annual Report on Form 10-K include additional factors that could adversely impact our business and financial performance. Moreover, we operate in a very competitive and rapidly changing environment and new risks emerge from time to time.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This Annual Report on Form 10-K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undertake no obligation to update or revise any forward-looking statements contained in this Annual Report on Form 10-K, whether as a result of any new information, future events or otherwise.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20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Annual Report on Form 10-K are in the following independent industry reports:</w:t>
      </w:r>
    </w:p>
    <w:p>
      <w:pPr>
        <w:spacing w:after="0" w:line="19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&amp; Company, The Global Diamond Industry 2021-22, February 2022 (“the Bain Report”).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Statista, Revenue of the Jewelry Industry Worldwide 2020-2029, 2024 (“Statista”).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w:t>
      </w:r>
    </w:p>
    <w:p>
      <w:pPr>
        <w:spacing w:after="0" w:line="252" w:lineRule="exact"/>
        <w:rPr>
          <w:sz w:val="20"/>
          <w:szCs w:val="20"/>
          <w:color w:val="auto"/>
        </w:rPr>
      </w:pPr>
    </w:p>
    <w:p>
      <w:pPr>
        <w:ind w:left="580" w:right="160" w:hanging="329"/>
        <w:spacing w:after="0" w:line="281"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“Brilliant Earth,” and similar references refer to Brilliant Earth Group, Inc., and, unless otherwise stated, all of its subsidiaries, including Brilliant Earth, LLC.</w:t>
      </w:r>
    </w:p>
    <w:p>
      <w:pPr>
        <w:spacing w:after="0" w:line="1" w:lineRule="exact"/>
        <w:rPr>
          <w:rFonts w:ascii="Times New Roman" w:cs="Times New Roman" w:eastAsia="Times New Roman" w:hAnsi="Times New Roman"/>
          <w:sz w:val="18"/>
          <w:szCs w:val="18"/>
          <w:color w:val="auto"/>
        </w:rPr>
      </w:pPr>
    </w:p>
    <w:p>
      <w:pPr>
        <w:ind w:left="580" w:right="60" w:hanging="329"/>
        <w:spacing w:after="0" w:line="256"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25" w:lineRule="exact"/>
        <w:rPr>
          <w:rFonts w:ascii="Times New Roman" w:cs="Times New Roman" w:eastAsia="Times New Roman" w:hAnsi="Times New Roman"/>
          <w:sz w:val="18"/>
          <w:szCs w:val="18"/>
          <w:color w:val="auto"/>
        </w:rPr>
      </w:pPr>
    </w:p>
    <w:p>
      <w:pPr>
        <w:ind w:left="580" w:right="260" w:hanging="329"/>
        <w:spacing w:after="0" w:line="281"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Beth Gerstein, our Co-Founder and Chief Executive Officer, Eric Grossberg, our Co-Founder and Executive Chairman, and Just Rocks, Inc., a Delaware corporation, which is jointly owned and controlled by our Founders.</w:t>
      </w:r>
    </w:p>
    <w:p>
      <w:pPr>
        <w:spacing w:after="0" w:line="1" w:lineRule="exact"/>
        <w:rPr>
          <w:rFonts w:ascii="Times New Roman" w:cs="Times New Roman" w:eastAsia="Times New Roman" w:hAnsi="Times New Roman"/>
          <w:sz w:val="18"/>
          <w:szCs w:val="18"/>
          <w:color w:val="auto"/>
        </w:rPr>
      </w:pPr>
    </w:p>
    <w:p>
      <w:pPr>
        <w:ind w:left="580" w:right="160" w:hanging="329"/>
        <w:spacing w:after="0" w:line="261"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or “LLC Units” refers to the common units of Brilliant Earth, LLC, including those that we purchased with the net proceeds from our initial public offering (“IPO”), which occurred on September 23, 2021.</w:t>
      </w:r>
    </w:p>
    <w:p>
      <w:pPr>
        <w:ind w:left="580" w:right="180" w:hanging="329"/>
        <w:spacing w:after="0" w:line="25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Agreement” refers to Brilliant Earth, LLC's amended and restated limited liability company agreement, which became effective prior to the consummation of the IPO.</w:t>
      </w:r>
    </w:p>
    <w:p>
      <w:pPr>
        <w:ind w:left="580" w:right="140" w:hanging="329"/>
        <w:spacing w:after="0" w:line="25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“Mainsail” refers to Mainsail Partners III, L.P., our sponsor and a Delaware limited partnership, and certain funds affiliated with Mainsail Partners III, L.P., including Mainsail Incentive Program, LLC, and Mainsail Co-Investors III, L.P.</w:t>
      </w:r>
    </w:p>
    <w:p>
      <w:pPr>
        <w:ind w:left="580" w:right="200" w:hanging="329"/>
        <w:spacing w:after="0" w:line="253"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“SVB Credit Agreement” refers to the credit agreement entered into on May 24, 2022, and as subsequently amended, by Brilliant Earth, LLC, as borrower, and Silicon Valley Bank, as administrative agent and collateral agent for the lenders, which provides for a secured term loan credit facility of $65.0 million (the “SVB Term Loan”) and a secured revolving credit facility in an amount of up to $40.0 million (the “SVB Revolving Facility”, and together with the SVB Term Loan, the “SVB Credit Facilities”). In August 2025, the Company prepaid all principal amounts outstanding of $34.8 million under the SVB Term Loan and terminated all commitments outstanding under the SVB Credit Agreement.</w:t>
      </w:r>
    </w:p>
    <w:p>
      <w:pPr>
        <w:spacing w:after="0" w:line="24" w:lineRule="exact"/>
        <w:rPr>
          <w:rFonts w:ascii="Times New Roman" w:cs="Times New Roman" w:eastAsia="Times New Roman" w:hAnsi="Times New Roman"/>
          <w:sz w:val="18"/>
          <w:szCs w:val="18"/>
          <w:color w:val="auto"/>
        </w:rPr>
      </w:pPr>
    </w:p>
    <w:p>
      <w:pPr>
        <w:ind w:left="580" w:right="220" w:hanging="329"/>
        <w:spacing w:after="0" w:line="266"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Investors should carefully consider these risks and uncertainties when investing in our Class A common stock. The principal risks and uncertainties affecting our business include the following:</w:t>
      </w:r>
    </w:p>
    <w:p>
      <w:pPr>
        <w:spacing w:after="0" w:line="210" w:lineRule="exact"/>
        <w:rPr>
          <w:sz w:val="20"/>
          <w:szCs w:val="20"/>
          <w:color w:val="auto"/>
        </w:rPr>
      </w:pPr>
    </w:p>
    <w:p>
      <w:pPr>
        <w:ind w:left="660" w:right="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pricing and supply of diamonds, other gemstones, and precious metals, particularly responsibly sourced natural and lab-grown diamonds and repurposed precious metals such as gold and platinum, which account for the majority of our merchandise costs, increases in labor costs for manufacturing such as wage rate increases, as well as inflation, and energy prices could adversely impact our sales, earnings and cash availability;</w:t>
      </w:r>
    </w:p>
    <w:p>
      <w:pPr>
        <w:spacing w:after="0" w:line="18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decline in the health of the economy and other factors impacting consumer spending, such as recessionary or inflationary conditions, governmental instability, war and fears of war, and natural disasters may affect consumer purchases, which could reduce demand for our products and harm our business, financial condition, and results of operations;</w:t>
      </w:r>
    </w:p>
    <w:p>
      <w:pPr>
        <w:spacing w:after="0" w:line="196" w:lineRule="exact"/>
        <w:rPr>
          <w:rFonts w:ascii="Times New Roman" w:cs="Times New Roman" w:eastAsia="Times New Roman" w:hAnsi="Times New Roman"/>
          <w:sz w:val="18"/>
          <w:szCs w:val="18"/>
          <w:color w:val="auto"/>
        </w:rPr>
      </w:pPr>
    </w:p>
    <w:p>
      <w:pPr>
        <w:ind w:left="660" w:right="380" w:hanging="328"/>
        <w:spacing w:after="0" w:line="29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turn existing customers into repeat customers or to acquire new customers, our business, financial condition, and results of operations would be harmed;</w:t>
      </w:r>
    </w:p>
    <w:p>
      <w:pPr>
        <w:spacing w:after="0" w:line="189"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lead times and supply shortages and changes in our supply chain, including increased costs, could disrupt our business and have an adverse effect on our operations, financial condition, and results;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to expand showrooms in the United States (“U.S.”), which may expose us to significant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fine jewelry retail industry is highly competitive, and if we do not compete successfully, our business may be adversely impacted;</w:t>
      </w:r>
    </w:p>
    <w:p>
      <w:pPr>
        <w:spacing w:after="0" w:line="23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enhance our brand, our ability to engage or expand our base of customers may be impaired and our business, financial condition, and results of operations may suffer;</w:t>
      </w:r>
    </w:p>
    <w:p>
      <w:pPr>
        <w:spacing w:after="0" w:line="18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efforts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and cash flows may be negatively affected if we are not successful in managing our inventory balances and inventory shrinkage;</w:t>
      </w:r>
    </w:p>
    <w:p>
      <w:pPr>
        <w:spacing w:after="0" w:line="21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our revenue from sales of our Design Your Own rings. A decline in sales of our Design Your Own rings would negatively affect our business, financial condition, and results of operations;</w:t>
      </w:r>
    </w:p>
    <w:p>
      <w:pPr>
        <w:spacing w:after="0" w:line="18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a short history of operating at our current scale, we may be unable to accurately predict operating results, and may be unable to generate sales growth and profitability;</w:t>
      </w:r>
    </w:p>
    <w:p>
      <w:pPr>
        <w:spacing w:after="0" w:line="189"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our information technology systems, as well as those of our third-party vendors and service providers, for our business to effectively operate and to safeguard confidential information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280"/>
        <w:spacing w:after="0" w:line="266" w:lineRule="auto"/>
        <w:rPr>
          <w:sz w:val="20"/>
          <w:szCs w:val="20"/>
          <w:color w:val="auto"/>
        </w:rPr>
      </w:pPr>
      <w:r>
        <w:rPr>
          <w:rFonts w:ascii="Times New Roman" w:cs="Times New Roman" w:eastAsia="Times New Roman" w:hAnsi="Times New Roman"/>
          <w:sz w:val="18"/>
          <w:szCs w:val="18"/>
          <w:color w:val="auto"/>
        </w:rPr>
        <w:t>significant failure, inadequacy or interruption of these systems, security breaches or loss of data could materially adversely affect our business, financial condition and operations;</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may adversely impact our business and reputation;</w:t>
      </w:r>
    </w:p>
    <w:p>
      <w:pPr>
        <w:spacing w:after="0" w:line="21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and omnichannel business face distinct risks, and our failure to successfully manage those risks could have a negative impact on our sales and profitability;</w:t>
      </w:r>
    </w:p>
    <w:p>
      <w:pPr>
        <w:spacing w:after="0" w:line="148"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1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with the Continuing Equity Owners requires us to make cash payments to them in respect of certain tax benefits to which we may become entitled, and we expect that such payments will be substantial; and</w:t>
      </w:r>
    </w:p>
    <w:p>
      <w:pPr>
        <w:spacing w:after="0" w:line="162" w:lineRule="exact"/>
        <w:rPr>
          <w:rFonts w:ascii="Times New Roman" w:cs="Times New Roman" w:eastAsia="Times New Roman" w:hAnsi="Times New Roman"/>
          <w:sz w:val="18"/>
          <w:szCs w:val="18"/>
          <w:color w:val="auto"/>
        </w:rPr>
      </w:pPr>
    </w:p>
    <w:p>
      <w:pPr>
        <w:ind w:left="660" w:right="180" w:hanging="328"/>
        <w:spacing w:after="0" w:line="29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166"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9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1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made-to-order capabilities and virtual inventory model generate attractive inventory turns allowing us to operate with negative working capital, which we define as our current assets less non-restricted cash minus our current liabilities. We have achieved strong financial performance and rapid growth since our founding and believe we are in the early stages of realizing our potential in a significant market opportunity.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performance for the year ended December 31, 2025:</w:t>
      </w:r>
    </w:p>
    <w:p>
      <w:pPr>
        <w:spacing w:after="0" w:line="2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$437.5 million, compared to $422.2 million for the year ended December 31,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$6.4 million compared to net income of $4.0 million for the year ended December 31,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margin of 1.5% compared to net income margin of 0.9% for the year ended December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Jewelry Market</w:t>
      </w:r>
    </w:p>
    <w:p>
      <w:pPr>
        <w:spacing w:after="0" w:line="2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global jewelry industry was estimated to be approximately $350 billion in 2024, according to Statista. Despite its size, the jewelry industry is highly fragmented and includes players like mall jewelers, local independent stores, and department stores, among others. According to the Bain Report, approximately 65% of the diamond jewelry retail industry is composed of small retailers. Many small jewelry retailers have struggled to address evolving consumer preferences for personalization and e-commerce, and are further limited by reduced purchasing power and an inventory-heavy model. Many mall jewelers have also been slow to modernize an outdated retail experience,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declining foot traffic. We believe the rapidly changing industry provides ample opportunity for Brilliant Earth to take share.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Changing consumer preferences</w:t>
      </w:r>
    </w:p>
    <w:p>
      <w:pPr>
        <w:spacing w:after="0" w:line="241"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We believe that Millennial and Gen Z consumers are the largest opportunity for the jewelry industry. These consumers represent the core consumer of bridal-related products and a significant portion of the fine jewelry market. They are drawn to purpose-driven brands, are digitally savvy, engaged with social and environmental issues, and expect to shop whenever and wherever they want at brands that are authentic and help them express their individuality.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consumers continue to shift purchases online, we believe consumers seek authentic brands with a strong digital presence and an engaged community.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highly active on social media, where many proposees look for engagement ring inspiration.</w:t>
      </w:r>
    </w:p>
    <w:p>
      <w:pPr>
        <w:spacing w:after="0" w:line="205"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While Millennial and Gen Z consumers appreciate digitally native brands, many also want an in-person experience where they can see, touch, and feel products, especially for a high value purchase. They expect to be able to shop when and where they want with a seamless journey between brick-and-mortar and online. This requires strong digital capabilities and a true omnichannel experience.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Brilliant Earth Difference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Brilliant Earth Brand</w:t>
      </w:r>
    </w:p>
    <w:p>
      <w:pPr>
        <w:spacing w:after="0" w:line="24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We are a mission-driven, premium brand founded on core values of transparency, compassion, sustainability, and inclusivity. These values resonate strongly with Millennial and Gen Z customers. We thoughtfully develop our brand messaging and customer experience to appeal to all genders, which is important because couples are increasingly shopping together for engagement and wedding rings.</w:t>
      </w:r>
    </w:p>
    <w:p>
      <w:pPr>
        <w:spacing w:after="0" w:line="204"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Alongside our mission, we believe our joyful, premium customer experience and unique, exclusive jewelry designs drive our strong brand affinity and loyalty. Since our founding, we have fostered deep connections with our highly engaged community, leading to an outsized social media presence. We believe our brand resonance, authentic content, and focus on staying ahead of social trends have contributed to our leading engagement rates.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Omnichannel Customer Experience</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have reimagined the jewelry shopping experience with our seamless omnichannel model which aims to allow our customers to shop anywhere, anytime and have joyful, personalized, and meaningful experiences on our website and in our showrooms. For those who shop online, we deliver a leading mobile-first digital platform with dynamic visualization that brings the product to life, and innovative technology that streamlines the customer journey. For those who want to shop in-store, we provide personalized and curated individual appointments. Customers meet with a dedicated jewelry consultant in a fun, relaxing, and educational environment that fosters lasting connections and propels strong engagement and conversion across channels. Dedicated jewelry consultants are available at every step of each customer’s journey via chat, phone, email, virtual appointment, or in our showrooms, which we believe drives strong engagement and high customer satisfaction. These consultants strive to create lasting connections with customers.</w:t>
      </w:r>
    </w:p>
    <w:p>
      <w:pPr>
        <w:spacing w:after="0" w:line="21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As of December 31, 2025, we had 42 showrooms across the United States. Our showrooms are in prime destinations in major metro areas, including ground, mall or upper floor locations in areas with premium retail adjacencies. We leverage data—including our own first-person customer data, revenue, e-commerce behavior, population and demographic data, and market growth—to inform our showroom real estate decisions. We believe our showrooms accelerate our financial performance in the markets where they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Focused Innovative, Data-Driven Technology</w:t>
      </w:r>
    </w:p>
    <w:p>
      <w:pPr>
        <w:spacing w:after="0" w:line="24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are digitally native, and we use technology to deliver what we believe is a superior customer experience, improve marketing and operational efficiencies, curate showroom inventory and merchandising, inform real estate decisions, and develop new product designs that reflect consumer preferences. The customer is at the forefront of our decision making, and we closely track their feedback and satisfaction across all our channels. We then use this data to create a personalized, premium experience, however or wherever our customer chooses to shop.</w:t>
      </w:r>
    </w:p>
    <w:p>
      <w:pPr>
        <w:spacing w:after="0" w:line="20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Our custom e-commerce site guides customers through an intuitive, immersive shopping experience. Our advanced Virtual Try On and product visualization technology allow customers to envision our ring designs with diamonds and gemstones of many sizes, shapes, and colors. Dynamic product customization and an intelligent diamond recommendation engine simplify and personalize the shopping experience. Our proprietary technology includes dynamic visualization, augmented reality try-on, and automated rapid fulfillment of our flagship Design Your Own product. We utilize leading technology for key business functions, including product design and personalization, customer relationship management (“CRM”) and data analytics, inventory and supply chain management, order fulfillment, and more.</w:t>
      </w:r>
    </w:p>
    <w:p>
      <w:pPr>
        <w:spacing w:after="0" w:line="21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We apply cutting-edge technology to innovate and transform our supply chain. We were among the first retail jewelers to offer blockchain-verified diamonds at scale, defining next-generation traceability standards in the jewelry industry. This technology tracks a diamond from its origins at the mining operator, through cutting and polishing, to the customer. This provides even greater transparency into the responsible origins of these blockchain-verified diamonds.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Unique and Award-Winning Designs</w:t>
      </w:r>
    </w:p>
    <w:p>
      <w:pPr>
        <w:spacing w:after="0" w:line="241"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We believe that customers should never have to compromise between beauty, quality, and conscience. Our commitment to our core values is matched by our passion for innovative design and exceptional craftsmanship.</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Our award-winning in-house design studio keeps thoughtful design at the heart of everything we do and allows us to quickly adapt to consumer insights and marketplace trends. We utilize our customer dataset, strong relationships with our customers, and highly engaged social media following to continuously uncover consumer insights and trends. We track over 50 attributes associated with our products to inform our development and merchandising decisions. We create unique, exclusive styles that are expertly crafted to be beautiful from every angle and have been featured in leading publications, including Vogue, Forbes, and Women's Wear Daily. A majority of our ring collection is proprietary and available exclusively at Brilliant Earth.</w:t>
      </w:r>
    </w:p>
    <w:p>
      <w:pPr>
        <w:spacing w:after="0" w:line="2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engagement rings are highly personalized to reflect our customers’ individuality and unique preferences. Through our Design Your Own model, customers choose their ideal ring design, precious metal type, and ring size, and select their diamond or gemstone from our marketplace. The customer’s one-of-a-kind ring is crafted with extraordinary care to fit the exact specifications of their chosen diamond and made just for them, typically in six to twelve business days. We believe the exacting standards of our made-to-order process deliver a higher quality finished product as compared to other offerings that use pre-fabricated rings retrofitted to accommodate a new center gemstone and ring size.</w:t>
      </w:r>
    </w:p>
    <w:p>
      <w:pPr>
        <w:spacing w:after="0" w:line="21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We leverage our data to curate collections and inform new product development strategy, so our offerings are current, fresh, and reflect consumer preferences. Our natural diamonds and lab-grown diamonds meet what we believe are rigorous standards for sourcing and quality. Our collection offers extensive coverage across quality characteristics and price points. Through our Design Your Own model, customers can customize their jewelry to reflect their individuality and personal preferences, creating one-of-a-kind jewelry pieces.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Mission-Driven Ethos</w:t>
      </w:r>
    </w:p>
    <w:p>
      <w:pPr>
        <w:spacing w:after="0" w:line="24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Our mission is to create a more transparent, sustainable, compassionate, and inclusive jewelry industry. We founded the company to provide an ethical alternative to historical jewelry industry practices, which have raised environmental and social concerns and lacked transparency.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32" w:lineRule="auto"/>
        <w:tabs>
          <w:tab w:leader="none" w:pos="628"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Transparency: </w:t>
      </w:r>
      <w:r>
        <w:rPr>
          <w:rFonts w:ascii="Times New Roman" w:cs="Times New Roman" w:eastAsia="Times New Roman" w:hAnsi="Times New Roman"/>
          <w:sz w:val="18"/>
          <w:szCs w:val="18"/>
          <w:color w:val="auto"/>
        </w:rPr>
        <w:t>We strive to go above and beyond current industry standards to offer Beyond Conflict Free Diamonds™ that have been selected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ethical and environmentally responsible origins. As part of our ongoing work to improve mining practices worldwide, in February 2025, we expanded our offerings to include a new category of diamonds, Pathway to Beyond Conflict Free Diamonds™, that are traceable to the origin and sourced exclusively from vetted suppliers who undergo rigorous audits to ensure safe working conditions at the cutting and polishing factories. As part of our commitment to transparent sourcing, we expect our suppliers to adhere to our strict Supplier Code of Conduct. We also integrate blockchain technology to showcase the journey of a select collection of blockchain-verified diamonds.</w:t>
      </w:r>
    </w:p>
    <w:p>
      <w:pPr>
        <w:spacing w:after="0" w:line="10" w:lineRule="exact"/>
        <w:rPr>
          <w:rFonts w:ascii="Arial" w:cs="Arial" w:eastAsia="Arial" w:hAnsi="Arial"/>
          <w:sz w:val="22"/>
          <w:szCs w:val="22"/>
          <w:color w:val="auto"/>
        </w:rPr>
      </w:pPr>
    </w:p>
    <w:p>
      <w:pPr>
        <w:ind w:left="660" w:right="320" w:hanging="328"/>
        <w:spacing w:after="0" w:line="225" w:lineRule="auto"/>
        <w:tabs>
          <w:tab w:leader="none" w:pos="628"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Sustainable</w:t>
      </w:r>
      <w:r>
        <w:rPr>
          <w:rFonts w:ascii="Times New Roman" w:cs="Times New Roman" w:eastAsia="Times New Roman" w:hAnsi="Times New Roman"/>
          <w:sz w:val="18"/>
          <w:szCs w:val="18"/>
          <w:color w:val="auto"/>
        </w:rPr>
        <w:t>: Our jewelry is crafted from primarily repurchased precious metals and arrives in our iconic ring boxes crafted with wood sourced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Forest Stewardship Council (“FSC”) certified forests. Our paper-based shipping boxes are FSC Recycled and made from 100% post-consumer or pre-consumer recycled content.</w:t>
      </w:r>
    </w:p>
    <w:p>
      <w:pPr>
        <w:spacing w:after="0" w:line="9" w:lineRule="exact"/>
        <w:rPr>
          <w:rFonts w:ascii="Arial" w:cs="Arial" w:eastAsia="Arial" w:hAnsi="Arial"/>
          <w:sz w:val="22"/>
          <w:szCs w:val="22"/>
          <w:color w:val="auto"/>
        </w:rPr>
      </w:pPr>
    </w:p>
    <w:p>
      <w:pPr>
        <w:ind w:left="660" w:hanging="328"/>
        <w:spacing w:after="0" w:line="230" w:lineRule="auto"/>
        <w:tabs>
          <w:tab w:leader="none" w:pos="628"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Compassion: </w:t>
      </w:r>
      <w:r>
        <w:rPr>
          <w:rFonts w:ascii="Times New Roman" w:cs="Times New Roman" w:eastAsia="Times New Roman" w:hAnsi="Times New Roman"/>
          <w:sz w:val="18"/>
          <w:szCs w:val="18"/>
          <w:color w:val="auto"/>
        </w:rPr>
        <w:t>Compassion has been core to our Mission since day one. In 2021, we started the Brilliant Earth Foundation (a corporate advised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Silicon Valley Community Foundation) to further our impact. Since then, we have donated $2 million to the areas where diamonds, gemstones and precious metals are mined and the communities where our teams and customers live.</w:t>
      </w:r>
    </w:p>
    <w:p>
      <w:pPr>
        <w:spacing w:after="0" w:line="8" w:lineRule="exact"/>
        <w:rPr>
          <w:rFonts w:ascii="Arial" w:cs="Arial" w:eastAsia="Arial" w:hAnsi="Arial"/>
          <w:sz w:val="22"/>
          <w:szCs w:val="22"/>
          <w:color w:val="auto"/>
        </w:rPr>
      </w:pPr>
    </w:p>
    <w:p>
      <w:pPr>
        <w:ind w:left="660" w:right="120" w:hanging="328"/>
        <w:spacing w:after="0" w:line="230" w:lineRule="auto"/>
        <w:tabs>
          <w:tab w:leader="none" w:pos="628"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Inclusion: </w:t>
      </w:r>
      <w:r>
        <w:rPr>
          <w:rFonts w:ascii="Times New Roman" w:cs="Times New Roman" w:eastAsia="Times New Roman" w:hAnsi="Times New Roman"/>
          <w:sz w:val="18"/>
          <w:szCs w:val="18"/>
          <w:color w:val="auto"/>
        </w:rPr>
        <w:t>We are deeply committed to inclusion, and we strive to embody our values through our product collections, customer experience, non-profit initiatives, and internal practices. We are proud that women currently comprise the majority of our employees, senior executive team, and our board of directors (the “Board”).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Efficient Operating Model</w:t>
      </w:r>
    </w:p>
    <w:p>
      <w:pPr>
        <w:spacing w:after="0" w:line="2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We have an asset-light operating model with attractive working capital dynamics, capital efficient showrooms, and a vast virtual inventory of premium natural and lab-grown diamonds. We are able to offer a broad selection of diamonds while keeping our balance sheet inventory low, which has driven our attractive inventory turns. Our limited owned inventory and rapid cash cycle—where we are typically paid by our customers before we pay our suppliers— allow us to scale with limited capital outlays. Our showroom strategy generates highly favorable unit economics and avoids the inefficiencies of traditional jewelers that have too many physical stores, employees, and inventory. Our showrooms are appointment-driven with large catchment regions. We curate showroom inventory for scheduled visits and need limited inventory for each location. When not in appointments, our tech-enabled team of jewelry consultants support online customers, maximizing workforce utilization.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Founder-Led Team Committed to Inclusion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our commitment to inclusion integral to our company, helping to inform our product offerings and customer experience.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4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believe that there is a significant growth opportunity ahead in both new and existing markets and that we are less than one percent penetrated in the jewelry category today.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Brand Awareness</w:t>
      </w:r>
    </w:p>
    <w:p>
      <w:pPr>
        <w:spacing w:after="0" w:line="24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Increasing brand awareness and growing favorable brand equity have been and remain central to our growth. We believe we will continue to drive brand awareness through marketing, earned media, showroom expansion, and word-of-mouth referrals.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Omnichannel Reach</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expanding our showrooms nationwide and expect to focus in the near term on markets in the U.S. where we can maximize our growth potential.</w:t>
      </w:r>
    </w:p>
    <w:p>
      <w:pPr>
        <w:spacing w:after="0" w:line="3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Expanding our number of showrooms has driven bookings uplift, accelerated growth, increased total order volume, and improved conversion in the showrooms’ metro regions.</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Because our showrooms serve as destinations with some customers traveling long distances, we believe we can achieve broad national showroom coverage with far fewer locations than many traditional retailers. We expect this highly efficient showroom model to complement our digital strategy and will continue to drive growth and profitability.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Purchase Occasions with Existing and New Customers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Fine jewelry, which includes earrings, necklaces, bracelets, and rings (other than engagement or wedding), represented 65% of the global jewelry market in 2022, according to the Bain Report.</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customers typically begin their Brilliant Earth journey with an engagement ring, so we are often the first significant jewelry purchase in our customer’s life, which we believe creates a lasting, emotional connection with the Brilliant Earth brand. While engagement ring purchases have historically been male dominated, we thoughtfully built our brand messaging and customer experience to appeal to all genders. Our brand values of beauty, quality, and ethics resonate strongly with Brilliant Earth couples. For all of these reasons, we believe we are uniquely positioned in the industry to build on our brand loyalty to increase future purchases.</w:t>
      </w:r>
    </w:p>
    <w:p>
      <w:pPr>
        <w:spacing w:after="0" w:line="21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To capture these opportunities, we are investing in our fine jewelry assortment, and we will continue to enhance our customer lifetime marketing and data-segmentation capabilities, which we believe will more effectively extend customer relationships beyond engagement and wedding purchases, whether customers are buying a gift or a piece for themselves. With our strong brand resonance with Millennial and Gen Z consumers, we also believe our fine jewelry assortment and strategic customer acquisition will continue to drive fine jewelry orders from new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Internationally</w:t>
      </w:r>
    </w:p>
    <w:p>
      <w:pPr>
        <w:spacing w:after="0" w:line="24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have sold to customers from over 50 countries despite minimal existing language, logistics and currency support for those geographies. We believe that there is substantial potential to launch e-commerce in new overseas markets, and new showrooms in countries where we have already established a localized digital presence. We are in the early stages of selling internationally and believe there is significant opportunity for future expansion.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Assortment and Merchandising</w:t>
      </w:r>
    </w:p>
    <w:p>
      <w:pPr>
        <w:spacing w:after="0" w:line="24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passionate about beautiful and innovative product design. We are proud to offer our customers exclusive and thoughtfully curated collections of diamond engagement rings, wedding and anniversary rings, gemstone rings, and fine jewelry.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diamond engagement rings are made-to-order through our Design Your Own ring digital tool. Customers choose their ideal ring setting, precious metal type, and ring size, and select their favorite natural diamond or lab-grown diamond to create their one-of-a-kind ring.</w:t>
      </w:r>
    </w:p>
    <w:p>
      <w:pPr>
        <w:spacing w:after="0" w:line="189"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Our collection of wedding and anniversary rings includes classic precious metal bands and bands accented with diamonds or gemstones. Many of these rings are designed to complement engagement rings and may be purchased with the engagement ring to provide a perfect match. These rings can also be styled alone for everyday wear or stacked to make a distinctive statement. Our diamond bands, including eternity rings, are popular anniversary gifts. Our gemstone rings feature vibrant and distinctive center gemstones, including sapphires, emeralds, moissanites, aquamarines, and other unique colored gemstones. Through our Design Your Own ring digital tool, customers can choose their ideal ring setting, precious metal type, and ring size, and select their favorite gemstone type, shape, color, and size. We also offer pre-set gemstone rings with our most popular gemstones for customers seeking a more curated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collection of fine jewelry includes earrings, necklaces, and bracelets. We offer a broad and evolving assortment for gifting and self-purchase, from classic diamond stud earrings and tennis bracelets to unique pendants and distinctive gemstone styles. Our emphasis on personalization is reflected in our collection of engravable jewelry and Design Your Own earrings and necklaces set with natural or lab-grown diamonds.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Diamond Assortment</w:t>
      </w:r>
    </w:p>
    <w:p>
      <w:pPr>
        <w:spacing w:after="0" w:line="2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Customers can purchase loose diamonds or select from our vast inventory to create their own diamond ring, earrings, or necklace. Our inventory of independently graded diamonds spans a wide variety of shapes, sizes, premium qualities, and price points to cater to unique customer preferences. We offer both natural diamonds with a listed origin and lab-grown diamonds to appeal to different customer preferences. Our Beyond Conflict Free Diamonds™ have been selected based on their ethical and environmentally responsible origins, and we believe we are pioneers in offering diamonds with listed and transparent origins. In February 2025, we expanded our offerings to include a new category of diamonds, Pathway to Beyond Conflict Free Diamonds™, that are traceable to the origin and sourced exclusively from vetted suppliers who undergo rigorous audits to ensure safe working conditions at the cutting and polishing factories. Our lab-grown diamonds have the same physical, chemical, and optical characteristics as natural diamonds, exhibit the same sparkle and provide a mining-free alternative to naturally sourced diamonds. We were one of the first jewelers to offer lab-grown diamonds in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In-House Design Studio</w:t>
      </w:r>
    </w:p>
    <w:p>
      <w:pPr>
        <w:spacing w:after="0" w:line="24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Our award-winning in-house design team creates distinctive new jewelry designs and updates classic styles with fresh modern appeal. A majority of our ring collection is proprietary and available exclusively at Brilliant Earth. Our head of product development has been driving innovation at Brilliant Earth for over ten years. Our team uses state-of-the-art technology and the artistry of hand-drawn sketches to create hundreds of new designs per year. Each design is perfected using computer-aided design (“CAD”) technology to ensure beauty from all angles, high quality and manufacturability.</w:t>
      </w: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also release exclusive jewelry collections throughout the year to highlight our passion for design. We believe our customers love our beautiful and unique styles—using our Virtual Try On feature, they frequently visualize rings with different diamond shapes and sizes on their own hand, then share their unique creations on social media.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Collections</w:t>
      </w:r>
    </w:p>
    <w:p>
      <w:pPr>
        <w:spacing w:after="0" w:line="2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We partner with designers and organizations aligned with our mission and values to create exclusive product collections and support social causes we are passionate about. Collections allow us to broaden our assortment, reinforce our brand ethos, increase engagement with customers and feature like-minded designers. For example, in 2025, we launched partnerships, notably with tennis star Madison Keys as our first athlete ambassador and also launched a second jewelry collection with the late Jane Goodall. The Jane Goodall Collection is crafted with Brilliant Earth’s industry-leading, ethically and sustainably sourced materials, including repurposed gold and lab diamonds from our Capture Collection, which are lab diamonds that are grown from carbon before it is released into the atmosphere.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Data</w:t>
      </w:r>
    </w:p>
    <w:p>
      <w:pPr>
        <w:spacing w:after="0" w:line="24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Since our founding, we have been a leader in incorporating technology and a data-driven approach in an industry that has historically been slow to embrace technology. Our core technologies serve as a foundation for our operating, sales, marketing, and merchandising functions. To deliver our exceptional customer experience and drive efficiencies across our company, we develop proprietary technology solutions and leverage leading third-party solutions.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customized e-commerce architecture that enables us to efficiently develop and launch new functionality, customer experiences, and content. Our agile development sprints allow for rapid innovation and testing, and we continually release new functionality to optimize the user experience. For example, our proprietary Diamond Quiz curates recommendations unique to each customer based on an analysis of thousands of diamond demand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offer our customers a wide variety of powerful decision-making tools, including real diamond videos, and dynamic product visualization. Our advanced Virtual Try On tool allows customers to see any ring with any gemstone size, shape, and color on their own hand, then seamlessly shop, save or share their one-of-a-kind creation. Our Find My Matching Wedding Band tool offers customers an engaging way to explore and discover rings that match their engagement rings, enables the visualization of the ring set and provides us with cross-selling and upselling opportunities.</w:t>
      </w:r>
    </w:p>
    <w:p>
      <w:pPr>
        <w:spacing w:after="0" w:line="2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technology systems, including our customized enterprise resource planning (“ERP”), CRM, supply chain, inventory management, order fulfillment and other systems, provide a unified data source and single view of our customer, and ensure quality standards and a more efficient turnaround for our flagship Design Your Own product. We also use a leading data visualization platform for real-time business intelligence across our teams to drive decision making and continuous improvement.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Data-Driven Merchandising</w:t>
      </w:r>
    </w:p>
    <w:p>
      <w:pPr>
        <w:spacing w:after="0" w:line="24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Our data-driven merchandising strategy leverages our robust dataset, strong relationships with our customers, and highly engaged social media community to continuously uncover new insights and trends. We also analyze over 50 attributes associated with our products to optimize our merchandising and inventory decisions. Our in-house expertise drives an agile product development cycle, with new products developed in as little as four months. This agility enables us to rapidly launch, test, and learn based on performance feedback with minimal capital outlay. We regularly refresh our product assortment and maintain a curated online collection of fresh, trend-forward styles that resonate strongly with our customers. We merchandise our showrooms with styles that have sold well online, keeping our inventory costs 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Jewelry Consultants</w:t>
      </w:r>
    </w:p>
    <w:p>
      <w:pPr>
        <w:spacing w:after="0" w:line="24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a dedicated team of jewelry consultants available to our customers through every step of their journey via chat, phone, email, virtual appointment, and in our showrooms. Our team serves customers across more than 50 countries on inquiries ranging from diamond education, style recommendations, jewelry care, and payment options.</w:t>
      </w:r>
    </w:p>
    <w:p>
      <w:pPr>
        <w:spacing w:after="0" w:line="20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We maintain a flexible and high utilization staffing model in which consultants can seamlessly support online customers when not in customer appointments. We host thousands of individual consultations per month, where we provide diamond and jewelry guidance and education in a relaxing environment, and we provide personalized product recommendations and styling advice for our customers. Jewelry consultants leverage our unified view of each customer to cultivate a personalized experience and create a fun, approachable, and educational environment that fosters lasting connections.</w:t>
      </w:r>
    </w:p>
    <w:p>
      <w:pPr>
        <w:spacing w:after="0" w:line="21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tens of thousands of customer interactions per month on average. We respond to most inbound inquiries within 24 hours. In addition, outbound initiatives such as proactive live chats and marketing emails to visit showrooms increase customer engagement and conversion.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employ a variety of dynamic brand marketing and performance marketing strategies to broaden our customer reach, build brand awareness, and maximize lifetime customer value. We use data-driven insights to produce targeted marketing content across a variety of mediums and optimize our marketing efficiency. Our customers are deeply involved with the Brilliant Earth brand, sharing thousands of images, videos, and stories of their proposals and weddings every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 Marketing</w:t>
      </w:r>
    </w:p>
    <w:p>
      <w:pPr>
        <w:spacing w:after="0" w:line="241"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Our in-house social media team prioritizes a mix of aspirational yet approachable product and lifestyle imagery, authentic user-generated content, unique educational content, and purpose-driven storytelling that aligns with our audience’s values. Our strong connection with our audience allows us to strive to stay ahead of trends and adapt to reflect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also collaborate with key influencers who are deeply passionate about our mission and products. We partner with them to create authentic and unique product collections and content, which helps to expand our reach to new and highly relevant audiences in order to amplify the effectiveness of our strategy and contribute to our considerable number of followers and engagement with our community.</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marketing efforts deliver growing brand awareness and frequent press mentions in leading publications, including Forbes, Vogue, and Women's Wear Daily.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Marketing</w:t>
      </w:r>
    </w:p>
    <w:p>
      <w:pPr>
        <w:spacing w:after="0" w:line="24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take a data-driven and digital-centric approach to performance marketing including search engine optimization, paid search and product listing advertisements, paid and earned social, retargeting, email, display, direct mail, and more. We continuously track performance and make adjustments across channels, campaigns, and creative assets to optimize performance. Our performance marketing drives attractive customer acquisition and retention metrics.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Supply Chain</w:t>
      </w:r>
    </w:p>
    <w:p>
      <w:pPr>
        <w:spacing w:after="0" w:line="24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Responsible sourcing is an important aspect of our mission and values. We purchase substantially all of the resources for our products including diamonds, gemstones, precious metals, parts, packaging, and raw materials from a limited number of domestic and international suppliers. No individual supplier accounted for more than 10% of total inventory purchases during the year ended December 31, 2025. One supplier of jewelry accounted for a total of 11% of inventory purchases during the year ended December 31, 2024. We work with a complex, global network of trusted suppliers and manufacturers who agree to our strict Supplier Code of Conduct and with whom we have developed deep relationships, generally over many years. In addition, we are a member of the Responsible Minerals Initiative (“RMI”), a widely utilized resource for companies addressing the responsible sourcing of minerals in their supply chains. As part of our commitment to social and environmental responsibility, we offer Beyond Conflict Free Diamonds™, Pathway to Beyond Conflict Free Diamonds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repurposed precious metals and FSC-certified wood ring boxes. We strive to offer products sourced in alignment with responsible labor and environmental practices and continually work with our suppliers to seek to improve standards and traceability.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Conflict Free Diamonds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Our Beyond Conflict Free Diamonds ™ have been selected for their ethical and environmentally responsible origins. Jewelers that offer “conflict free” diamonds meet the minimum standards of the Kimberley Process’ definition, which narrowly defines conflict diamonds as “rough diamonds used to finance wars against governments.” This minimum standards definition still allows large numbers of diamonds that are tainted by violence, human rights abuses, poverty, environmental degradation, and other issues.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Pathway to Beyond Conflict Free Diamonds</w:t>
      </w:r>
      <w:r>
        <w:rPr>
          <w:rFonts w:ascii="Times New Roman" w:cs="Times New Roman" w:eastAsia="Times New Roman" w:hAnsi="Times New Roman"/>
          <w:sz w:val="23"/>
          <w:szCs w:val="23"/>
          <w:color w:val="auto"/>
          <w:vertAlign w:val="superscript"/>
        </w:rPr>
        <w:t>TM</w:t>
      </w:r>
    </w:p>
    <w:p>
      <w:pPr>
        <w:spacing w:after="0" w:line="18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As part of our ongoing work to improve mining practices worldwide, in February 2025, we expanded our offerings to include a new category of diamonds, Pathway to Beyond Conflict Free Diamonds™, that are traceable to the origin and sourced exclusively from vetted suppliers who undergo rigorous audits to ensure safe working conditions at the cutting and polishing factories.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Practices and Standards</w:t>
      </w:r>
    </w:p>
    <w:p>
      <w:pPr>
        <w:spacing w:after="0" w:line="2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select group of natural diamond suppliers demonstrate a robust chain of custody protocol for their diamonds and have the ability to track and segregate diamonds by origin. These suppliers are required to source Beyond Conflict Free Diamonds™ that originate from specific mine operations in specific countries that have demonstrated their commitment to follow internationally recognized labor, trade, and environmental standards. Our Beyond Conflict Free Diamonds™ are sourced from approved mines in countries ranked low to moderate risk according to the Gemstones and Jewellery Community Platform Index for Conflict-Affected High-Risk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continuously improving our processes and working with our partners toward ever more rigorous procedures for diamond sourcing and handling.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work with our suppliers and industry partners to continue leading the diamond industry in traceability.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Blockchain-Verified</w:t>
      </w:r>
    </w:p>
    <w:p>
      <w:pPr>
        <w:spacing w:after="0" w:line="24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To further our commitment to transparency and responsible sourcing, we partner with leading technology enterprises that use blockchain to securely track and trace the provenance of diamonds. This technology tracks a diamond from its origins at the mining operator, through cutting and polishing, to the customer. We offer thousands of blockchain-verified diamonds.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Capture Collection</w:t>
      </w:r>
    </w:p>
    <w:p>
      <w:pPr>
        <w:spacing w:after="0" w:line="24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2023, we introduced our Capture Collection, the world’s largest collection of lab-grown diamonds created using CO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captured before it is released into the atmosphere.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100% Renewable Collection</w:t>
      </w:r>
    </w:p>
    <w:p>
      <w:pPr>
        <w:spacing w:after="0" w:line="24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2023, we introduced our Renewable Collection, a collection of lab diamonds grown, cut, and polished with 100% renewable energy from wind and solar farms. Diamonds from these collections can be set in a variety of styles, including bridal and fine jewelry though Brilliant Earth's Design Your Own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Lab-Grown Diamonds</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Lab-grown diamonds are created in highly controlled laboratory environments using advanced technological processes that duplicate the conditions under which diamonds develop in nature. These diamonds have the same physical, chemical, and optical characteristics as natural diamonds, and exhibit the same fire, scintillation, and sparkle. Lab-grown diamonds provide a mining-free alternative to natural diamonds.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Repurposed Precious Metals</w:t>
      </w:r>
    </w:p>
    <w:p>
      <w:pPr>
        <w:spacing w:after="0" w:line="24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The Company has adopted a policy that requires suppliers that source precious metals for the Company’s products to source certified 100% repurposed precious metals or Fairmined gold, subject to certain exceptions. Product exceptions for repurposed content include machine-pulled chains, and components and findings (such as peg heads, posts, clasps, and tennis bracelet mountings). For these exceptions, suppliers are required to source certified responsible precious metals.</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We strive to use 100% repurposed gold and silver or Fairmined gold and generate year-over-year increases in the use of repurposed platinum for our products. </w:t>
      </w:r>
      <w:r>
        <w:rPr>
          <w:rFonts w:ascii="Times New Roman" w:cs="Times New Roman" w:eastAsia="Times New Roman" w:hAnsi="Times New Roman"/>
          <w:sz w:val="18"/>
          <w:szCs w:val="18"/>
          <w:color w:val="2C2C2C"/>
        </w:rPr>
        <w:t>Our precious metals are sourced from certified responsible refiners who also hold recycling certifications from the Resp</w:t>
      </w:r>
      <w:r>
        <w:rPr>
          <w:rFonts w:ascii="Times New Roman" w:cs="Times New Roman" w:eastAsia="Times New Roman" w:hAnsi="Times New Roman"/>
          <w:sz w:val="18"/>
          <w:szCs w:val="18"/>
          <w:color w:val="auto"/>
        </w:rPr>
        <w:t>onsible Jewellery Council or other third-party validators. Currently our gold and silver fine jewelry is made primarily of repurposed materials, and we continue to work with our suppliers to increase the usage of repurposed metal in our products.</w:t>
      </w:r>
    </w:p>
    <w:p>
      <w:pPr>
        <w:spacing w:after="0" w:line="2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Metal mining, and gold mining in particular, is one of the most environmentally destructive types of mining, and gold miners often earn low wages in dangerous working conditions. Our objective is to help reduce the negative impacts of dirty gold and other metals by reducing our demand for newly mined metals, focusing on repurposed precious metals, and contributing to programs dedicated to improving mining practices. For example, in 2023, we supported four mines in Madre de Dios, Peru in completing their Fairmined Certifications, the first to do so in the Amazon, with Pure Earth and the Alliance for Responsible Mining.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Colored Gemstones</w:t>
      </w:r>
    </w:p>
    <w:p>
      <w:pPr>
        <w:spacing w:after="0" w:line="24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colored gemstone offerings include sapphires, emeralds, moissanites, and aquamarines. We strive to offer gemstones sourced in alignment with safe working conditions and environmentally responsible principles. By working with our colored gemstone suppliers to improve standards and traceability, we strive to promote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standards for gemstone sourcing and encourage responsible practices. In 2021, we launched our Moyo Gems Collection, which empowers female artisanal miners in Tanzania through safer work environments, better mining practices, and improved equity in fair trade markets and in 2022, we began a three-year grant with our grant partners, Pact, to expand the Moyo Gems program into Kenya to fund financial literacy trainings for female artisanal gemstone miners.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Recycled Diamonds</w:t>
      </w:r>
    </w:p>
    <w:p>
      <w:pPr>
        <w:spacing w:after="0" w:line="24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Recycled diamonds consist of existing polished diamonds that were previously sold and are either in original condition or were re-polished and re-graded. Our recycled diamonds have been graded by an independent gemological lab and can be compared to newly mined diamonds for their quality characteristics. This product category is still nascent in the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Manufacturing and Fulfillment</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manage complex global operations, manufacturing, and logistics networks to enable rapid turnaround times without compromising our commitment to quality, craftsmanship, and ethical sourcing. We have built a sophisticated technology platform to manage our supplier network, resulting in what we believe is high-quality, customized jewelry produced at scale.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Management</w:t>
      </w:r>
    </w:p>
    <w:p>
      <w:pPr>
        <w:spacing w:after="0" w:line="2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are able to offer a vast virtual inventory of diamonds while keeping our asset inventory low. Our sophisticated inventory management system and deep integration with our suppliers allow us to rapidly bring in inventory for appointments. Using our customer data, we curate the inventory for our in-person appointments, so that showroom visitors see a personalized and relevant selection. Pricing with our suppliers is determined based on product specifications, market conditions, and other variables. For example, diamond prices are determined based on market conditions, competition, and other factors, including the diamond’s attributes.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have relationships with long-term manufacturing partners who have demonstrated and who we expect to continue to demonstrate their ability to meet our commitments for ethical sourcing, high quality, fast turnarounds and scalability. Pricing with our manufacturing partners is established and renegotiated based on product specifications, market conditions, and other variables. Our partners go through a rigorous onboarding process to ensure they meet our strict compliance and quality standards, including repurposed precious metal content. Because we own the designs created by our in-house studio, we have flexibility to determine where the jewelry is manufactured to optimize cost, manufacturing capabilities and turnaround times.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Fulfillment and Logistics</w:t>
      </w:r>
    </w:p>
    <w:p>
      <w:pPr>
        <w:spacing w:after="0" w:line="24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Many of our products are made-to-order and delivered in as little as six to fifteen business days. For products that sell in higher, more consistent volumes, such as certain rings and fine jewelry, we batch produce and stock items to enable even faster customer delivery, typically in just two to five business days. Orders are shipped to customers directly from our fulfillment centers or from our manufacturing partners.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w:t>
      </w:r>
    </w:p>
    <w:p>
      <w:pPr>
        <w:spacing w:after="0" w:line="241"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Our responsibly sourced wood ring boxes are designed to be as iconic as the jewelry they hold. They are crafted with wood sourced from FSC certified forests, which are responsibly managed to protect the forests for future generations. Our paper-based shipping boxes are FSC Recycled and made from 100% post-consumer or pre-consumer recycled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24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We are extremely proud of our team who we believe embody our culture and core values, focused on inclusivity, collaboration and accountability. As of December 31, 2025, we employed 764 full-time employees and 21 part-time employees in the U.S. In addition, we engage independent contractors and temporary personnel to support certain business functions. We are deeply committed to fostering an inclusive work environment, and we strive to embody our values through our internal practices.</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our employees are currently represented by a labor union or are party to a collective bargaining agreement, and we have had no labor-related work stoppages. We believe that we have good relationships with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 defining part of working at Brilliant Earth is our culture, and it is a key ingredient of our success. It attracts talent, and we evaluate, celebrate, and promote team members based on our Pillars of Culture. Our Pillars of Culture are:</w:t>
      </w:r>
    </w:p>
    <w:p>
      <w:pPr>
        <w:spacing w:after="0" w:line="214"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Commitment to the Customer</w:t>
      </w:r>
      <w:r>
        <w:rPr>
          <w:rFonts w:ascii="Times New Roman" w:cs="Times New Roman" w:eastAsia="Times New Roman" w:hAnsi="Times New Roman"/>
          <w:sz w:val="18"/>
          <w:szCs w:val="18"/>
          <w:color w:val="auto"/>
        </w:rPr>
        <w:t>: Providing an exceptional customer experience is always our top priority.</w:t>
      </w:r>
    </w:p>
    <w:p>
      <w:pPr>
        <w:spacing w:after="0" w:line="16" w:lineRule="exact"/>
        <w:rPr>
          <w:rFonts w:ascii="Arial" w:cs="Arial" w:eastAsia="Arial" w:hAnsi="Arial"/>
          <w:sz w:val="20"/>
          <w:szCs w:val="20"/>
          <w:color w:val="auto"/>
        </w:rPr>
      </w:pPr>
    </w:p>
    <w:p>
      <w:pPr>
        <w:ind w:left="660" w:right="160" w:hanging="328"/>
        <w:spacing w:after="0" w:line="231" w:lineRule="auto"/>
        <w:tabs>
          <w:tab w:leader="none" w:pos="621"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Partnership and Positivity</w:t>
      </w:r>
      <w:r>
        <w:rPr>
          <w:rFonts w:ascii="Times New Roman" w:cs="Times New Roman" w:eastAsia="Times New Roman" w:hAnsi="Times New Roman"/>
          <w:sz w:val="18"/>
          <w:szCs w:val="18"/>
          <w:color w:val="auto"/>
        </w:rPr>
        <w:t>: Foster a community of collaboration, inclusivity, respect, and encouragement. Celebrate each other’s differences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other's victories, big, and small.</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Bias toward Action</w:t>
      </w:r>
      <w:r>
        <w:rPr>
          <w:rFonts w:ascii="Times New Roman" w:cs="Times New Roman" w:eastAsia="Times New Roman" w:hAnsi="Times New Roman"/>
          <w:sz w:val="18"/>
          <w:szCs w:val="18"/>
          <w:color w:val="auto"/>
        </w:rPr>
        <w:t>: When you see a need, step up rather than stand by. Discuss, test efficiently, and take action.</w:t>
      </w:r>
    </w:p>
    <w:p>
      <w:pPr>
        <w:spacing w:after="0" w:line="9" w:lineRule="exact"/>
        <w:rPr>
          <w:rFonts w:ascii="Arial" w:cs="Arial" w:eastAsia="Arial" w:hAnsi="Arial"/>
          <w:sz w:val="20"/>
          <w:szCs w:val="20"/>
          <w:color w:val="auto"/>
        </w:rPr>
      </w:pPr>
    </w:p>
    <w:p>
      <w:pPr>
        <w:ind w:left="620" w:hanging="288"/>
        <w:spacing w:after="0" w:line="229" w:lineRule="auto"/>
        <w:tabs>
          <w:tab w:leader="none" w:pos="6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Embrace Growth and Change</w:t>
      </w:r>
      <w:r>
        <w:rPr>
          <w:rFonts w:ascii="Times New Roman" w:cs="Times New Roman" w:eastAsia="Times New Roman" w:hAnsi="Times New Roman"/>
          <w:sz w:val="18"/>
          <w:szCs w:val="18"/>
          <w:color w:val="auto"/>
        </w:rPr>
        <w:t>: Be a champion of continuous improvement. Look for new opportunities to support business goals.</w:t>
      </w:r>
    </w:p>
    <w:p>
      <w:pPr>
        <w:spacing w:after="0" w:line="10" w:lineRule="exact"/>
        <w:rPr>
          <w:rFonts w:ascii="Arial" w:cs="Arial" w:eastAsia="Arial" w:hAnsi="Arial"/>
          <w:sz w:val="20"/>
          <w:szCs w:val="20"/>
          <w:color w:val="auto"/>
        </w:rPr>
      </w:pPr>
    </w:p>
    <w:p>
      <w:pPr>
        <w:ind w:left="620" w:hanging="288"/>
        <w:spacing w:after="0" w:line="229" w:lineRule="auto"/>
        <w:tabs>
          <w:tab w:leader="none" w:pos="6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Mission Mindset</w:t>
      </w:r>
      <w:r>
        <w:rPr>
          <w:rFonts w:ascii="Times New Roman" w:cs="Times New Roman" w:eastAsia="Times New Roman" w:hAnsi="Times New Roman"/>
          <w:sz w:val="18"/>
          <w:szCs w:val="18"/>
          <w:color w:val="auto"/>
        </w:rPr>
        <w:t>: Be an educated, passionate advocate of our mission in your role and beyond.</w:t>
      </w:r>
    </w:p>
    <w:p>
      <w:pPr>
        <w:spacing w:after="0" w:line="10" w:lineRule="exact"/>
        <w:rPr>
          <w:rFonts w:ascii="Arial" w:cs="Arial" w:eastAsia="Arial" w:hAnsi="Arial"/>
          <w:sz w:val="20"/>
          <w:szCs w:val="20"/>
          <w:color w:val="auto"/>
        </w:rPr>
      </w:pPr>
    </w:p>
    <w:p>
      <w:pPr>
        <w:ind w:left="620" w:hanging="288"/>
        <w:spacing w:after="0" w:line="229" w:lineRule="auto"/>
        <w:tabs>
          <w:tab w:leader="none" w:pos="6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Be accountable for your actions, take pride in your work and inspire others with your example.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global jewelry industry is highly fragmented. We operate in a competitive industry with other global jewelry retailers and brands, department stores, and independent stores, many of which have an online presence. Our primary competitors include:</w:t>
      </w:r>
    </w:p>
    <w:p>
      <w:pPr>
        <w:spacing w:after="0" w:line="214"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Jewelry retailers and brands, </w:t>
      </w:r>
      <w:r>
        <w:rPr>
          <w:rFonts w:ascii="Times New Roman" w:cs="Times New Roman" w:eastAsia="Times New Roman" w:hAnsi="Times New Roman"/>
          <w:sz w:val="18"/>
          <w:szCs w:val="18"/>
          <w:color w:val="auto"/>
        </w:rPr>
        <w:t>which sell directly to consumers through their own retail stores and online sites;</w:t>
      </w:r>
    </w:p>
    <w:p>
      <w:pPr>
        <w:spacing w:after="0" w:line="8" w:lineRule="exact"/>
        <w:rPr>
          <w:rFonts w:ascii="Arial" w:cs="Arial" w:eastAsia="Arial" w:hAnsi="Arial"/>
          <w:sz w:val="20"/>
          <w:szCs w:val="20"/>
          <w:color w:val="auto"/>
        </w:rPr>
      </w:pPr>
    </w:p>
    <w:p>
      <w:pPr>
        <w:ind w:left="620" w:hanging="288"/>
        <w:spacing w:after="0" w:line="223" w:lineRule="auto"/>
        <w:tabs>
          <w:tab w:leader="none" w:pos="6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Department stores, </w:t>
      </w:r>
      <w:r>
        <w:rPr>
          <w:rFonts w:ascii="Times New Roman" w:cs="Times New Roman" w:eastAsia="Times New Roman" w:hAnsi="Times New Roman"/>
          <w:sz w:val="18"/>
          <w:szCs w:val="18"/>
          <w:color w:val="auto"/>
        </w:rPr>
        <w:t>which sell an assortment of jewelry brands, and in some cases their own products, through stores and online sites; and</w:t>
      </w:r>
    </w:p>
    <w:p>
      <w:pPr>
        <w:spacing w:after="0" w:line="10" w:lineRule="exact"/>
        <w:rPr>
          <w:rFonts w:ascii="Arial" w:cs="Arial" w:eastAsia="Arial" w:hAnsi="Arial"/>
          <w:sz w:val="20"/>
          <w:szCs w:val="20"/>
          <w:color w:val="auto"/>
        </w:rPr>
      </w:pPr>
    </w:p>
    <w:p>
      <w:pPr>
        <w:ind w:left="620" w:hanging="288"/>
        <w:spacing w:after="0" w:line="229" w:lineRule="auto"/>
        <w:tabs>
          <w:tab w:leader="none" w:pos="6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Independent stores, </w:t>
      </w:r>
      <w:r>
        <w:rPr>
          <w:rFonts w:ascii="Times New Roman" w:cs="Times New Roman" w:eastAsia="Times New Roman" w:hAnsi="Times New Roman"/>
          <w:sz w:val="18"/>
          <w:szCs w:val="18"/>
          <w:color w:val="auto"/>
        </w:rPr>
        <w:t>including boutiques and “mom and pop” shops, who sell primarily through one or more local stores.</w:t>
      </w:r>
    </w:p>
    <w:p>
      <w:pPr>
        <w:spacing w:after="0" w:line="2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other retail categories and forms of expenditure, such as electronics and travel, also compete for consumers’ discretionary spending. The price of fine jewelry relative to other products also influences consumer spending on fine jewelry.</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compete based on brand differentiation, including our mission and values, product selection and quality, customization, price, consumer experience, and turnaround time. We believe that we compete favorably in the market for bridal and other fine jewelry products by focusing on these factors as well as our core values of transparency, sustainability, inclusivity, and giving back.</w:t>
      </w:r>
    </w:p>
    <w:p>
      <w:pPr>
        <w:spacing w:after="0" w:line="2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believe our premium omnichannel customer experience, unique and exclusive designs, and purpose-driven brand create limited overlap with other industry participants.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243"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Our long-term commercial success is connected to our ability to obtain and maintain intellectual property protection for our brand, products, and technology; defend and enforce our intellectual property rights; preserve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seek to protect our investments made into the development of our products, technologies, brand, and design by relying on a combination of copyrights, trademarks, domain names, and trade secrets, as well as confidentiality procedures and contractual provisions.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principal trademark assets include the registered trademark “Brilliant Earth” and our tagline and logos. Our trademarks are valuable assets that support our brand and consumers’ perception of our services and merchandise.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the relevant goods or services. We expect to pursue additional trademark registrations to the extent we believe they would be beneficial and cost-effective. In addition to trademark protection, we also hold the registration to the “brilliantearth.com” internet domain name and various related domain names.</w:t>
      </w:r>
    </w:p>
    <w:p>
      <w:pPr>
        <w:spacing w:after="0" w:line="21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primarily rely on copyright and trade secret laws to protect our proprietary technologies and processes, including the algorithms we use throughout our business. Trade secrets can be difficult to protect, however. Although we take steps to protect and preserve our trade secrets and our know-how, unpatented technology and other proprietary information, including by entering into intellectual property assignment agreements, non-compete agreements, and non-disclosure and confidentiality agreements and by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As a result, we may not be able to meaningfully protect our trade secrets. For more information regarding the risks related to our intellectual property, see “Risk Factors—Risks related to Our Legal and Regulatory Environment— 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We are required to comply with numerous laws and regulations covering areas such as consumer protection, consumer privacy, data protection, privacy, consumer credit, payment processing, marketing and advertising, insurance, environmental matters, health and safety, waste disposal, supply chain integrity, use of artificial intelligence, truth in advertising and employment. We monitor changes in these laws to maintain compliance with applicable requirements.</w:t>
      </w:r>
    </w:p>
    <w:p>
      <w:pPr>
        <w:spacing w:after="0" w:line="20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are subject to numerous local, state, federal and foreign laws and regulations regarding privacy and data protection, marketing, and consumer protection. Regulators throughout the United States and around the world have adopted or proposed and continue to adopt and propose limitations on, or requirements regarding, the collection, disclosure, distribution, use, security and storage of personal information, payment card information or other confidential information of individuals. The Federal Trade Commission and many state attorneys general are applying federal and state consumer protection laws to impose standards on the online collection, use and dissemination of data. Regulators from international jurisdictions are increasingly focused on the processing of personal information for purposes such as profiling, marketing or advertising and on the use of artificial intelligence tools. In the event of a security breach, laws in various jurisdictions may subject us to incident response, notice and remediation costs. Failure to safeguard data adequately or to destroy data securely could subject us to regulatory investigations or enforcement actions under applicable data protection, data security, unfair practices or consumer protection laws. Further, failure to comply with consumer protection laws may also subject us to regulatory investigations, enforcement action or private plaintiff actions, for example in connection with commercial practices which may be deemed unfair or deceptive. U.S. federal and state and foreign laws and regulations are constantly evolving. The scope and interpretation of these laws could change, the associated burdens and our compliance costs could increase in the future, and we may be subject to liabilities that adversely affect our business, operations and financial performance. For more information regarding the risks related to government regulations, see “Risk Factors—Risks Related to Our Legal and Regulatory Environment.”</w:t>
      </w:r>
    </w:p>
    <w:p>
      <w:pPr>
        <w:spacing w:after="0" w:line="21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also subject to various mandatory substantive and/or disclosure requirements with respect to ESG matters that continue to evolve on the state, federal, and international levels, which may directly or indirectly impact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operations. These requirements may not always be uniform across jurisdictions, which may result in increased complexity, and cost, for compliance. For more information regarding the risks related to our ESG practices, see “Risk Factors—Environmental, social, and governance matters may adversely impact our business and reputation.”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larger share of our annual revenues traditionally occurs in the fourth quarter because it includes the November and December holiday sales period.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43"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Our internet website address is www.brilliantearth.com. In addition to the information about us and our subsidiaries contained in this Annual Report on Form 10-K, information about us can be found on our website. The information on our website is not, and will not be deemed to be, a part of this Annual Report on Form 10-K or incorporated into any of our other filings with the Securities and Exchange Commission (the “SEC”), except where we expressly incorporate such information.</w:t>
      </w:r>
    </w:p>
    <w:p>
      <w:pPr>
        <w:spacing w:after="0" w:line="21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available free of charge through our website at www.brilliantearth.com as soon as reasonably practicable after they are electronically filed with or furnished to the SEC. Additionally, the SEC maintains an internet site that contains reports, proxy and information statements and other information. The address of the SEC's website is 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Our business involves significant risk. Stockholders should consider and read carefully all of the risks and uncertainties described below, together with all of the other information included in this Annual Report on Form 10-K, including our audited consolidated financial statements and the related notes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realization of any of these risks and uncertainties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materially and adversely affect our business, financial condition, results of operations, reputation and future prospects. In such case, the market price of our Class A common stock could decline, and you may lose some or all of your investment. This Annual Report on Form 10-K also contains forward-looking statements that involve risks and uncertainties.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actual results could differ materially and adversely from those anticipated in these forward-looking statements as a result of certain important factors, including those set forth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3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Fluctuations in the pricing and supply of diamonds, other gemstones, and precious metals, particularly responsibly sourced natural and lab-grown diamonds and repurposed precious metals such as gold and platinum, which account for the majority of our merchandise costs, increases in labor costs for manufacturing such as wage rate increases, as well as inflation, and energy prices could adversely impact our sales, earnings and cash availability.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highly susceptible to fluctuations in the price and supply of responsibly sourced natural diamonds, lab-grown diamonds, gold, and other</w:t>
      </w:r>
    </w:p>
    <w:p>
      <w:pPr>
        <w:spacing w:after="0" w:line="3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precious and semi-precious metals and gemstones. For example, gold, platinum and other precious metal prices have been highly volatile, and significant price increases occurred in 2025. Sustained elevated prices for gold, platinum and other precious metals could increase our merchandise costs and working capital requirements and adversely impact demand, particularly if we cannot timely or fully pass through cost increases or if competitors price more aggressively. If we are unable to increase retail prices to reflect higher diamond, gemstone, or precious metal costs, our profitability could be adversely affected. There could also be a lag time before particularly sharp increases or other volatility in diamonds, gemstones, and precious metal costs can be reflected in retail prices and even if price changes are implemented, there is no certainty that these changes will be sustainable or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use primarily repurposed precious metals in our gold and silver fine jewelry. There is a limited supply of repurposed platinum, so we work with our suppliers to source repurposed platinum when available and from refiners that are known to use repurposed materials (as represented to us by our suppliers) in their platinum products. We may from time to time choose to hold more inventory, purchase raw materials at an earlier stage in the supply chain, or enter into commercial agreements of a nature that we currently do not use. Such actions could require the investment of significant cash and/or additional management skills and may not resolve supply issues or result in the expected returns and other projected benefits anticipated by management.</w:t>
      </w:r>
    </w:p>
    <w:p>
      <w:pPr>
        <w:spacing w:after="0" w:line="21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The mining, production, and inventory policies followed by major producers of rough diamonds can have a significant impact on natural diamond prices and demand, as can the inventory and buying patterns of jewelry retailers and other parties in the supply chain. The availability of diamonds is significantly influenced by the political situation in diamond producing countries and by the Kimberley Process, an inter-governmental agreement for the international trading of rough diamonds. Until acceptable alternative sources of diamonds can be developed, any sustained interruption in the supply of diamonds from significant producing countries, or to the trading in rough and polished diamonds, which could occur as a result of disruption to the Kimberley Process, could adversely affect our business, as well as the retail jewelry market as a whole. In addition, the current Kimberley Process decision-making procedure is dependent on reaching a consensus among member governments, which can result in the protracted resolution of issues, and there is little expectation of significant reform. The impact of this review process on the supply of diamonds, and consumers’ perception of the diamond supply chain, is unknown. The possibility of constraints in the supply of diamonds we require to meet our Beyond Conflict Free™ or our Pathway to Beyond Conflict Free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requirements or our repurposed or lab-grown diamonds requirements may result in changes in our supply chain practices and could substantially impair our ability to acquire such diamonds at commercially reasonable prices, if at all, which could negatively affect our sales and results of operations. Additionally, in response to Russian military forces launching a major assault against Ukraine, on March 11, 2022, the U.S. announced sanctions on multiple products of Russian origin, including diamonds. In December 2023, the European Union and the Group of Seven nations announced additional sanctions and import restrictions on diamonds that are mined, processed or produced in Russia. Although we ceased selling Russian-sourced diamonds in February 2022, because approximately 30% of the world’s rough diamonds are of Russian origin, these sanctions and import restrictions limiting or prohibiting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importation of Russian diamonds could negatively affect the worldwide supply of diamond</w:t>
      </w:r>
      <w:r>
        <w:rPr>
          <w:rFonts w:ascii="Times New Roman" w:cs="Times New Roman" w:eastAsia="Times New Roman" w:hAnsi="Times New Roman"/>
          <w:sz w:val="21"/>
          <w:szCs w:val="21"/>
          <w:color w:val="auto"/>
        </w:rPr>
        <w:t>s</w:t>
      </w:r>
      <w:r>
        <w:rPr>
          <w:rFonts w:ascii="Times New Roman" w:cs="Times New Roman" w:eastAsia="Times New Roman" w:hAnsi="Times New Roman"/>
          <w:sz w:val="18"/>
          <w:szCs w:val="18"/>
          <w:color w:val="auto"/>
        </w:rPr>
        <w:t xml:space="preserve"> which could, in turn, affect our supply chain practices.</w:t>
      </w:r>
    </w:p>
    <w:p>
      <w:pPr>
        <w:spacing w:after="0" w:line="20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 significant change in the balance of supply and demand of natural diamonds, continued increase in the supply of lab-grown diamonds, or both, may influence consumer perception of the value of natural and lab-grown diamonds and has contributed and may continue to contribute to decreases in prices of</w:t>
      </w:r>
    </w:p>
    <w:p>
      <w:pPr>
        <w:spacing w:after="0" w:line="1"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natural and lab-grown diamonds. Further, diamond prices declined during 2025, and such declines could influence consumer expectations and perceived value. As retail prices for diamonds decline, consumers who purchased at higher prices may be disappointed with their purchases’ relative value, which could harm our reputation and that of the jewelry industry. Sustained price compression could pressure our average order value, product margin, and</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inventory valuation, and may require us to adjust pricing and assortment decisions more frequently. These factors may cause decreases in sales, gross margins and earnings. In addition, any sustained increases in the cost of diamonds, other gemstones, and precious metals could increase costs, disrupt sales, cause some customers to be discouraged by reduced affordability potentially leading them to delay purchases or choose alternatives, or require higher inventory levels or changes in the merchandise available to customers.</w:t>
      </w:r>
    </w:p>
    <w:p>
      <w:pPr>
        <w:spacing w:after="0" w:line="20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Increases in labor costs for manufacturing due to compensation, wage pressure, changes in wage and hour regulations, and other expenses may adversely affect our profitability. Other future cost increases, such as increases in the cost of merchandise, shipping rates, raw material prices, freight costs, and store occupancy costs, may similarly reduce our profitability. Inflationary pressures have and could continue to further reduce our sales or profitability. Increases in other operating costs, including changes in energy prices and lease and utility costs, may increase our cost of products sold, marketing and advertising expenses, or general and administrative expenses. Our model and competitive pressures in the fine jewelry industry may inhibit our ability to reflect these increased costs in the prices of our products, in which case such increased costs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 overall decline in the health of the economy and other factors impacting consumer spending, such as recessionary or inflationary conditions, governmental instability, wars and fears of war, and natural disasters, may affect consumer purchases, which could reduce demand for our products and harm our business, financial conditions, and results of operations.</w:t>
      </w:r>
    </w:p>
    <w:p>
      <w:pPr>
        <w:spacing w:after="0" w:line="18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fears of war, political and geopolitical instability, inclement weather, natural disasters, terrorism, outbreak of diseases or widespread illness, and consumer perceptions of personal well-being and security. Jewelry purchases are discretionary and are dependent on many factors relating to discretionary consumer spending, particularly as jewelry is often perceived to be a luxury purchase. Unfavorable economic conditions may lead consumers to delay or reduce purchases of our products and services and consumer demand for our products and services may not grow as we expect. Prolonged or pervasive economic downturns could also slow the pace of new showroom openings or cause us to determine to close current locations which could harm our business, financial condition, and results of operations.</w:t>
      </w:r>
    </w:p>
    <w:p>
      <w:pPr>
        <w:spacing w:after="0" w:line="20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cost-effectively turn existing customers into repeat customers or to acquire new customers, our business, financial condition, and results of operations would be harmed.</w:t>
      </w:r>
    </w:p>
    <w:p>
      <w:pPr>
        <w:spacing w:after="0" w:line="18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growth of our business is dependent upon our ability to continue to grow by cost-effectively turning existing customers into repeat customers and acquiring new customers. Our number of customers may decline materially or fluctuate as a result of many factors, including, among other things:</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dissatisfaction with the quality, pricing of, or changes we make to our products and services;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quality, consumer appeal and price of products and services offered by us;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intense competition in the fine jewelry retail industry, including certain competitors' ability to offer lower prices by not charging sales tax;</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negative publicity related to our brand; or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lack of market acceptance of our business model, particularly in new geographies where we seek to expand.</w:t>
      </w:r>
    </w:p>
    <w:p>
      <w:pPr>
        <w:spacing w:after="0" w:line="21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have expended and expect to continue to expend resources and run marketing campaigns to acquire and retain additional customers, all of which could impact our overall profitability. If we are not able to continue to expand our customer base or fail to retain customers, our net sales may grow more slowly than expected or decline.</w:t>
      </w:r>
    </w:p>
    <w:p>
      <w:pPr>
        <w:spacing w:after="0" w:line="1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Further, gaining market acceptance of the e-commerce and omnichannel approach to shopping for fine jewelry is critical to our continued customer retention and growth. Historically, consumers have been slower to adopt online shopping for fine jewelry than e-commerce offerings in other industries like consumer electronics and apparel. Transitioning the consumer in-store experience to an online platform for fine jewelry is difficult because jewelry tends to be considered a high-value purchase that consumers like to physically see and touch before making a purchase. Moreover, even as more consumers begin to shop for fine jewelry online, if we are unable to address their changing needs and anticipate or respond to market trends and new technologies in a timely and cost-efficient manner, we could experience increased customer churn and other negative impacts on our business and results of operations.</w:t>
      </w:r>
    </w:p>
    <w:p>
      <w:pPr>
        <w:spacing w:after="0" w:line="21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Our ability to attract new customers and increase net sales from existing customers also depends in large part on our ability to enhance and improve our existing products and to introduce new products and services, in each case, in a timely manner. We also must be able to identify and originate trends, as well as anticipate and react to changing consumer demands in a timely manner. The success of new products and services depends on several factors, including their timely introduction and completion, sufficient demand, and cost effectiveness. We are building and improving machine learning models and other technological capabilities to drive improved customer experience, as well as efficiencies in our operations, such as virtual try-ons, virtual appointments with jewelry consultants, optimized payment processing and customer service, and automated key support workflows. The continuous development, maintenance and operation of our machine learning models is complex, and may involve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expense and unforeseen difficulties including material performance problems, and undetected defects or errors, for example, with new capabilities incorporating artificial intelligence. While we expect these technologies to lead to improvements in the performance of our business and operations, including inventory prediction and customer traffic prediction and management, any flaws or failures of such technologies could cause interruptions or</w:t>
      </w:r>
    </w:p>
    <w:p>
      <w:pPr>
        <w:ind w:right="240"/>
        <w:spacing w:after="0" w:line="266" w:lineRule="auto"/>
        <w:rPr>
          <w:sz w:val="20"/>
          <w:szCs w:val="20"/>
          <w:color w:val="auto"/>
        </w:rPr>
      </w:pPr>
      <w:r>
        <w:rPr>
          <w:rFonts w:ascii="Times New Roman" w:cs="Times New Roman" w:eastAsia="Times New Roman" w:hAnsi="Times New Roman"/>
          <w:sz w:val="18"/>
          <w:szCs w:val="18"/>
          <w:color w:val="auto"/>
        </w:rPr>
        <w:t>delays in our service, which could result in customer dissatisfaction with us and could impair our ability to grow our customer base. Any and all of these factors, which may be out of our control, may harm our business, financial condition, and results of operations.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if we are unable to provide high-quality support to customers or help resolve issues in a timely and acceptable manner, our ability to attract and retain customers could be adversely affected. If our number of customers declines or fluctuates for any of these or other reasons, our business would suffer.</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9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have grown rapidly over the last several years, and our recent growth rates and financial performance should not necessarily be considered indicative of our future performance. We were founded in 2005 and since then, we have grown to 42 showrooms across the U.S. as of December 31, 2025. To effectively manage and capitalize on our growth, we must continue to expand our sales and marketing, continue to evolve our omnichannel experience across both our website and showroom locations, focus on innovative products, and upgrade our management information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geographically distributed and growing employee base. Furthermore, we may face various unanticipated challenges as we strive to maintain our current mission-centric approach as we scale. Failure to scale and preserve our company culture with growth could harm our future success, including our ability to retain and recruit personnel and to effectively focus on and pursue our corporate objectives.</w:t>
      </w:r>
    </w:p>
    <w:p>
      <w:pPr>
        <w:spacing w:after="0" w:line="21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Moreover, the vertically integrated nature of our business, where we create our designs, source natural and lab-grown diamonds and other gemstones, customize our IT systems, and sell our products through our own showrooms and custom e-commerce site,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1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growth strategy contemplates potential increases in our advertising and other marketing spending, expanding our product offerings, and expanding our showroom presence. In addition, our ability to expand our showroom presence depends on our ability to find suitable showroom locations and negotiate acceptable lease terms. Successful implementation of our growth strategy will require significant expenditures before any substantial associated revenue is generated, and we cannot guarantee that these increased investments will result in corresponding and offsetting revenue growth. Failure to manage our future growth effectively could have an adverse effect on our business, financial condition, and operating results.</w:t>
      </w:r>
    </w:p>
    <w:p>
      <w:pPr>
        <w:spacing w:after="0" w:line="212"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industry for design-driven, responsibly sourced fine jewelry is rapidly evolving and may not develop as we expect. Even if our net sales continue to increase, our net sales growth rates may decline in the future as a result of a variety of factors, including macroeconomic factors, changes in supply and in the supply chain, changes in consumer preferences, increased competition, and the maturation of our business. As a result, you should not rely on our net sales growth rate for any prior period as an indication of our future performance. Overall growth of our net sales will depend on a number of factors, including our ability to:</w:t>
      </w:r>
    </w:p>
    <w:p>
      <w:pPr>
        <w:spacing w:after="0" w:line="252" w:lineRule="exact"/>
        <w:rPr>
          <w:sz w:val="20"/>
          <w:szCs w:val="20"/>
          <w:color w:val="auto"/>
        </w:rPr>
      </w:pPr>
    </w:p>
    <w:p>
      <w:pPr>
        <w:ind w:left="660" w:right="400" w:hanging="328"/>
        <w:spacing w:after="0" w:line="220"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price our products and services effectively so that we are able to attract new customers, expand our relationships with existing customers, and maintain or grow our gross profit margins;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accurately forecast our net sales and plan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480" w:hanging="328"/>
        <w:spacing w:after="0" w:line="227"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compete with other companies that are currently in, or may in the future enter the markets in which we compete, and respond to developments from these competitors such as pricing changes and the introduction of new products and services;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laws and regulations applicable to our business;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expand in existing markets and enter new markets, including new geographies and categories;</w:t>
      </w:r>
    </w:p>
    <w:p>
      <w:pPr>
        <w:spacing w:after="0" w:line="14"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launch new offerings and enhance our products and services and their features, including in response to new trends or competitive dynamics or the needs or preferences of customers or potential customers;</w:t>
      </w: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business;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avoid interruptions or disruptions in distributing our products and services;</w:t>
      </w:r>
    </w:p>
    <w:p>
      <w:pPr>
        <w:spacing w:after="0" w:line="14" w:lineRule="exact"/>
        <w:rPr>
          <w:rFonts w:ascii="Arial" w:cs="Arial" w:eastAsia="Arial" w:hAnsi="Arial"/>
          <w:sz w:val="22"/>
          <w:szCs w:val="22"/>
          <w:color w:val="auto"/>
        </w:rPr>
      </w:pPr>
    </w:p>
    <w:p>
      <w:pPr>
        <w:ind w:left="660" w:right="840" w:hanging="328"/>
        <w:spacing w:after="0" w:line="218"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manage potential fluctuations in the supply or market conditions for natural or lab-grown diamonds and other inputs that could result in fluctuations in diamond prices and other input costs;</w:t>
      </w: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provide customers with high-quality support that meets their needs;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sales, customer service, and other personnel;</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effectively manage growth of our business, personnel, and operations, including new showroom openings;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effectively manage our costs related to our business and operations;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our reputation and the value of our brand, including our mission-centric approach.</w:t>
      </w:r>
    </w:p>
    <w:p>
      <w:pPr>
        <w:spacing w:after="0" w:line="21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We also expect to continue to expend substantial financial and other resources to ready our business for growth, and we may fail to allocate our resources in a manner that results in increased net sales growth in our business. Additionally, we may encounter unforeseen operating expenses, challenges, complications, delays, and other unknown factors that may result in losses in future periods. Our limited operating experience at this scale, combined with the rapidly evolving nature of the market in which we sell our products and services, substantial uncertainty concerning how these markets may develop, and other economic factors beyond our control, impacts our ability to accurately forecast quarterly or annual revenue and profitability. Failure to manage our future growth effectively could have an adverse effect on our business, financial condition, and operating results. If our net sales growth does not meet our expectations in future periods, our business, financial condition, and results of operations may be harmed, and we may not sustain or increase profitability in the future.</w:t>
      </w:r>
    </w:p>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Increased lead times, supply shortages, and changes in our supply chain, including increased costs, could disrupt our business and have an adverse effect on our operations, financial condition, and results.</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Meeting customer demand partially depends on our ability to obtain timely and adequate delivery of materials for our products and services. The materials that go into the manufacturing of our products and services are sourced from a limited number of suppliers that are expected to adhere to our strict Supplier Code of Conduct and compliance requirements. Additionally, our natural diamonds in particular are subject to our standards and Chain of Custody Protocol, requiring our suppliers to source diamonds that originate from specific mine operators that follow internationally recognized labor, trade, and environmental standards. Similarly, our gold and silver fine jewelry is crafted from repurposed precious metals. Limited supply in the market creates a challenge to source repurposed platinum, so we work with our suppliers to source repurposed platinum when available and from refiners that are known to use repurposed materials in their platinum products. We do not have long-term arrangements with most of our materials suppliers, and disruptions in the supply chain have affected and may in the future affect the availability and cost of repurposed precious metal, Beyond Conflict Free Diamonds™, and other materials used in our products. Additionally, our Beyond Conflict Free™ standards go beyond the Kimberly Process definition of “conflict free” diamonds, which limits our supply of ethically and environmentally sourced diamonds more than other fine jewelers.</w:t>
      </w:r>
    </w:p>
    <w:p>
      <w:pPr>
        <w:spacing w:after="0" w:line="2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addition, the lead times associated with certain materials are lengthy and may impede or preclude rapid changes in design, quantities, and delivery schedules. Our ability to meet increases in demand has been, and may in the future be, impacted by our reliance on the availability of materials. We have in the past and may in the future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supply shortages, and the predictability of the availability of these materials may be limited. In the event of a shortage or interruption of supply of these materials, we may not be able to develop alternate sources in a timely or cost-effective manner. Developing alternate sources of supply for these materials may be time-consuming, difficult, and costly, and we may not be able to source these materials on terms that are acceptable to us, or at all, which may undermine our ability to fill orders in a timely manner. Any interruption or delay in the supply of any of these parts or materials, or the inability to obtain these materials from alternate sources at acceptable prices and within a reasonable amount of time, would harm our ability to timely ship products to our customers.</w:t>
      </w:r>
    </w:p>
    <w:p>
      <w:pPr>
        <w:spacing w:after="0" w:line="21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who meet our compliance standards at an acceptable price. In addition, international supply chains may be impacted by events outside of our control, such as the imposition of tariffs, which may limit our ability to cost-effectively procure timely delivery of supplies or finished goods and services. For example, beginning in the first quarter of 2025, the U.S. imposed additional tariffs on imports from China, announced both reciprocal and sector-specific tariffs on imports from other countries, and may implement new reciprocal tariff rates in the future. Changes and adjustments to tariffs and their implementation or exemptions are expected to occur. Such actions have introduced significant uncertainty into the market. Several of the materials that go into the manufacturing of our products are sourced internationally. We have seen, and may continue to see, increased congestion and/or new import/export restrictions implemented at ports that we rely on for our business. Tariffs have had an impact on our materials costs and have the potential to have an even greater impact depending on the outcome of ongoing and new trade negotiations and actions that the Trump presidential administration may take with respect to international trade and tariff policy and any corresponding actions by other counties with which we do business. Increases in our materials costs could have a material effect on our gross margins. The loss of a significant supplier, an increase in materials costs, or delays or disruptions in the delivery of materials, could adversely impact our ability to generate future net sales and earnings and have an adverse effect on our business, financial condition, and operating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continue to expand showrooms in the U.S., which may expose us to significant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includes opening new showrooms throughout the U.S. There can be no assurance that we will be able to successfully expand or</w:t>
      </w:r>
    </w:p>
    <w:p>
      <w:pPr>
        <w:spacing w:after="0" w:line="2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acquire critical market presence for our brand in new geographical markets in the 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Consumer characteristics and competition in new markets may differ substantially from those in the markets where we currently operate. Additionally, we may be unable to develop brand recognition, successfully market our products, or attract new customers in such markets, and we may be unable to identify appropriate locations in such markets. We face many other challenges in opening additional showrooms in the U.S., including:</w:t>
      </w:r>
    </w:p>
    <w:p>
      <w:pPr>
        <w:spacing w:after="0" w:line="21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selection and availability of and competition for suitable showroom locations;</w:t>
      </w:r>
    </w:p>
    <w:p>
      <w:pPr>
        <w:ind w:left="660" w:right="700" w:hanging="328"/>
        <w:spacing w:after="0" w:line="24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customer traffic due to local economic conditions, increased crime or security concerns, or changes in the desirability of the surrounding retail environment;</w:t>
      </w:r>
    </w:p>
    <w:p>
      <w:pPr>
        <w:spacing w:after="0" w:line="1"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opening of new showrooms upon our prior showrooms in nearby geographies;</w:t>
      </w:r>
    </w:p>
    <w:p>
      <w:pPr>
        <w:spacing w:after="0" w:line="14" w:lineRule="exact"/>
        <w:rPr>
          <w:rFonts w:ascii="Arial" w:cs="Arial" w:eastAsia="Arial" w:hAnsi="Arial"/>
          <w:sz w:val="22"/>
          <w:szCs w:val="22"/>
          <w:color w:val="auto"/>
        </w:rPr>
      </w:pPr>
    </w:p>
    <w:p>
      <w:pPr>
        <w:ind w:left="660" w:hanging="328"/>
        <w:spacing w:after="0" w:line="206"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negotiation of acceptable lease terms;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volatility in construction, tenant improvements, and labor costs;</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strategically picking new markets to expand into;</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placement of showrooms in easily accessible locations with high visibility;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securing required applicable governmental permits and approvals;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impact of natural disasters and other acts of nature and terrorist acts or political instability;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employment, training, and retention of qualified personnel;</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incurrence or assumption of debt to finance acquisitions or improvements and/or the assumption of long-term, non-cancelable leases;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availability of financing on acceptable terms;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and business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Should we not succeed in effectively expanding our showroom footprint, there may be adverse impacts to our growth strategy and to our ability to generate additional sales, profits and cash flows, which in turn could materially and adversely affect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fine jewelry retail industry is highly competitive, and if we do not compete successfully, our business may be adversely impacted.</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operate in a competitive industry. Our primary competitors include global jewelry retailers and brands, department stores, and independent retailers, many of which have an online presence and/or physical stores. In addition, other retail categories and forms of expenditure, such as electronics and travel, also compete for consumers’ discretionary spending, particularly during the holiday gift giving season. The price of fine jewelry relative to other products also influences consumer spending habits for fine jewelry.</w:t>
      </w:r>
    </w:p>
    <w:p>
      <w:pPr>
        <w:spacing w:after="0" w:line="20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Many of our competitors have greater financial and operational resources, longer operating histories,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on advertising. We may be at a substantial disadvantage to larger competitors with greater economies of scale. If our costs are greater than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responsible fine jewelry. These competitors can advantageously leverage this structure to better compete with us, and certain vertically integrated organizations with significant market power could potentially utilize this power to make it more difficult for us to compete. We purchase some of our products from suppliers who are affiliates of our competitors. In addition, if any of our competitors were to consolidate operations, such consolidation could exacerbate these risks.</w:t>
      </w:r>
    </w:p>
    <w:p>
      <w:pPr>
        <w:spacing w:after="0" w:line="21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We may not be able to successfully compete with existing or future competitors. Our inability to respond effectively to competitive pressures, improved performance by our competitors, and changes in the retail markets could result in lost market share and have material adverse effects on our business, financial condition, and results of operations.</w:t>
      </w:r>
    </w:p>
    <w:p>
      <w:pPr>
        <w:spacing w:after="0" w:line="200"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engage or expand our base of customers may be impaired and our business, financial condition, and results of operations may suffer.</w:t>
      </w:r>
    </w:p>
    <w:p>
      <w:pPr>
        <w:spacing w:after="0" w:line="19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Maintaining and enhancing our reputation as an authentic, socially conscious, inclusive, and innovative company is critical to attracting and expanding our relationships with customers. The successful promotion of our brand and the market’s awareness of our products and services will depend on a number of factors, including our marketing efforts, ability to continue to develop our products and services, and ability to successfully differentiate our offerings and customer experiences from those of our competitors. We have invested and expect to continue to invest substantial resources to promote and maintain our brand, but there is no guarantee that our brand development strategies will enhance the recognition of our brand or lead to increased sales. The strength of our brand depends largely on our ability to provide quality products, services, and customer experiences. Brand promotion activities may not yield increased net sales, and even if they do, the increased net sales may not offset the expenses we incur in promoting and maintaining our brand and reputation. In order to protect our brand, we also expend substantial resources to register and defend our trademarks, and to prevent others from using the same or substantially similar marks.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w:t>
      </w:r>
    </w:p>
    <w:p>
      <w:pPr>
        <w:spacing w:after="0" w:line="213"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Unfavorable publicity about our brand or products, including perceived quality, customer service, or privacy practices, whether true or untrue, could also harm our reputation and diminish confidence in, and the popularity of, our products and services. In addition, negative publicity related to key brands with which we have partnered or with our third-party suppliers, including any reputational issues arising from their failure to comply with applicable law, including environmental law, may damage our reputation, even if the publicity is not directly related to us.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brand or reputation could also be adversely impacted if industry organizations were to find we did not or no longer meet their standards or membership criteria. 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results of operations may suffer.</w:t>
      </w:r>
    </w:p>
    <w:p>
      <w:pPr>
        <w:spacing w:after="0" w:line="20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185"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color w:val="auto"/>
        </w:rPr>
        <w:t>Promoting awareness of our products and services is important to our ability to grow our business, and attracting new customers can be costly. Our marketing efforts include traditional media and online advertising, as well as third-party social media platforms as marketing tools. As traditional advertising, online, and social media platforms continue to rapidly evolve or grow more competitive, we must continue to maintain a presence on these platforms and establish a presence on new or emerging popular social media and advertising and marketing platforms.</w:t>
      </w:r>
    </w:p>
    <w:p>
      <w:pPr>
        <w:spacing w:after="0" w:line="21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Many customers locate our platform through internet search engines, such as Google, and advertisements on social networking sites such as Facebook, Instagram and TikTok and online streaming services. If we are listed less prominently or fail to appear in search results or advertisements for any reason, visits to our website could decline significantly, and we may not be able to replace this traffic. If the search engines or advertising partners on which we rely for algorithmic listings modify their algorithms, we may appear less prominently or not at all in search results or advertisements, which could result in reduced traffic to our website that we may not be able to replace. Additionally, if the costs of search engine marketing services, such as Google Words, or the costs of other advertisements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 Furthermore, advertising, social media platforms, search engines, and video streaming services may change their advertising policies from time to time. If any change to these policies delays or prevents us from advertising through these channels, it could result in reduced traffic to our website and sales. If we cannot cost effectively use these marketing tools, if we fail to promote our products and services efficiently and effectively, or if our marketing campaigns attract negative media attention, our business, financial condition, and results of operations may be adversely affected.</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Additionally, changes in regulations could limit the ability of search engines, social media platforms, and other advertising partners, including, but not limited to, Google and Meta,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U.S. Securities and Exchange Commission (the “SEC”) of the type and “aggregate value” of user data used by harvesting companies, such as, but not limited to, Meta, Google, and Amazon, including how net sales is generated by user data and what measures are taken to protect the data. In addition, laws, regulations, and rules around the use of cookies and tracking technologies may limit our ability to effectively reach audiences for marketing. If the costs of advertising on search engines, social media platforms, or other advertising platforms increase, or if</w:t>
      </w:r>
    </w:p>
    <w:p>
      <w:pPr>
        <w:spacing w:after="0" w:line="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legal requirements limit how effectively we can market, we may incur additional marketing expenses or be required to allocate a larger portion of our marketing spend to other channels and our business and operating results could be adversely affected. In addition, governmental entities may enact restrictions on the use or reach of certain platforms that are material to our marketing efforts, which may limit our ability to utilize these channels and may adversely affect our business and operating results.</w:t>
      </w:r>
    </w:p>
    <w:p>
      <w:pPr>
        <w:spacing w:after="0" w:line="20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Our ability to grow our marketing efforts depends to a significant extent on our ability to expand our sales and marketing organization. We plan to continue expanding our sales force and may further expand internationally in the future. We also plan to continue to dedicate significant resources to sales and marketing programs. All of these efforts will require us to invest significant financial and other resources, including in channels and locations in which we have limited experience to date. We may not achieve anticipated net sales growth from expanding our sales force if we are unable to hire, develop, integrate, and retain talented and effective sales personnel, or if our new and existing sales personnel are unable to achieve desired productivity levels in a reasonable period of time.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addition, our efforts to acquire customers through direct marketing may subject us to increased regulatory scrutiny by state regulators pursuant to unfair methods of competition or unfair or deceptive acts or practices laws, which may impact our ability to achieve anticipated net sales growth from increased direct marketing.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negatively affected if we are not successful in managing our inventory balances and inventory shrinkage.</w:t>
      </w:r>
    </w:p>
    <w:p>
      <w:pPr>
        <w:spacing w:after="0" w:line="24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Efficient inventory management is a key component of our business success and profitability. To be successful, we keep our inventory low while still maintaining sufficient inventory levels, both in store and virtually, to meet our customers’ demands without allowing those levels to increase to such an extent that the costs to hold the goods unduly impacts our financial results.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net sales and profitability, and customer dissatisfaction.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damage, or theft and we may experience higher rates of inventory shrinkage or incur increased security costs to combat inventory theft. In addition, any casualty or disruption to our facilities or those of our third-party suppliers may damage or destroy our inventory located there. As we expand our operations, it may be more difficult to effectively manage our inventory, and we may need to maintain higher inventory levels than we have historically, requiring additional cash expenditures for inventory. If we are not successful in managing our inventory balances, it could have a material adverse effect on our business, financial condition, and results of operations.</w:t>
      </w:r>
    </w:p>
    <w:p>
      <w:pPr>
        <w:spacing w:after="0" w:line="208"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sales of our Design Your Own rings. A decline in sales of our Design Your Own rings would negatively affect our business, financial condition, and results of operations.</w:t>
      </w:r>
    </w:p>
    <w:p>
      <w:pPr>
        <w:spacing w:after="0" w:line="199"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8"/>
          <w:szCs w:val="18"/>
          <w:color w:val="auto"/>
        </w:rPr>
        <w:t>We derive a significant portion of our revenue from the sale of our Design Your Own rings. Our fine jewelry is sold in highly competitive markets with limited barriers to entry. Introduction by competitors of comparable products at lower price points, a maturing product lifecycle, a decline in consumer spending, or other factors could result in a material decline in our revenue. Because we derive a significant amount of our revenue from the sale of our Design Your Own rings, any material decline in sales of our Design Your Own rings would have a material adverse impact on our business, financial condition, and operating results.</w:t>
      </w:r>
    </w:p>
    <w:p>
      <w:pPr>
        <w:spacing w:after="0" w:line="22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a short history of operating at our current scale, we may be unable to accurately predict operating results, and may be unable to generate sales growth, profitability and positive cash flow.</w:t>
      </w:r>
    </w:p>
    <w:p>
      <w:pPr>
        <w:spacing w:after="0" w:line="18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Because we have a relatively short operating history at scale, it is difficult for us to predict our future operating results. We will need to generate and sustain increased revenue and manage our costs effectively to sustain profitability. Even if we do, we may not be able to sustain or increase our profitability.</w:t>
      </w:r>
    </w:p>
    <w:p>
      <w:pPr>
        <w:spacing w:after="0" w:line="15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Our ability to generate sales and profit depends on our ability to grow our number of customers and drive operational efficiencies in our business to generate better margins. We expect to incur increased operating costs in the near term in order to:</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increase the engagement of customers;</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drive adoption of our products and services, and increase awareness of our brand, through marketing and other campaigns;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attract and retain qualified personnel to support the expansion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enhance our products and services with new designs and offerings;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invest in our operations to support the growth in our business, including by opening additional showrooms.</w:t>
      </w:r>
    </w:p>
    <w:p>
      <w:pPr>
        <w:spacing w:after="0" w:line="21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We may discover that these initiatives are more expensive than we currently anticipate, and we may not succeed in increasing our net sales sufficiently to offset these expenses or realize the benefits we anticipate. We also face greater compliance costs associated with the increased scope of our business and being a public company. Any failure to adequately increase net sales or manage operating costs could prevent us from sustaining or increasing profitability. As we expand our offerings and our showroom presence, we may be less profitable than we are now. Additionally, we may not realize the operating efficiencies we expect to achieve through our efforts to scale the business, reduce friction in the shopping experience, and optimize costs such as payments to raw material suppliers, payment processing, and customer support. As such, we may not be able to sustain or increase profitability in the near term or at all and the value of our business and the trading price of our Class A common stock may be negatively impacted.</w:t>
      </w:r>
    </w:p>
    <w:p>
      <w:pPr>
        <w:spacing w:after="0" w:line="226"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rely heavily on computer systems, hardware, software, technology infrastructure and online sites and networks for both internal and external operations that are critical to our business (collectively, “IT Systems”) for many critical functions across our operations, including managing our supply chain and inventory, processing customer transactions, our financial accounting and reporting, compensating our employees, and operating our websites. Our ability to effectively manage our business and coordinate the sourcing, distribution, and sale of our products depends significantly on the reliability and capacity of these IT Systems. We also collect, process, and store sensitive and confidential information, including our proprietary business information, trade secrets, and personal information and that of our customers, employees, suppliers, and business partners (collectively, “Confidential Information”). The secure and reliable processing, maintenance, and transmission of this Confidential Information is critical to our operations.</w:t>
      </w:r>
    </w:p>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also rely on third-party providers for a number of our IT Systems, including website services. Although alternative providers could support our business on a substantially similar basis to our current third-party providers, transitioning our current infrastructure to alternative providers could potentially be disruptive, and we could incur significant one-time costs. If we are unable to renew our agreements with our third-party vendors on commercially acceptable terms, our agreements are prematurely terminated, or we add additional website or other third-party vendors, we may experience costs or downtime in connection with the transfer to, or the addition of, new third-party vendors. If our third-party vendors increase the costs of their services, our business, financial condition, or results of operations could be materially and adversely affected.</w:t>
      </w:r>
    </w:p>
    <w:p>
      <w:pPr>
        <w:spacing w:after="0" w:line="21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Our IT Systems may be subject to damage or interruption from power outages or damages, telecommunications problems, data corruption, software errors, network failures, physical or electronic break-ins, acts of war or terrorist attacks, fire, flood and natural disasters, and our existing safety systems, data backup, access protection, user management, and information technology emergency planning may not be sufficient to prevent data loss or long-term network outages. In addition, we may have to upgrade or replace our existing IT Systems or choose to incorporate new technology systems from time to time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 and could result in significant expense. Further, any material disruption or slowdown of our IT Systems or those of our third-party service providers and business partners, could have a material adverse effect on our business, financial condition, and operations.</w:t>
      </w:r>
    </w:p>
    <w:p>
      <w:pPr>
        <w:spacing w:after="0" w:line="21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addition, our IT Systems and those of our third-party service providers and business partners may be vulnerable to data breaches, cyberattacks, phishing, social engineering, ransomware, and other security incidents compromising the confidentiality, integrity, and availability of our IT Systems and Confidential Information, acts of vandalism, computer viruses and malware, malicious code embedded in open-source software, or misconfigurations, "bugs" or other vulnerabilities in commercial software that is integrated into our (or our suppliers' or service providers') IT systems, products or services, errors or malfeasance of personnel, security vulnerabilities in the software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on which we rely, or other similar events. If unauthorized parties gain access to our networks or databases, or those of our third-party service providers or business partners, they may be able to steal, publish, delete, use inappropriately, or modify information we process, including credit card information and personal identification information. While we employ security measures designed to prevent, detect, and mitigate potential for harm from the misuse of user credentials on our network, these measures may not be effective in every instance. Cyberattacks are expected to accelerate on a global basis in frequency and magnitude, and the techniques and tools used to circumvent security (including artificial intelligence) can be highly sophisticated, change frequently, are often not recognized until launched against a target, can originate from a wide variety of sources (including outside groups such as external service providers, organized crime affiliates, terrorist organizations, or hostile foreign governments or agencies), and may originate from less regulated and remote areas around the world. As a result, we may be unable to detect, investigate, remediate or recover from future attacks or incidents or to proactively address all possible techniques or implement adequate preventive measures for all situations. There can also be no assurance that our cybersecurity risk management program and processes, including our policies, controls or procedures, will be fully implemented, complied with or effective in protecting our IT Systems and Confidential Information. Successful cyberattacks that disrupt or result in unauthorized access to third-party IT Systems can materially impact our operations and financial results. Remote and hybrid working arrangements at our company (and at many third-party providers) also increase cybersecurity risks due to the challenges associated with managing remote computing assets and security vulnerabilities that are present in many non-corporate and home networks.</w:t>
      </w:r>
    </w:p>
    <w:p>
      <w:pPr>
        <w:spacing w:after="0" w:line="21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and certain of our third-party providers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21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Moreover, while we maintain cybersecurity insurance that may help provide coverage for these types of incidents, we cannot be certain that our insurance will be adequate to cover costs and liabilities related to these incidents. Any such breach, attack, virus, or other event could result in costly investigations, litigation, and remediation expenses exceeding applicable insurance coverage, civil or criminal penalties, operational changes or other response measures, loss of consumer confidence in our security measures, and negative publicity that could adversely affect our business, financial condition, and results of operations.</w:t>
      </w:r>
    </w:p>
    <w:p>
      <w:pPr>
        <w:spacing w:after="0" w:line="2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If the IT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cybersecurity and the protection of data is increasingly demanding, with the frequent imposition of new and changing requirements across our business. For example, if we are unable to comply with the security standards established by banks and the payment card industry, we may be subject to fines, restrictions, and expulsion from card acceptance programs, which could adversely affect our retail operations. Our business partners may have contractual rights of indemnification against us or seek to terminate our contracts with them in the event that their customer or proprietary business information is released as a result of a breach of our information technology. Security breaches could also expose us to liability under various laws and regulations across jurisdictions and increase the risk of litigation and governmental investigation. Due to concerns about data security and integrity, a growing number of national and international legislative and regulatory bodies have adopted mandatory breach notification and other requirements in the event that information subject to such laws is misused or accessed by unauthorized persons and additional regulations regarding the use, access, accuracy and security of such data are possible. For example, laws in the EU and UK may require businesses to provide notice to individuals whose personal information has been disclosed as a result of a data security breach, and in the United States, we are subject to laws in all states and numerous territories that require notification. Complying with such numerous and complex regulations in the event of unauthorized access or a data security breach would be expensive and difficult, and failure to comply with these regulations could subject us to regulatory scrutiny and additional liability. We may also be contractually required to notify customers or other counterparties of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incident, including a data security breach. Regardless of our contractual protections, any actual or perceived data security breach, or breach of our contractual obligations, could harm our reputation and brand, expose us to potential liability or require us to expend significant resources on data security and in responding to any such actual or perceived breach.</w:t>
      </w:r>
    </w:p>
    <w:p>
      <w:pPr>
        <w:spacing w:after="0" w:line="2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Additionally, under certain regulatory schemes, such as the California Consumer Privacy Act, as subsequently amended by the California Privacy Rights Act (collectively, the “CCPA”), we may be liable for statutory damages on a per breached record basis, irrespective of any actual damages or harm to the individual or significant administrative fines. This means that in the event of a security breach we could face government scrutiny, regulatory fines, remediation costs, or consumer class actions alleging statutory damages amounting to hundreds of millions, and possibly billions of U.S. dollars. We may also be subject to civil claims under foreign laws such as the European Union and U.K. data protection laws, including representative actions and other class action type litigation.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Any of these events could have a significant effect on our business and financial condition. As information security, cybersecurity and data protection laws and regulations change, we may incur additional compliance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adversely impact our business and reputation.</w:t>
      </w:r>
    </w:p>
    <w:p>
      <w:pPr>
        <w:spacing w:after="0" w:line="243"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Investors, employees, customers, governmental and regulatory bodies and other stakeholders are judging companies’ performance on a variety of environmental, social, and governance (“ESG”) matters, which are considered to contribute to the sustainability of companies’ performance.</w:t>
      </w:r>
    </w:p>
    <w:p>
      <w:pPr>
        <w:spacing w:after="0" w:line="189" w:lineRule="exact"/>
        <w:rPr>
          <w:sz w:val="20"/>
          <w:szCs w:val="20"/>
          <w:color w:val="auto"/>
        </w:rPr>
      </w:pPr>
    </w:p>
    <w:p>
      <w:pPr>
        <w:ind w:right="380"/>
        <w:spacing w:after="0" w:line="242" w:lineRule="auto"/>
        <w:rPr>
          <w:sz w:val="20"/>
          <w:szCs w:val="20"/>
          <w:color w:val="auto"/>
        </w:rPr>
      </w:pPr>
      <w:r>
        <w:rPr>
          <w:rFonts w:ascii="Times New Roman" w:cs="Times New Roman" w:eastAsia="Times New Roman" w:hAnsi="Times New Roman"/>
          <w:sz w:val="18"/>
          <w:szCs w:val="18"/>
          <w:color w:val="auto"/>
        </w:rPr>
        <w:t>A variety of organizations measure the performance of companies on ESG topics, and the results of these assessments are publicized. In addition, investment in funds that specialize in companies that perform well in such assessments are increasingly popular, and major institutional investors have publicly emphasized the importance of ESG measures to their investment decisions with some relying on proprietary or third-party ESG</w:t>
      </w:r>
    </w:p>
    <w:p>
      <w:pPr>
        <w:spacing w:after="0" w:line="1"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ratings to measure the performance of companies on ESG topics. Such topics considered may include, among others, the company’s efforts and impacts, including impacts associated with our suppliers or other partners, on climate change and human rights, ethics and compliance with law, human capital management, and the role of the Board.</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There can be no certainty that we will manage such issues successfully, or that we will successfully meet society’s varied expectations as to our proper role or our own ESG goals and values, including in respect of our diamond sourcing standards. Both advocates and opponents to ESG strategies may also resort to a range of activism forms, including media campaigns, shareholder activism, and litigation to advance their perspectives. This could lead to risk of litigation or reputational damage relating to our ESG policies or performance. As we continue to focus on developing ESG practices, and as investor and other stakeholder expectations, voluntary and regulatory ESG disclosure standards and policies continue to evolve, we have made disclosures in these areas. Such disclosures may reflect aspirational goals, targets, and other expectations and assumptions, which are necessarily uncertain and may not be realized. Standards for tracking and reporting ESG matters continue to evolve, and the lack of an established single approach to identifying, measuring, and reporting on many ESG matters may create uncertainty and ambiguities. The voluntary disclosure frameworks and standards we select, and the interpretation or application of those frameworks and standards, may be subject to change and may be different from our peers. Further, the methodologies we use for reporting ESG data may be updated and our previously reported ESG data may be adjusted to reflect improvements in data that is available to us, changing assumptions, changes in our operations and other changes in circumstances. Failure to realize (or timely achieve progress on) our aspirational goals and targets could adversely affect our third-party ESG ratings, our reputation, or otherwise adversely affect our business and operating results.</w:t>
      </w:r>
    </w:p>
    <w:p>
      <w:pPr>
        <w:spacing w:after="0" w:line="207"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In addition, various authorities have imposed, and may continue to impose, mandatory substantive and/or disclosure requirements with respect to ESG matters. For example, we may be subject to the requirements of the European Union Corporate Sustainability Reporting Directive (“CSRD”) and its implementing laws and regulations and other directives, regulations, disclosure requirements (such as information on greenhouse gas emissions, climate-related financial risks, use of offsets, and emissions reduction claims) such as the State of California's climate rules,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other regulations or requirements. Notably, the CSRD has extra-territorial reach both directly (for in-scope companies) and indirectly, as companies in the value chains of in-scope companies may be asked to provide relevant data if there are in-scope entities in their value chains. Such disclosure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“organic”, “recyclable” or similar language in product marketing. Any of the foregoing may require us to make additional investments in facilities and equipment, require us to incur additional costs for the collection of data and/or preparation of disclosures and associated internal controls, may impact the availability and cost of key raw materials used in the production of our products or the demand for our products, and, in turn, may adversely impact our business, operating results, and financial condition. Additionally, many of our suppliers and business partners may be subject to similar requirements, which may augment or create additional risks, including risks that may not be known to us.</w:t>
      </w:r>
    </w:p>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Further, our emphasis on ESG issues may not maximize short-term financial results and may yield financial results that conflict with the market’s expectations. We have and may in the future make business decisions that may reduce our short-term financial results if we believe that the decisions are consistent with our ESG goals, which we believe will improve our financial results over the long term. These decisions may not be consistent with the short-term expectations of our stockholders and may not produce the long-term benefits that we expect, in which case our business, financial condition, and operating results could be harmed. Finally, it is also possible that opinions regarding companies like ours that emphasize ESG may shift in a way that reduces the perceived value of such companies to investors, employees, customers, and other stakeholders, changing their perception of the value of our company, including as a result of anti-ESG and anti-inclusivity-related policies, legislation, initiatives, litigation, legal opinions, and scrutiny which have gained momentum across the U.S. in recent years. Certain jurisdictions have considered adopting laws to limit ESG initiatives in certain contexts, and anti-ESG advocates, including state attorneys general, have brought legal challenges regarding corporate climate initiatives and commitments. To the extent we are subject to such challenges, it may harm our reputation, require us to incur additional costs or otherwise adversely affect our business.</w:t>
      </w:r>
    </w:p>
    <w:p>
      <w:pPr>
        <w:spacing w:after="0" w:line="22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e-commerce and omnichannel business face distinct risks, and our failure to successfully manage those risks could have a negative impact on our sales and profitability.</w:t>
      </w:r>
    </w:p>
    <w:p>
      <w:pPr>
        <w:spacing w:after="0" w:line="171"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the efficient and uninterrupted operation of our order-taking and fulfillment operations. Risks associated with our e-commerce and omnichannel business include:</w:t>
      </w:r>
    </w:p>
    <w:p>
      <w:pPr>
        <w:spacing w:after="0" w:line="248" w:lineRule="exact"/>
        <w:rPr>
          <w:sz w:val="20"/>
          <w:szCs w:val="20"/>
          <w:color w:val="auto"/>
        </w:rPr>
      </w:pPr>
    </w:p>
    <w:p>
      <w:pPr>
        <w:ind w:left="660" w:right="100" w:hanging="328"/>
        <w:spacing w:after="0" w:line="230"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uncertainties associated with our technology platforms and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in internet service or power outages;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reliance on third parties for computer hardware and software, as well as delivery of merchandise to our customers;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rapid technological changes;</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credit or debit card fraud and other payment processing related issues;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applicable federal, state, and international regulations;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liability for online content;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cybersecurity and data privacy concerns and regulations;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natural disasters or adverse weather conditions, exacerbated by climate change.</w:t>
      </w:r>
    </w:p>
    <w:p>
      <w:pPr>
        <w:spacing w:after="0" w:line="21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addition, we must keep up to date with competitive technology trends, including the use of new or improved technology, creative user interfaces, virtual and augmented reality, and other e-commerce marketing tools such as paid search and mobile applications (“apps”), and social media platforms, among others, which may increase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costs and may not increase sales or attract customers.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20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continued success depends on our ability to anticipate and respond in a timely and cost-effective manner to changes in consumer preferences for jewelry, natural and lab-grown diamonds and gemstones in particular, and other luxury goods, as well as attitudes towards the global jewelry industry as a whole, and the manner and locations in which consumers purchase such goods. Our business is subject to rapidly changing consumer preferences and future sales may suffer if the consumer preferences shift away from our product offerings or styles. Changes in fashion could also affect the popularity and, therefore, the value of engagement rings and fine jewelry designs and products as well as diamonds and gemstones. Any event or circumstance resulting in reduced market acceptance of one or more of our designs or offerings could reduce our sales. Unanticipated shifts in consumer preferences may also result in excess inventory. Consumer tastes cannot be predicted with certainty and are subject to change, which is compounded by the expanding use of digital and social media by consumers and the speed by which information and opinions are shared. Our product development strategy is to introduce new design collections, primarily jewelry, and/or expand certain existing collections regularly. If we are unable to anticipate and respond in a timely and cost-effective manner to changes in consumer preferences and shopping patterns, including the development of an engaging omnichannel experience for our customers, our sales and profitability could be adversely affected.</w:t>
      </w:r>
    </w:p>
    <w:p>
      <w:pPr>
        <w:spacing w:after="0" w:line="214"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results of operations have varied, and in the future,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251" w:lineRule="exact"/>
        <w:rPr>
          <w:sz w:val="20"/>
          <w:szCs w:val="20"/>
          <w:color w:val="auto"/>
        </w:rPr>
      </w:pPr>
    </w:p>
    <w:p>
      <w:pPr>
        <w:ind w:left="660" w:right="60" w:hanging="328"/>
        <w:spacing w:after="0" w:line="227"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accurately forecast net sales and appropriately plan our expenses, capital expenditures and our ability to accurately plan and manage our working capital needs, including expenditures on inventory;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size and effectiveness of our marketing efforts;</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and success of new product introductions by us or our competitors or any other change in the competitive landscape of our market;</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successful expansion into new markets;</w:t>
      </w:r>
    </w:p>
    <w:p>
      <w:pPr>
        <w:spacing w:after="0" w:line="12" w:lineRule="exact"/>
        <w:rPr>
          <w:rFonts w:ascii="Times New Roman" w:cs="Times New Roman" w:eastAsia="Times New Roman" w:hAnsi="Times New Roman"/>
          <w:sz w:val="22"/>
          <w:szCs w:val="22"/>
          <w:color w:val="auto"/>
        </w:rPr>
      </w:pPr>
    </w:p>
    <w:p>
      <w:pPr>
        <w:ind w:left="660" w:right="620" w:hanging="328"/>
        <w:spacing w:after="0" w:line="226"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financial accounting standards and the interpretation of those standards, which may affect the way we recognize and report our financial results;</w:t>
      </w: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internal controls;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seasonality of our business;</w:t>
      </w:r>
    </w:p>
    <w:p>
      <w:pPr>
        <w:spacing w:after="0" w:line="14"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business or macroeconomic conditions, lower consumer spending, recessionary conditions, increased inflation, increased interest rates, increased unemployment rates, stagnant or declining wages, political unrest, armed conflicts, or natural disasters; and</w:t>
      </w: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collect payments from customers on a timely basis.</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 Additionally, the variability and unpredictability of our quarterly operating results could result in our failure to meet our expectations or those of analysts that cover us or investors with respect to revenue or other operating results for a particular period. If we fail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meet or exceed such expectations, the market price of our Class A common stock could fall substantially,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Refunds, cancellations, and warranty claims could harm our business.</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allow our customers to return our products, subject to our refund policy, which generally allows customers to return our products within the first 30 days of when a purchase is available for shipment or pickup and receive a full refund or an exchange. At the time of sale, we establish a reserve for returns, based on historical experience and expected future returns, which is recorded as a reduction of sales. If we experience a substantial increase in refunds, our cancellation reserve levels might not be sufficient and our business, financial condition, and results of operations could be harmed.</w:t>
      </w:r>
    </w:p>
    <w:p>
      <w:pPr>
        <w:spacing w:after="0" w:line="208"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In addition, we generally offer one complimentary resizing within 60 days of when a purchase is available for shipment or pickup, regardless of sizing range, and within 1 year within sizing range. We could incur significant costs to honor this guarantee.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theft, loss, or damage to our products from inventory or during shipment.</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We have experienced and may continue to experience theft, loss, or damage to our products during the course of shipment to our customers by third-party shipping carriers or from our inventory. Additionally, as of December 31, 2025, we had 42 showrooms and one operations center across the U.S. While our showrooms differ from traditional retailers in that they do not stock significant amounts of inventory to sell to consumers, they do have some products on display, and we allow customers to pick-up and return products purchased online in- store. We have taken steps to prevent loss of damage to and theft of our products. However, if operational or security measures fail, losses exceed our insurance coverage or we are not able to maintain insurance at a reasonable cost, we could incur significant losses from theft, loss or damage which would substantially harm our business and results of operations.</w:t>
      </w:r>
    </w:p>
    <w:p>
      <w:pPr>
        <w:spacing w:after="0" w:line="207"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201F1E"/>
        </w:rPr>
        <w:t>Russia’s invasion of Ukraine, and the military, political, and economic impacts of the conflict there, could have a material adverse effect on our operations and financial condition.</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February 2022, Russian military forces launched a major assault against Ukraine, and sustained conflict, instability, and disruption in the region is continuing. In response to the Russian military action, the U.S., Canada, the United Kingdom, the European Union, and others -imposed sanctions against government officials, companies, individuals, regions, and industries in Russia, Ukraine, and Belarus. On March 11, 2022, the U.S. announced sanctions on multiple products of Russian origin, including diamonds. In December 2023, the European Union and the Group of Seven nations announced additional sanctions and import restrictions on diamonds that are mined, processed or produced in Russia. Effective March 1, 2024, the U.S. Department of the Treasury’s Office of Foreign Assets Control (“OFAC”) issued a Diamonds Determination which prohibits the importation of non-industrial diamonds that were mined, extracted, produced, or manufactured wholly or in part in the Russian Federation with a weight of 1.0 carat or greater, even if such diamonds have been substantially transformed into other products outside of the Russian Federation. This was further tightened to restrict diamonds with a weight above 0.5 carats as of September 1, 2024. These sanctions and related enforcement regimes remain in effect as of 2025, and additional restrictions or enforcement actions could be imposed. Additionally, OFAC also issued a Diamond Jewelry and Unsorted Diamonds Determination which prohibits the importation and entry into the U.S. of diamond jewelry and unsorted diamonds of Russian Federation origin, as well as diamond jewelry and unsorted diamonds that were exported from the Russian Federation. Because approximately 30% of the world’s rough diamonds are of Russian origin, these sanctions and import restrictions limiting or prohibiting the importation of Russian diamonds could negatively affect the worldwide supply of diamonds. A</w:t>
      </w:r>
    </w:p>
    <w:p>
      <w:pPr>
        <w:spacing w:after="0" w:line="1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reduction in the supply of diamonds could result in increased prices for diamonds, which, in turn, could have a material adverse effect on our operations in the form of increased costs for us and potentially lower margins. It remains unclear what impact the conflict and sanctions have on consumer demand for diamond jewelry. We have no way to predict the outcome of the situation in Ukraine, as the conflict and governmental responses are evolving and are beyond our control. Further escalation of the military conflict, more extensive sanctions, and instability impacting the region each could have a material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 addition, as a result of the ongoing conflict between Russia and Ukraine, we may experience other risks, difficulties and challenges in the way we conduct our business and operations generally. For example, there may be an increased risk of cybersecurity attacks due to the current conflict between Russia and Ukraine, including cybersecurity attacks perpetrated by Russia or others at its direction in response to economic sanctions and other actions taken against Russia as a result of its invasion of Ukraine. Any increase in such attacks on us or our third-party providers or other systems could adversely affect our network systems or other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continue to expand into international markets, which will expose us to significant risks.</w:t>
      </w:r>
    </w:p>
    <w:p>
      <w:pPr>
        <w:spacing w:after="0" w:line="243"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As we expand our operations to other countries, significant resources and management attention is required and doing so subjects us to regulatory, economic, and political risks in addition to those we already face in the U.S., Canada, Australia, and the United Kingdom. There are significant risks and costs inherent in doing business in international markets, including:</w:t>
      </w:r>
    </w:p>
    <w:p>
      <w:pPr>
        <w:spacing w:after="0" w:line="251" w:lineRule="exact"/>
        <w:rPr>
          <w:sz w:val="20"/>
          <w:szCs w:val="20"/>
          <w:color w:val="auto"/>
        </w:rPr>
      </w:pPr>
    </w:p>
    <w:p>
      <w:pPr>
        <w:ind w:left="660" w:right="5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difficulty establishing and managing international operations and the increased operations, travel, infrastructure, including establishment of showrooms and customer service operations, and legal compliance costs associated with locations in different countries or regions;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need to vary pricing and margins to effectively compete in international markets;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need to adapt and localize products for specific countries;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competition from local providers of similar products and services;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varying degrees of consumer acceptance of e-commerce and omnichannel business, specifically of fine jewelry;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challenges in obtaining, maintaining, protecting, and enforcing intellectual property rights abroad;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potentially higher marketing customer support, payment processing, order fulfillment and other operational costs;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need to offer content and customer support in various languages;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for fraud mitigation;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understanding and complying with local laws, regulations, and customs in other jurisdictions;</w:t>
      </w:r>
    </w:p>
    <w:p>
      <w:pPr>
        <w:spacing w:after="0" w:line="14" w:lineRule="exact"/>
        <w:rPr>
          <w:rFonts w:ascii="Arial" w:cs="Arial" w:eastAsia="Arial" w:hAnsi="Arial"/>
          <w:sz w:val="22"/>
          <w:szCs w:val="22"/>
          <w:color w:val="auto"/>
        </w:rPr>
      </w:pPr>
    </w:p>
    <w:p>
      <w:pPr>
        <w:ind w:left="660" w:right="480" w:hanging="328"/>
        <w:spacing w:after="0" w:line="218"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anti-bribery laws, such as the U.S. Foreign Corrupt Practices Act (“FCPA”), and the U.K. Bribery Act 2010 (“U.K. Bribery Act”), by us, our employees, and our business partners;</w:t>
      </w:r>
    </w:p>
    <w:p>
      <w:pPr>
        <w:spacing w:after="0" w:line="8" w:lineRule="exact"/>
        <w:rPr>
          <w:rFonts w:ascii="Arial" w:cs="Arial" w:eastAsia="Arial" w:hAnsi="Arial"/>
          <w:sz w:val="22"/>
          <w:szCs w:val="22"/>
          <w:color w:val="auto"/>
        </w:rPr>
      </w:pPr>
    </w:p>
    <w:p>
      <w:pPr>
        <w:ind w:left="660" w:right="640" w:hanging="328"/>
        <w:spacing w:after="0" w:line="230"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complexity and other risks associated with current and future legal requirements in other countries, including legal requirements related to consumer protection, consumer product safety, and data privacy frameworks, such as the Personal Information Protection and Electronic Documents Act (“PIPEDA”), the U.K. Data Protection Act, and the U.K. and EU General Data Protection Regulations;</w:t>
      </w: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varying levels of internet technology adoption and infrastructure, and increased or varying network and hosting service provider costs;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tariffs and other non-tariff barriers, such as quotas and local content rules;</w:t>
      </w:r>
    </w:p>
    <w:p>
      <w:pPr>
        <w:spacing w:after="0" w:line="14" w:lineRule="exact"/>
        <w:rPr>
          <w:rFonts w:ascii="Arial" w:cs="Arial" w:eastAsia="Arial" w:hAnsi="Arial"/>
          <w:sz w:val="22"/>
          <w:szCs w:val="22"/>
          <w:color w:val="auto"/>
        </w:rPr>
      </w:pPr>
    </w:p>
    <w:p>
      <w:pPr>
        <w:ind w:left="660" w:right="380" w:hanging="328"/>
        <w:spacing w:after="0" w:line="225"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and potentially adverse tax laws, including resulting from the complexities of foreign corporate income tax systems, value added tax (“VAT”) regimes, tax withholding rules, duties and other indirect taxes, tax collection or remittance obligations;</w:t>
      </w:r>
    </w:p>
    <w:p>
      <w:pPr>
        <w:spacing w:after="0" w:line="8" w:lineRule="exact"/>
        <w:rPr>
          <w:rFonts w:ascii="Arial" w:cs="Arial" w:eastAsia="Arial" w:hAnsi="Arial"/>
          <w:sz w:val="22"/>
          <w:szCs w:val="22"/>
          <w:color w:val="auto"/>
        </w:rPr>
      </w:pPr>
    </w:p>
    <w:p>
      <w:pPr>
        <w:ind w:left="660" w:right="1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 and the requirements of currency control regulations, which might restrict or prohibit conversion of other currencies into U.S. dollars;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political or social unrest or economic instability in a specific country or region in which we operate.</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have limited experience with international regulatory and business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Our failure to successfully manage these risks could harm our international operations and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could decline due to changes in credit markets and decisions made by credit providers.</w:t>
      </w:r>
    </w:p>
    <w:p>
      <w:pPr>
        <w:spacing w:after="0" w:line="2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Some of our customers finance their purchase of our products through third-party financing providers. If we are unable to maintain our relationships with our third-party financing providers, there is no guarantee that we will be able to find replacement partners who will provide our customers with financing on similar terms, and our ability to sell our products may be adversely affected. Further, reductions in consumer lending and the availability of consumer credit could limit the number of customers with the financial means to purchase our products. Higher interest rates or other factors could increase our costs or the monthly payments for consumer products financed through other sources of consumer financing. We also offer layaway payments for both U.S. and international customers. After an initial deposit, our layaway plan allows customers to make monthly payments on any purchase. There is a risk that if credit is extended to consumers during times when economic conditions are strong, and then economic conditions subsequently deteriorate, consumers may not meet their then-current payment obligations.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seasonality and any negative impact on consumer spending during peak shopping quarters could materially adversely affect our business, financial condition and results of operations.</w:t>
      </w:r>
    </w:p>
    <w:p>
      <w:pPr>
        <w:spacing w:after="0" w:line="171"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7"/>
          <w:szCs w:val="17"/>
          <w:color w:val="auto"/>
        </w:rPr>
        <w:t>A larger share of annual revenues traditionally occurs in the fourth quarter because it includes the November and December holiday sales period. Any adverse changes in the economy and other negative impacts on discretionary spending by consumers during peak shopping quarters could unfavorably</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impact sales and earnings to a greater extent than during other times of the year. Due to this seasonality, our ability to compensate for shortfalls in fourth quarter sales or earnings in other quarters, or to recover from any extensive disruption in sales or showroom activity during the days leading up to Christmas, for example, is limited. In addition, in order to prepare for our peak shopping quarters, we must increase the staffing at our showrooms and order and keep in stock more merchandise than we carry during other parts of the year. This staffing increase and inventory build-up may require us to expend cash faster than is generated by our operations during these periods. We may be unable to increase staffing levels to meet our requirements, and additional staff may not perform at the levels required to support our business. Any unanticipated decrease in demand for our products during such a period could require us to sell excess inventory at a substantial markdown, which could have a material adverse effect on our business, financial condition, and results of operations.</w:t>
      </w:r>
    </w:p>
    <w:p>
      <w:pPr>
        <w:spacing w:after="0" w:line="2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depend on highly skilled personnel to grow and operate our business, and if we are unable to hire, retain, and motivate our personnel, we may not be able to grow effectively.</w:t>
      </w:r>
    </w:p>
    <w:p>
      <w:pPr>
        <w:spacing w:after="0" w:line="19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including our Co-Founders, Beth Gerstein and Eric Grossberg. From time to time, there may be changes in our executive management team resulting from the hiring or departure of these personnel.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w:t>
      </w:r>
    </w:p>
    <w:p>
      <w:pPr>
        <w:spacing w:after="0" w:line="2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In addition, our future success will depend, in part, upon our continued ability to identify and hire skilled personnel with the skills and technical knowledge that we require, including engineering, software design and programming, jewelry design, marketing, sales, and other key management personnel. Such efforts will require significant time, expense, and attention as there is intense competition for such individuals, particularly in the Denver and San Francisco areas, and new hires require significant training and time before they achieve full productivity, particularly for new products and territories. In addition to hiring new employees, we must continue to focus on developing, motivating, and retaining our best employees, all of whom are at-will employees. If we fail to identify, recruit, and integrate strategic personnel hires, our business, financial condition, and results of operations could be adversely affected.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are not able to effectively add and retain employees, our ability to achieve our strategic objectives will be adversely impacted, and our business and future growth prospects will be harmed.</w:t>
      </w:r>
    </w:p>
    <w:p>
      <w:pPr>
        <w:spacing w:after="0" w:line="204" w:lineRule="exact"/>
        <w:rPr>
          <w:sz w:val="20"/>
          <w:szCs w:val="20"/>
          <w:color w:val="auto"/>
        </w:rPr>
      </w:pPr>
    </w:p>
    <w:p>
      <w:pPr>
        <w:jc w:val="both"/>
        <w:ind w:right="8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services and grow our business in response to changing technologies, customer demands, and competitive pressures. In some circumstances, we may choose to expand our services and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addition, once we have completed an acquisition, we may not be able to successfully integrate the acquired business. The risks we face in connection with acquisitions include:</w:t>
      </w:r>
    </w:p>
    <w:p>
      <w:pPr>
        <w:spacing w:after="0" w:line="252" w:lineRule="exact"/>
        <w:rPr>
          <w:sz w:val="20"/>
          <w:szCs w:val="20"/>
          <w:color w:val="auto"/>
        </w:rPr>
      </w:pPr>
    </w:p>
    <w:p>
      <w:pPr>
        <w:ind w:left="660" w:right="60" w:hanging="328"/>
        <w:spacing w:after="0" w:line="231"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may not generate sufficient financial return to offset additional costs and expenses related to the acquisition, or may not perform as well financially as expected;</w:t>
      </w:r>
    </w:p>
    <w:p>
      <w:pPr>
        <w:spacing w:after="0" w:line="9" w:lineRule="exact"/>
        <w:rPr>
          <w:rFonts w:ascii="Arial" w:cs="Arial" w:eastAsia="Arial" w:hAnsi="Arial"/>
          <w:sz w:val="22"/>
          <w:szCs w:val="22"/>
          <w:color w:val="auto"/>
        </w:rPr>
      </w:pPr>
    </w:p>
    <w:p>
      <w:pPr>
        <w:ind w:left="660" w:right="46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encounter difficulties or unforeseen expenditures in integrating the business, offerings, technologies, personnel, or operations of any company that we acquire, particularly if key personnel of the acquired company decide not to work for us;</w:t>
      </w:r>
    </w:p>
    <w:p>
      <w:pPr>
        <w:spacing w:after="0" w:line="10" w:lineRule="exact"/>
        <w:rPr>
          <w:rFonts w:ascii="Arial" w:cs="Arial" w:eastAsia="Arial" w:hAnsi="Arial"/>
          <w:sz w:val="22"/>
          <w:szCs w:val="22"/>
          <w:color w:val="auto"/>
        </w:rPr>
      </w:pPr>
    </w:p>
    <w:p>
      <w:pPr>
        <w:ind w:left="660" w:right="58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 from other business concerns;</w:t>
      </w:r>
    </w:p>
    <w:p>
      <w:pPr>
        <w:spacing w:after="0" w:line="10" w:lineRule="exact"/>
        <w:rPr>
          <w:rFonts w:ascii="Arial" w:cs="Arial" w:eastAsia="Arial" w:hAnsi="Arial"/>
          <w:sz w:val="22"/>
          <w:szCs w:val="22"/>
          <w:color w:val="auto"/>
        </w:rPr>
      </w:pPr>
    </w:p>
    <w:p>
      <w:pPr>
        <w:ind w:left="660" w:right="22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use of cash to pay for an acquisition would limit other potential uses for our cash;</w:t>
      </w:r>
    </w:p>
    <w:p>
      <w:pPr>
        <w:spacing w:after="0" w:line="14" w:lineRule="exact"/>
        <w:rPr>
          <w:rFonts w:ascii="Arial" w:cs="Arial" w:eastAsia="Arial" w:hAnsi="Arial"/>
          <w:sz w:val="22"/>
          <w:szCs w:val="22"/>
          <w:color w:val="auto"/>
        </w:rPr>
      </w:pPr>
    </w:p>
    <w:p>
      <w:pPr>
        <w:ind w:left="660" w:right="600" w:hanging="328"/>
        <w:spacing w:after="0" w:line="225"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if we incur debt to fund such acquisition, such debt may subject us to material restrictions on our ability to conduct our business, as well as financial maintenance covenants; and</w:t>
      </w:r>
    </w:p>
    <w:p>
      <w:pPr>
        <w:spacing w:after="0" w:line="8" w:lineRule="exact"/>
        <w:rPr>
          <w:rFonts w:ascii="Arial" w:cs="Arial" w:eastAsia="Arial" w:hAnsi="Arial"/>
          <w:sz w:val="22"/>
          <w:szCs w:val="22"/>
          <w:color w:val="auto"/>
        </w:rPr>
      </w:pPr>
    </w:p>
    <w:p>
      <w:pPr>
        <w:ind w:left="660" w:right="16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w:t>
      </w: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occurrence of any of these foregoing risks could adversely affect our business, financial condition, and results of operations, and expose us to unknown risks or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4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fund our operations primarily through revenue generated from our products and services and equity financings. We cannot be certain that our operations will continue to generate sufficient cash to fully fund our ongoing operations and the growth of our business. We intend to continue to make investments to support the development of our products and services and will require additional funds for such development. We may need additional funding for marketing expenses and to develop and expand sales resources, develop new features or enhance our products and services, improve our operating infrastructure, support our operations, or acquire complementary businesses and technologies. Accordingly, we might need or may want to engage in future equity or debt financings to secure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Any potential future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9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Additional financing may not be available on terms favorable to us, if at all and, due to market conditions, we may be unable to access or experience delays in accessing our existing credit facilities. If adequate funds are not available on acceptable terms, we may be unable to invest in future growth opportunities, which could harm our business, financial condition, and results of operations. If we are unable to obtain adequate financing or financing on terms satisfactory to us or access our existing credit facilities, our ability to develop our products and services, support our business growth, and respond to business challenges could be significantly impaired, and our business may be adversely affected.</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n addition, the Company maintains the majority of its cash and cash equivalents in accounts with major financial institutions, and our deposits at certain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climate change and related regulatory, customer, and investor responses may adversely impact our business.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intensifying effects of climate change present physical, liability, and transition risks with both macro and micro implications for companies and financial markets. There is increasing concern that a gradual increase in global average temperatures due to increased concentration of carbon dioxide and other greenhouse gases in the atmosphere is causing significant changes in weather patterns around the globe and an increase in the frequency and severity of natural disasters. Changes in weather patterns and an increased frequency, intensity and duration of extreme weather events (such as floods, droughts, hurricanes, earthquakes, wildfires, and severe storms) could, among other things, disrupt the operation of our supply chain and retail operations and foot traffic at our showrooms, damage or destroy our showrooms, cause shipping delays, and increase our product costs. In addition, natural disasters such as hurricanes, tornadoes, earthquakes, or wildfires, or a combination of these or other factors, could damage or destroy our facilities or make it difficult for the sales force or customers to travel to our showrooms, thereby negatively affecting our business and results of operations. Such events have the potential to disrupt our operations, cause showroom closures, disrupt the business of our suppliers and impact our customers and workforce, all of which may cause us to suffer losses and additional costs to maintain or resume operations. As a result, the effects of climate change could have an adverse impact on our business and results of operations. The Company’s failure to identify climate and other environmental risks, to mitigate these risks, or to meet consumer expectations regarding sustainability may adversely affect our ability to attract and retain top talent, negatively impact our reputation and consumer loyalty, disrupt our supply chain, and result in lost sales and profits. In addition, implementing changes to mitigate these risks may result in substantial short and long-term additional operational expenses, which may materially affect our profitability and have other unanticipated material adverse effects.</w:t>
      </w:r>
    </w:p>
    <w:p>
      <w:pPr>
        <w:spacing w:after="0" w:line="21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In many countries, governmental bodies are increasingly enacting legislation and regulations in response to the potential impacts of climate change. These laws and regulations, which may be mandatory, have the potential to impact our operations directly or indirectly as a result of required compliance by our suppliers. For example, governmental authorities in various countries have proposed, and are likely to continue to propose, legislation and regulation to reduce or mitigate the impacts of climate change, or to require substantial disclosures regarding the same. Various countries and regions are following different approaches to the regulation of climate change, as well as climate-related disclosures, which could increase the complexity of, and potential cost related to complying with; such regulations. For more detail, see our risk factor titled “Environmental, social, and governance matters may adversely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our business and reputation.” As we may take steps to voluntarily mitigate our impact on climate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change and other ESG issues, we may experience increases in energy and transportation costs, operating expenses, capital expenditures, insurance premiums and deductibles, and other unforeseen adverse effects.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or conduct business. As a result, we may not be able to accurately assess or predict the potential impact, if any, that such legislation, regulations, or industry standards may have on our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3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19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regulatory or judicial fines, sanctions or corrective measures, while incurring substantial legal fees and costs. In addition, our capital expenditures could increase due to remediation measures that may be required if we are found to be noncompliant with any existing or future laws or regulations.</w:t>
      </w:r>
    </w:p>
    <w:p>
      <w:pPr>
        <w:spacing w:after="0" w:line="21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Further, the Federal Trade Commission (“FTC”) has authority to investigate and prosecute practices that constitute “unfair trade practices,” “deceptive trade practices” or “unfair methods of competition.” State attorneys general as well as regulators in international jurisdictions typically have comparable authority, and many states and international jurisdictions also permit private plaintiffs to bring actions on the basis of these or similar laws. Federal, state and international consumer protection laws and regulations may apply to our operations and retail offers.</w:t>
      </w:r>
    </w:p>
    <w:p>
      <w:pPr>
        <w:spacing w:after="0" w:line="20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Our transactions with suppliers and other parties outside the U.S. may subject us to FCPA, U.S. export controls, including the Export Administration Regulations, and trade sanction laws, and similar anti-corruption, anti-bribery, and international trade laws, any violation of which could create substantial liability for us and also harm our reputation. Our operations may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philanthropic endeavors, we must also comply with additional federal, state, and local tax and other laws and regulations.</w:t>
      </w:r>
    </w:p>
    <w:p>
      <w:pPr>
        <w:spacing w:after="0" w:line="212"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0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brand, proprietary designs, technology, and know-how. We rely on a variety of mechanisms to protect our intellectual property rights, including trademark and copyright laws, design patent laws, trade secret protection, domain name registration, confidentiality agreements, and other contractual arrangements with our employees, affiliates, clients, strategic partners, and others. However, the protective steps we have taken and plan to take may be inadequate to deter infringement, misappropriation or other violations of our intellectual property, proprietary designs, technology, know-how, and our brand. We may not learn of, or may be unable to detect, the unauthorized use of our intellectual property rights. Even if we are able to detect unauthorized uses, we nevertheless may be unable to effectively enforce our intellectual property rights. Effective intellectual property protection may not be available to us or available in every jurisdiction in which we offer or may offer our products and services. Failure to adequately protect our intellectual property could harm our brand, devalue our proprietary designs, technology, and other intellectual property, and adversely affect our ability to compete effectively.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defending our intellectual property rights could result in the expenditure of significant financial resources and divert attention of management, which could adversely affect our business, financial condition, and results of operations.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If we fail to protect our intellectual property rights adequately, our competitors may exploit our intellectual property and develop and commercialize substantially identical products and we may lose an important advantage in the markets in which we compete. In addition, defending our intellectual property rights might entail significant expense. Any trademarks, copyrights, patents, or other intellectual property rights that we have or may obtain may be challenged or circumvented by others or invalidated or held unenforceable through administrative processes, including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and derivation proceedings, and equivalent proceedings in foreign jurisdictions (e.g., opposition proceedings), or litigation. Any challenge to our intellectual property rights could result in them being narrowed in scope or declared invalid or unenforceable. We do not currently own any issued patents, and even if we seek patent protection in the future, we may be unable to obtain or maintain such protection. In addition, any patents issued from future patent applications or licensed to us in the future may not provide us with competitive advantages or may be successfully challenged by third parties. Further, the laws of some foreign countries may not be as protective of intellectual property rights as those in the U.S., and mechanisms for enforcement of intellectual property rights in those countries may be inadequate. Moreover, policing unauthorized use of our technologies, trade secrets, and intellectual property may be difficult, expensive, and time-consuming. Despite our precautions, it may be possible for unauthorized third parties to copy our offerings and capabilities and use information that we regard as proprietary to create offerings that compete with ours. If our trademarks and trade names are not adequately protected, then we may not be able to build name recognition in our markets of interest and our business may be adversely affected.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2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or may have developed intellectual property on our behalf. Moreover, no assurance can be given that these agreements will be effective in controlling access to our proprietary information or the distribution, use, misuse, misappropriation, reverse engineering, or disclosure of our proprietary information, know-how, and trade secrets. Invention assignment agreements may not be self-executing, further any of these agreements may be breached, and we may not have adequate remedies for breaches of the confidentiality, invention assignment, or other agreements. Additionally, we may be subject to claims that our employees misappropriated relevant rights from their previous employers. Further, these agreements may not prevent our competitors from independently developing technologies that are substantially equivalent or superior to our offerings and capabilities.</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intellectual property against unauthorized copying or use, as well as any costly litigation or diversion of our management’s attention and resources, could delay further sales or the implementation of our offerings and capabilities, impair the functionality of our offerings and capabilities, delay introductions of new offerings, or injure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Intellectual property-related litigations and proceedings are expensive and time consuming to defend, and, if resolved adversely, could materially adversely impact our business, financial condition and results of operations.</w:t>
      </w:r>
    </w:p>
    <w:p>
      <w:pPr>
        <w:spacing w:after="0" w:line="20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and proprietary rights of third parties and other intellectual property-related disputes. Our registered or unregistered trademarks or trade names may be challenged, infringed, circumvented, diluted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Further,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w:t>
      </w:r>
    </w:p>
    <w:p>
      <w:pPr>
        <w:spacing w:after="0" w:line="21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Over the long term, if we are unable to establish name recognition based on our trademarks and trade names, then we may not be able to compete effectively, and our business may be adversely affected. Similarly, not every variation of a domain name may be available or be registered, even if available. The occurrence of any of these events could result in the erosion of our brand and limit our ability to market our brand using our various domain names, as well as impede our ability to effectively compete against competitors with similar products or technologies.</w:t>
      </w:r>
    </w:p>
    <w:p>
      <w:pPr>
        <w:spacing w:after="0" w:line="2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we face increasing competition, the possibility of intellectual property rights claims against us grows. Such claims and litigation may involve adverse intellectual property rights holders who have no relevant product revenue, and, therefore, our own issued and pending copyrights, trademarks, and other intellectual property rights may provide little or no deterrence to these rights holders in bringing intellectual property rights claims against us. There may be intellectual property rights held by others that cover significant aspects of our offerings and we cannot assure that we are not infringing or violating, and have not infringed or violated, any third-party intellectual property rights, or that we will not be held to have done so or be accused of doing so in the future. Some third-party intellectual property rights may prove to be extremely broad, and it may not be possible for us to conduct our operations in such a way as to avoid violating those intellectual property rights. In addition, any disputes with third parties with respect to any third-party intellectual property agreements could narrow what we believe to be the scope of our rights to the relevant intellectual property or increase our obligations under such agreements, either of which could have a material adverse effect on our business, financial condition, results of operations, and cash flows.</w:t>
      </w:r>
    </w:p>
    <w:p>
      <w:pPr>
        <w:spacing w:after="0" w:line="2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Any claim that we have violated intellectual property or other proprietary rights of third parties, with or without merit, and whether or not it results in litigation, is settled out of court or is determined in our favor, could be expensive and time-consuming to address and resolve, and could divert the time and attention of management and technical personnel from our business. The litigation process is subject to inherent uncertainties, and we may not prevail in litigation matters regardless of the merits of our position. Intellectual property lawsuits or claims may become extremely disruptive if plaintiffs were to succeed in blocking the trade of our products and services. An adverse outcome of a dispute may result in an injunction and could require us to pay substantial monetary damages, including treble damages and attorneys’ fees, if we are found to have willfully infringed a party’s intellectual property rights. Further, our liability insurance may not cover potential claims of this type adequately or at all. We may be unable to successfully resolve these types of conflicts to our satisfaction and may be required to enter into costly license agreements, if available at all; be required to pay significant royalty, settlements costs, or damages; be required to rebrand our products; and/or be prevented from selling some of our products. The terms of such a settlement or judgment may require us to cease some or all of our operations or pay substantial amounts to the other party. Even if we have an agreement to indemnify us against such costs, the indemnifying party may be unable or unwilling to uphold its contractual obligations. In addition,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use the same intellectual property to compete with us. We may also have to redesign our products so they do not infringe, misappropriate, or otherwise violate third-party intellectual property rights, which may not be possible or may require substantial monetary expenditures and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during which our products may not be available for commercialization or use. Such outcomes would increase our operating expenses, and if we cannot redesign our products in a non-infringing manner or obtain a license for any allegedly infringing aspect of our business, we may be forced to limit our product offerings, which could adversely affect our ability to compete effectively.</w:t>
      </w:r>
    </w:p>
    <w:p>
      <w:pPr>
        <w:spacing w:after="0" w:line="20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spacing w:after="0" w:line="20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collect, process, store, and use a wide variety of data from current and prospective customers, including personal information, such as home addresses and geolocation. These activities are regulated by a variety of federal, state, local, and foreign privacy, data security, and data protection laws and regulations, which have become increasingly stringent in recent years. Further, these laws are not consistent, and compliance with them in the event of a widespread data breach is complex and costly.</w:t>
      </w:r>
    </w:p>
    <w:p>
      <w:pPr>
        <w:spacing w:after="0" w:line="212"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Domestic privacy and data security laws are complex and changing rapidly. In the U.S., we are subject to a variety of laws and regulations, including regulation by federal government agencies, including the FTC, and state and local agencies. In addition to federal laws such as Section 5 of the Federal Trade Commission Act, and the Fair Credit Reporting Act, many states have enacted laws regulating the collection, use, and disclosure of personal information and requiring that companies implement reasonable data security measures. Laws in all states and U.S. territories also require businesses to notify affected individuals, governmental entities, and/or credit reporting agencies of certain security breaches affecting personal information.</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addition, certain states have adopted new or modified privacy and security laws and regulations that may apply to our business. The CCPA, for example, imposes obligations on businesses that process personal information of California residents. The enactment of the CCPA prompted a wave of similar legislative developments in other states in the United States, which creates the potential for a patchwork of overlapping but different state laws. Since the CCPA went into effect, comprehensive privacy statutes that share similarities with the CCPA are now in effect and enforceable in numerous states and will soon be enforceable in several other states as well. These comprehensive state privacy laws may increase our compliance costs and potential liability, particularly in the event of a data breach, and could have a material adverse effect on our business, including how we use personal information for advertising and other purposes, our financial condition, and the results of our operations or prospects. Similar laws have been proposed in other states and at the federal level, reflecting a trend toward more stringent privacy legislation in the U.S. The enactment of such laws could have potentially conflicting requirements that would increase the challenge of compliance.</w:t>
      </w:r>
    </w:p>
    <w:p>
      <w:pPr>
        <w:spacing w:after="0" w:line="21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In addition,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In particular, the TCPA imposes significant restrictions on the ability to make telephone calls or send text messages to mobile telephone numbers without the prior consent of the person being contacted. Claims that we have violated the TCPA could be costly to litigate, and if successful, expose us to substantial statutory damages.</w:t>
      </w:r>
    </w:p>
    <w:p>
      <w:pPr>
        <w:spacing w:after="0" w:line="21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Further, certain features that we offer to improve our customer’s experience, such as our virtual try-on feature, may collect biometric identifiers. Certain states have laws that specifically regulate the collection and use of biometric information, including Illinois, Texas, and Washington. The Biometric Information Privacy Act in Illinois (the “BIPA”) includes both a private right of action and liquidated damages for companies that violate its provisions, which strongly incentivizes plaintiffs counsel to push for an expansive interpretation of BIPA and has increased the general likelihood of, and costs and risks associated with, biometrics litigation. Recent BIPA case law has increased liability exposure and the scope of damages that may result from alleged violations. Compliance with state laws regulating biometric information may require us to modify our products, data processing practices and policies and to incur substantial costs, and any claims that we have violated such laws could be costly to litigate,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expose us to substantial liability or force us to change our business practices in a way that could impact our financial position.</w:t>
      </w:r>
    </w:p>
    <w:p>
      <w:pPr>
        <w:spacing w:after="0" w:line="23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Foreign privacy laws are also undergoing a period of rapid change, have become more stringent in recent years, and may increase the costs and complexity of offering our products in new geographies. In Canada,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21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sell in the European Union which has adopted strict data privacy and security regulations in its General Data Protection Regulations (the “EU GDPR”) and the U.K. which has adopted the U.K. General Data Protection Regulation and Data Protection Act 2018 (the “U.K. GDPR” and together with the EU GDPR, the “GDPR”). The GDPR imposes strict requirements on controllers and processors of personal data. The GDPR also provides individuals with various rights in respect of their personal data, including rights of access, erasure, portability, rectification, restriction, and objection.</w:t>
      </w:r>
    </w:p>
    <w:p>
      <w:pPr>
        <w:spacing w:after="0" w:line="21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addition, the EU GDPR and UK GDPR each regulate cross-border transfers of personal data out of the EEA and the U.K. We expect the existing legal complexity and uncertainty regarding international personal data transfers to continue. In particular, we expect international transfers to the United States and to other jurisdictions more generally to continue to be subject to enhanced scrutiny by regulators. As the enforcement landscape further develops, and supervisory authorities issue further guidance on international data transfers, we could incur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spacing w:after="0" w:line="21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addition, the GDPR and other EU and U.K. data protection and electronic privacy laws impose conditions on the ability of companies to market electronically, including through the use of cookies, tracking technologies, e-marketing, and similar technologies on which we rely for our marketing. Recent European court and regulator decisions are driving increased attention to cookies and tracking technologies. If the trend of increasing enforcement by regulators of the strict approach to opt-in consent for all but essential use cases continues, and further requirements advocated by privacy advocates are enforced (e.g., requiring individual cookie opt outs; more details about each cookie or other tracking technology used), this could lead to substantial costs, require significant systems changes, limit the effectiveness of our marketing activities, divert the attention of our technology personnel, adversely affect our margins, and subject us to additional liabilities.</w:t>
      </w:r>
    </w:p>
    <w:p>
      <w:pPr>
        <w:spacing w:after="0" w:line="2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Further, because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Compliance with PCI-DSS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We also rely on vendors to handle certain PCI-DSS matters and to ensure PCI-DSS compliance. Despite our compliance efforts, we may become subject to claims that we have violated PCI-DSS, based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past, present, and future business practices, which could have an adverse impact on our business and reputation</w:t>
      </w:r>
      <w:r>
        <w:rPr>
          <w:rFonts w:ascii="Times New Roman" w:cs="Times New Roman" w:eastAsia="Times New Roman" w:hAnsi="Times New Roman"/>
          <w:sz w:val="21"/>
          <w:szCs w:val="21"/>
          <w:i w:val="1"/>
          <w:iCs w:val="1"/>
          <w:color w:val="auto"/>
        </w:rPr>
        <w:t>.</w:t>
      </w:r>
    </w:p>
    <w:p>
      <w:pPr>
        <w:spacing w:after="0" w:line="216"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or</w:t>
      </w:r>
    </w:p>
    <w:p>
      <w:pPr>
        <w:spacing w:after="0" w:line="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opt-out preference signals as a result of industry regulatory or legal developments, the adoption by consumers of browser settings or “ad-blocking” software, and the development and deployment of new technologies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materially impact our ability to collect data or reduce our ability to deliver relevant promotions or media, which could materially impair the results of our operations.</w:t>
      </w:r>
    </w:p>
    <w:p>
      <w:pPr>
        <w:spacing w:after="0" w:line="18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Despite our efforts to comply with all applicable data protection laws and regulations and the associated laws on cookies and tracking technologies, our interpretations of such laws and regulations and such measures to comply therewith may have been or may prove to be insufficient or incorrect, and we may not be successful in achieving compliance with the rapidly evolving privacy, data security, and data protection requirements discussed above. Since we are under the supervision of relevant data protection authorities in both the EEA and the UK, we may be fined under both the EU GDPR and UK GDPR for the same breach. Penalties for the most serious breaches are up to the greater of EUR 20 million/ GBP 17.5 million or 4% of our global annual turnover. Any actual or perceived non-compliance could result in litigation and proceedings against us by governmental entities, customers, or others, orders to cease/ change our data processing activities, enforcement notices, assessment notices for a compulsory audit and/or civil claims (including class actions), fines and civil or criminal penalties, limited ability or inability to operate our business, offer services, or market our business in certain jurisdictions, negative publicity and harm to our brand and reputation, and reduced overall demand for our products and services. Such occurrences could adversely affect our business, financial condition, and results of operations. Our general liability insurance may not cover all potential claims to which we are exposed and may not be adequate to indemnify us for the full extent of our potential liabilities.</w:t>
      </w:r>
    </w:p>
    <w:p>
      <w:pPr>
        <w:spacing w:after="0" w:line="21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on the use of artificial intelligence and machine learning could adversely affect our use of such technologies in our business.</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employ machine learning models to drive improved customer experience, as well as efficiencies in our operations, such as virtual try-ons, virtual appointments with jewelry consultants, payment processing and customer service, and automated key support workflows. The regulatory framework around the development and use of machine learning, artificial intelligence and automated decision making is evolving. Many federal, state and foreign government bodies and agencies have introduced, and are currently considering, additional laws and regulations related to the development and integration of artificial intelligence (“AI”), machine learning, and additional emerging data technologies while mitigating or controlling for bias and discrimination in the context of AI and machine learning. For example, in the United States, legislation related to AI technologies has been introduced at the federal level and enacted or proposed at the state level as well, including in California, Colorado and Texas. Some enacted or proposed frameworks include requirements focused on transparency, risk-management and accountability for AI technologies, while others focus on high-risk uses of AI, the use of automated decision-making technology or companies that are developers or deployers of AI technologies We expect more laws focused on the development and deployment of AI technologies to be passed in the future, which will create more compliance requirements and potentially differing requirements across different jurisdictions in which we operate. Furthermore, the Trump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federal government may seek to pre-empt state laws when they seek to govern certain topics, as evidenced by the Trump administration’s “Ensuring a National Policy Framework for Artificial Intelligence” Executive Order signed on December 11, 2025. This order calls for federal standards and legislation that would preempt conflicting state AI regulations and create a federal litigation task force focused on challenging state AI laws in court.</w:t>
      </w:r>
    </w:p>
    <w:p>
      <w:pPr>
        <w:spacing w:after="0" w:line="25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addition, in Europe the EU Artificial Intelligence Act (the “EU AI Act”) (which establishes a comprehensive, risk-based governance framework for AI in the EU market) entered into force in August 2024, and the majority of the substantive requirements will apply by August 2026. The EU AI Act is intended to apply to companies that develop, use and/or provide AI in the EU and includes requirements around transparency, conformity assessments and monitoring, risk assessments, human oversight, security and accuracy, and provides fines of up to the greater of €35 million and 7% of worldwide annual turnover for the most serious violations. There are also specific rules on the use of automated decision making under the GDPR that provide the data subject with the right not to be subject to a decision based solely on automated processing, including profiling, which produces legal effects concerning him or her or similarly significantly affects him or her. Additionally, the existence of automated decision making must be disclosed to the data subject with a meaningful explanation of the logic used in such decision making in certain circumstances and safeguards must be implemented to safeguard individual rights, including the right to obtain human intervention and to contest any decision. We may incur additional expenses and costs associated with complying with such laws, as well as face heightened potential liability if we are unable to comply with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Once fully applicable, the EU AI Act will have a material impact on the way AI is regulated in the EU, and together with developing guidance and/ or decisions in this area, may affect our use of AI and our ability to provide, improve or commercialize our services, require additional compliance measures</w:t>
      </w:r>
    </w:p>
    <w:p>
      <w:pPr>
        <w:spacing w:after="0" w:line="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and changes to our operations and processes, result in increased compliance costs and potential increases in civil claims against us, and could adversely affect our business, operations and financial condition.</w:t>
      </w:r>
    </w:p>
    <w:p>
      <w:pPr>
        <w:spacing w:after="0" w:line="18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the internet and mobile device accessibility of users. Companies and governmental agencies may restrict access to our products and services, our mobile apps, website, app stores, or the internet generally, which could negatively impact our operations.</w:t>
      </w:r>
    </w:p>
    <w:p>
      <w:pPr>
        <w:spacing w:after="0" w:line="20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Our business depends on customers accessing our products and services via a mobile device or a personal computer, and the internet. Internet access and access to a mobile device or personal computer are frequently provided by companies with significant market power that could take actions that degrade, disrupt, or increase the cost of consumers’ ability to access our products and services. Adverse weather events and natural disasters could also create outages in internet connectivity which may prevent our consumers from accessing our online platforms.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w:t>
      </w:r>
    </w:p>
    <w:p>
      <w:pPr>
        <w:spacing w:after="0" w:line="216"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8"/>
          <w:szCs w:val="18"/>
          <w:color w:val="auto"/>
        </w:rPr>
        <w:t>Governmental agencies in any of the countries in which we or our customers are located could block access to or require a license for our mobile apps,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are subject to the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cannot be certain that all of our employees and agents will not take actions in violation of any of the above laws, for which we may be ultimately held responsible. As we increase our international sales and business, our risks under these laws may increase.</w:t>
      </w:r>
    </w:p>
    <w:p>
      <w:pPr>
        <w:spacing w:after="0" w:line="18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any of the above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8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are, and from time to time, may be subject to claims, lawsuits, government investigations, and other proceedings involving products liability, competition and antitrust, intellectual property, data privacy and protection, consumer protection, securities, tax, labor and employment, commercial disputes, and other matters that could involve claims for substantial amounts of money or other relief that might adversely affect our business operations and financial condition. As we have grown, we have seen a rise in the number and significance of these disputes and inquiries. The defense of these actions could be time consuming and expensive and could distract our personnel from their normal responsibilities.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suppliers from whom our products are sourced and are dependent on a limited number of suppliers.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purchase substantially all of the resources for our products including diamonds, gemstones, precious metals, parts, packaging, and raw materials from domestic and international suppliers. We rely on a limited number of suppliers to supply the majority of the resources for our products and are thus exposed to concentration of supplier risk. No individual supplier accounted for more than 10% of total inventory purchases during the year ended December 31, 2025. One supplier of jewelry accounted for a total of 11% of inventory purchases during the year ended December 31, 2024. If we were to lose any significant supplier, we may be unable to establish additional or replacement sources for our products that meet our quality controls and standards in a timely manner or on commercially reasonable terms, if at all. For our business to be successful, our suppliers must be willing and able to provide us with resources in substantial quantities, in compliance with regulatory requirements, and further in compliance with our ethical, quality and sourcing, and environmentally responsible standards, at acceptable costs and on a timely basis. Our ability to obtain a sufficient selection or volume of resources on a timely basis at competitive prices could suffer as a result of any deterioration or change in our supplier relationships or events that adversely affect our suppliers.</w:t>
      </w:r>
    </w:p>
    <w:p>
      <w:pPr>
        <w:spacing w:after="0" w:line="21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typically do not enter into long-term contracts with our suppliers, and in some cases do not have formal written contracts, and, as such, we operate without significant contractual assurances of continued supply, pricing or access to resources. Pricing with suppliers is typically established and renegotiated based on product specifications, market conditions, and other variables. Any of our suppliers could discontinue supplying us with desired inputs in sufficient quantities or offer us less favorable terms on future transactions for a variety of reasons. The benefits we currently experience from our supplier relationships could be adversely affected if our suppliers:</w:t>
      </w:r>
    </w:p>
    <w:p>
      <w:pPr>
        <w:spacing w:after="0" w:line="23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discontinue selling resources to us;</w:t>
      </w:r>
    </w:p>
    <w:p>
      <w:pPr>
        <w:spacing w:after="0" w:line="13"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enter into arrangements with competitors that could impair our ability to source their products, including by giving our competitors exclusivity arrangements or limiting our access to certain resources;</w:t>
      </w: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fail to source ethically or responsibly according to our established guidelines;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raise the prices they charge us;</w:t>
      </w:r>
    </w:p>
    <w:p>
      <w:pPr>
        <w:spacing w:after="0" w:line="12" w:lineRule="exact"/>
        <w:rPr>
          <w:rFonts w:ascii="Times New Roman" w:cs="Times New Roman" w:eastAsia="Times New Roman" w:hAnsi="Times New Roman"/>
          <w:sz w:val="22"/>
          <w:szCs w:val="22"/>
          <w:color w:val="auto"/>
        </w:rPr>
      </w:pPr>
    </w:p>
    <w:p>
      <w:pPr>
        <w:ind w:left="660" w:right="180" w:hanging="328"/>
        <w:spacing w:after="0" w:line="226"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change pricing terms to require us to pay on delivery or upfront, including as a result of changes in the credit relationships some of our suppliers have with their various lending institutions; or</w:t>
      </w: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lengthen their lead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Events that adversely impact our suppliers could impair our ability to obtain adequate and timely supplies. Such events include, among others, difficulties or problems associated with our suppliers’ businesses, their financial instability and labor problems, resource quality and safety issues, natural or man-made disasters, inclement weather conditions, war, acts of terrorism and other political instability, economic conditions, shipment issues, the availability of their raw materials, and increased production costs. Our suppliers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21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Our natural diamonds are sourced from approved mines in countries ranked according to risk based on the Gemstones and Jewellery Community Platform Index for Conflict-Affected and High-Risk Areas. A majority of the world’s supply of rough diamonds is controlled by a small number of diamond mining firms. Furthermore, Our Beyond Conflict Free Diamonds™ are sourced from a select group of diamond suppliers with a robust chain of custody protocol for their diamonds and are required to source diamonds that originate from specific mine operations or specific countries that have demonstrated their commitment to follow internationally recognized labor, trade, and environmental standards. As a result, any decisions made to restrict the supply of rough diamonds by these firms to our suppliers of Beyond Conflict Free Diamonds™ could substantially impair our ability to acquire such diamonds at commercially reasonable prices, if at all. Generally, diamond prices depend on the attributes of the diamond. Similarly, we craft our gold and silver fine jewelry from primarily repurposed precious metals, and we work with our suppliers to source repurposed platinum when available and from refiners that are known to use repurposed materials in their platinum products.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resources,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suppliers source our products. Our sourcing operations may also be impaired by health concerns regarding infectious diseases in countries in which our resources are produced. Moreover, negative press or reports about internationally sourced resources may sway public opinion, and thus customer confidence, away from the products sold in our stores. These and other issues affecting our international suppliers or internationally sourced resources could have a material adverse effect on our business, financial condition, and results of operations.</w:t>
      </w:r>
    </w:p>
    <w:p>
      <w:pPr>
        <w:spacing w:after="0" w:line="21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Material changes in the pricing practices of our suppliers could negatively impact our profitability. Our suppliers may also increase their pricing if their raw materials become more expensive. The resources used to manufacture our products are subject to availability constraints and price volatility. Our suppliers may pass the increase in sourcing costs to us through price increases, thereby impacting our margins. Moreover, many suppliers and manufacturers of diamonds, as well as retailers of diamonds and diamond jewelry, are vertically integrated, and we expect they will continue to vertically integrate their operations either by developing retail channels for the products they manufacture or acquiring sources of supply, including, without limitation, diamond mining operations. To the extent such vertical integration efforts are successful, some of the fragmentation in the existing diamond supply chain could be eliminated, our ability to obtain an adequate supply of diamonds and fine jewelry from multiple sources could be limited, and our competitors may be able to obtain diamonds at lower prices.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some of our suppliers may not have the capacity to supply us with sufficient resources to keep pace with our growth plans, especially if we plan to manufacture significantly greater amounts of inventory. In such cases, our ability to pursue our growth strategy will depend in part upon our ability to develop new supplier relationships. Some of our suppliers are owned by vertically integrated companies with retail divisions that compete with us and, as such, we are exposed to the risk that these suppliers may not be willing, or may become unwilling, to sell their products to us on acceptable terms, or at all.</w:t>
      </w:r>
    </w:p>
    <w:p>
      <w:pPr>
        <w:spacing w:after="0" w:line="20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third-party providers of cloud services, and any disruption of, or interference with, our use of cloud services could adversely affect our business, financial condition, or results of operations.</w:t>
      </w:r>
    </w:p>
    <w:p>
      <w:pPr>
        <w:spacing w:after="0" w:line="18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outsource substantially all of our core cloud infrastructure services to third-party providers, including Amazon Web Services, Microsoft, Salesforce and Oracle. The third-party providers provide the cloud computing infrastructure we use to host our website, serve our customers, and support our operations and many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tools we use to operate our business. Our website, mobile apps, and internal tools use computing, storage, data transfer, and other functions and services provided by third parties. We do not have control over the operations of the facilities of the third-party providers that we use. The third-party providers’ facilities may be vulnerable to damage or interruption from earthquakes, hurricanes, floods, droughts,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provider's decision to close its facilities without adequate notice or other unanticipated problems or disruptions could result in lengthy interruptions to our business. All of the aforementioned risks may be exacerbated if our business continuity and disaster recovery plans prove to be inadequate.</w:t>
      </w:r>
    </w:p>
    <w:p>
      <w:pPr>
        <w:spacing w:after="0" w:line="20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Additionally, data stored with any third-party provider is vulnerable to experiencing cyberattacks from computer malware, ransomware, viruses, social engineering (including phishing attacks), denial-of-service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services, including due to any failure by us to properly configure our third-party provider environment. Our business’ continuing and uninterrupted performance is critical to our success. Customers may become dissatisfied by any system failure that interrupts our ability to provide our products and services to them. We may not be able to easily switch our current operations to another cloud or other data center provider if there are disruptions or interference with our use of an existing provider, and, even if we could switch our operations, other cloud and data center providers are subject to the same risks. Sustained or repeated system failures would reduce the attractiveness of our products and services, harm our reputation, and potentially reduce net sales. Moreover, negative publicity arising from these types of disruptions could damage our reputation and may adversely impact our business. For more information, see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20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third-party providers do not have an obligation to renew their agreements with us on terms acceptable to us or at all. Although alternative data center providers could host our business on a substantially similar basis to our current third-party providers, transitioning our current cloud infrastructure to alternative providers could potentially be disruptive, and we could incur significant one-time costs. If we are unable to renew our agreement with our third-party providers on commercially acceptable terms, if our agreements with our third-party providers are prematurely terminated, or if we add additional infrastructure providers, we may experience costs or downtime in connection with the transfer to, or the addition of, new data center providers. If any of our infrastructure providers increase the costs of their services, our business, financial condition, or results of operations could be materially and adversely affected.</w:t>
      </w:r>
    </w:p>
    <w:p>
      <w:pPr>
        <w:spacing w:after="0" w:line="20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our suppliers, third-party carriers, and third-party jewelers as part of our fulfillment process, and these third parties may fail to adequately serve our customers.</w:t>
      </w:r>
    </w:p>
    <w:p>
      <w:pPr>
        <w:spacing w:after="0" w:line="18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We significantly rely on our suppliers to promptly ship us diamonds and other fine jewelry ordered by our customers. Any failure by our suppliers to sell and ship such products to us in a timely manner will have an adverse effect on our ability to fulfill customer orders and harm our business and results of operations. Our suppliers, in turn, rely on third-party carriers to ship products to us, and in some cases, directly to our customers. We also rely on a limited number of third-party carriers to deliver inventory to us and product shipments to our customers. We and our suppliers are therefore subject to the risks, including but not limited to employee strikes, inclement weather, power outages, natural disasters, rising fuel costs, and financial constraints associated with such carriers’ abilities to provide delivery services to meet our and our suppliers’ shipping needs. In addition, for some customer orders we rely on third-party jewelers to assemble and ship the product. Our suppliers’ or third-party carriers’ failure to deliver high-quality products to us or our customers in a timely manner or to otherwise adequately serve our customers may damage our reputation and brand, and substantially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contract manufacturers and logistics partners for our products. A loss of any of these partners could negatively affect our business.</w:t>
      </w:r>
    </w:p>
    <w:p>
      <w:pPr>
        <w:spacing w:after="0" w:line="18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 rely on a limited number of contract manufacturers and logistics partners to manufacture and transport our products. In the event of interruption from any of our contract manufacturers, we may not be able to increase capacity from other sources or develop alternate or secondary sources without incurring material additional costs and substantial delays. Our contract manufacturers’ primary facilities are principally located in the U.S., India, Mexico, and Thailand, and furthermore are geographically concentrated in limited regions of each. Thus, our business could be adversely affected if one or more of our manufacturers is impacted by events like natural disasters, pandemics, or other interruptions at a particular location.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experience a significant increase in demand for our products that cannot be satisfied adequately through our existing manufacturing channels, or if we need to replace an existing manufacturer, we may be unable to supplement or replace them on terms that are acceptable to us, which may undermine our ability to deliver our products in a timely manner. For example, if we require additional manufacturing support, it may take a significant amount of time to identify a manufacturer that has the capability and resources to build our products to our specifications in sufficient volume in line with our mission-centric approach. Identifying suitable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contract manufacturers or logistics partners could have an adverse effect on our business, financial condition, and operating results.</w:t>
      </w:r>
    </w:p>
    <w:p>
      <w:pPr>
        <w:spacing w:after="0" w:line="208"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elements of the payment processing infrastructure underlying our business and are subject to risks related to online payment methods.</w:t>
      </w:r>
    </w:p>
    <w:p>
      <w:pPr>
        <w:spacing w:after="0" w:line="18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convenient payment mechanisms provided by our business are key factors contributing to the development of our business. We rely on third parties for elements of our payment processing infrastructure to accept payments from customers and remit payments to suppliers.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 third-party financing sources,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1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Future failures of the payment processing infrastructure underlying our business could cause customers to lose trust in our payment operations and could cause them to instead turn to our competitors’ products and services. If the quality or convenience of our payment processing infrastructure declines as a result of these limitations or for any other reason, the attractiveness of our business to customers could be adversely affected. If we are forced to migrate to other third-party payment service providers for any reason, the transition would require significant time and management resources, and may not be as effective, efficient, or well-received by our customers.</w:t>
      </w:r>
    </w:p>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occasionally receive orders placed with fraudulent credit cards or other payment data, including stolen credit card numbers, or from clients who have closed bank accounts or have insufficient funds in open bank accounts to satisfy payment obligations. We have suffered and may suffer losses as a result of orders placed with fraudulent credit card data or other fraudulent payment data even if the associated financial institution approved payment of the orders, including orders that become the subject of fraudulent chargebacks. Under current credit card practices and the practices of our other payment processing partners, we may be liable for fraudulent credit card or other payment transactions. If we are unable to detect or control credit card or other fraud, our liability for these transactions could harm our business, financial condition, and results of operations.</w:t>
      </w:r>
    </w:p>
    <w:p>
      <w:pPr>
        <w:spacing w:after="0" w:line="20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20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employment practices liability, workers’ compensation, property and casualty, cybersecurity, directors’ and officers’ liability, and general business liabilities.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and our ability to adequately ensure the risks to our business could be impaired. A portion of our inventory is in the custody of third parties such as our manufacturing partners, at any given time, and we are reliant on the adequacy of their insurance policies to cover potential loss or damage of our inventory in the custody of third parties. Any failure of such insurance policies to cover an event of loss or damage to inventory in the custody of third parties may result in a material loss to us.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1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39"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20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(as defined herein). As such, we have no independent means of generating revenue or cash flow, and our ability to pay our taxes and operating expenses or declare and pay dividends in the future, if any, will be dependent upon the financial results and cash flows of Brilliant Earth, LLC and distributions we receive from Brilliant Earth, LLC. There can be no assurance that Brilliant Earth, LLC will generate sufficient cash flow to distribute funds to us or that applicable state law and contractual restrictions, including negative covenants in any applicable debt instruments, will permit such distributions. Brilliant Earth, LLC is currently subject to agreements that restrict its ability to make distributions to us, which may in turn affect Brilliant Earth, LLC’s ability to pay distributions to us and thereby adversely affect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Brilliant Earth, LLC is treated as a partnership for U.S. federal income tax purposes and, as such, generally is not subject to any entity-level U.S. federal income tax. Instead, any taxable income of Brilliant Earth, LLC is allocated to holders of LLC Interests, including us. Accordingly, we incur income taxes on our allocable share of any net taxable income of Brilliant Earth, LLC. Under the terms of the LLC Agreement, Brilliant Earth, LLC is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will be significant. We intend, as its managing member, to cause Brilliant Earth, LLC to make cash distributions to the holders of LLC Interests in an amount sufficient to (1) fund all or part of their tax obligations in respect of taxable income allocated to them and (2) cover our operating expenses, including payments under the Tax Receivable Agreement. However, Brilliant Earth, LLC’s ability to make such distributions may be subject to various limitations and restrictions, such as restrictions on distributions that would either violate any contract or agreement to which Brilliant Earth, LLC is then a party, including debt agreements, or any applicable law, or that would have the effect of rendering Brilliant Earth,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Brilliant Earth, LLC does not have sufficient funds to make distributions, our ability to declare and pay cash dividends will also be restricted or impaired, although we do not anticipate declaring or paying any cash dividends on our Class A common stock and Class D common stock in the foreseeable future.</w:t>
      </w:r>
    </w:p>
    <w:p>
      <w:pPr>
        <w:spacing w:after="0" w:line="22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Under the LLC Agreement, we intend to cause Brilliant Earth, LLC, from time to time, to make distributions in cash to its equity holders (including us) in amounts sufficient to cover the taxes imposed on their allocable share of taxable income of Brilliant Earth, LLC. As a result of (1) potential differences in the amount of net taxable income allocable to us and to Brilliant Earth, LLC’s other equity 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Brilliant Earth, LLC from other equity holders, these tax distributions may be in amounts that exceed our tax liabilities. The Board will determine the appropriate uses for any excess cash so accumulated, which may include, among other uses, the payment of a cash dividend on our Class A common stock and Class D common stock, the payment of obligations under the Tax Receivable Agreement, the declaration of a stock dividend on our Class A common stock and Class D common stock, along with the purchase of a corresponding number of common units in Brilliant Earth, LLC, or the purchase of additional common units in Brilliant Earth, LLC, along with a recapitalization of all of the outstanding common units in Brilliant Earth, LLC and the payment of other expenses. We have no obligation to distribute such cash (or other available cash) to our stockholders. No adjustments to the exchange ratio for LLC Interests and corresponding shares of Class A common stock or Class D common stock, as applicable, will be made as a result of any cash distribution by us or any retention of cash by us. To the extent we do not distribute such excess cash as dividends on our Class A common stock or Class D common stock, or otherwise use the cash as described above, we may take other actions with respect to such excess cash, for example, holding such excess cash, or lending it (or a portion thereof) to Brilliant Earth, LLC, which may result in shares of our Class A common stock and Class D common stock increasing in value relative to the value of LLC Interests. The holders of LLC Interests may benefit from any value attributable to such cash balances if they acquire shares of Class A common stock or Class D common stock, as applicable, in exchange for their LLC Interests, notwithstanding that such holders may have participated previously as holders of LLC Interests in distributions that resulted in such excess cash balances.</w:t>
      </w:r>
    </w:p>
    <w:p>
      <w:pPr>
        <w:spacing w:after="0" w:line="20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18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are party to a Tax Receivable Agreement with Brilliant Earth, LLC and each of the Continuing Equity Owners. Under the Tax Receivable Agreement, we are required to make cash payments to the Continuing Equity Owners equal to 85% of the tax benefits, if any, that we actually realize, or in certain circumstances are deemed to realize,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a result of (1) increases in Brilliant Earth Group, Inc.’s allocable share of the tax basis of Brilliant Earth, LLC’s assets resulting from (a) Brilliant Earth Group, Inc.’s purchase (or deemed purchase) of LLC Interests from each Continuing Equity Owner, (b) any future redemptions or exchanges of LLC Interests for Class A common stock or Class D common stock (or cash), and (c) certain distributions (or deemed distributions) by Brilliant Earth, LLC; and</w:t>
      </w:r>
    </w:p>
    <w:p>
      <w:pPr>
        <w:spacing w:after="0" w:line="1" w:lineRule="exact"/>
        <w:rPr>
          <w:sz w:val="20"/>
          <w:szCs w:val="20"/>
          <w:color w:val="auto"/>
        </w:rPr>
      </w:pPr>
    </w:p>
    <w:p>
      <w:pPr>
        <w:ind w:firstLine="8"/>
        <w:spacing w:after="0" w:line="234"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benefits arising from payments under the Tax Receivable Agreement. We expect that the amount of the cash payments we will be required to make under the Tax Receivable Agreement will be substantial. Any payments made by us to the Continuing Equity Owners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Brilliant Earth, LLC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15"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Owners but will not benefit the holders of our Class A common stock to the same extent that it will benefit the Continuing Equity Owners. We entered into the Tax Receivable Agreement with Brilliant Earth, LLC and the Continuing Equity Owners in connection with the completion of our initial public offering. The Tax Receivable Agreement provides for the payment by us to the Continuing Equity Owners of 85% of the amount of tax benefits, if any, that we actually realize, or in some circumstances are deemed to realize, as a result of (1) increases in Brilliant Earth Group, Inc.’s allocable share of the tax basis of Brilliant Earth, LLC’s assets resulting from (a) Brilliant Earth Group, Inc.’s purchase (or deemed purchase) of LLC Interests from each Continuing Equity Owner, (b) any future redemptions or exchanges of LLC Interests for Class A common stock or Class D common stock (or cash), and (c) certain distributions (or deemed distributions) by Brilliant Earth, LLC; and (2) certain tax benefits arising from payments under the Tax Receivable Agreement. Although we will retain 15% of the amount of such tax benefits, this and other aspects of our organizational structure may adversely impact the future trading market for our Class A common stock.</w:t>
      </w:r>
    </w:p>
    <w:p>
      <w:pPr>
        <w:spacing w:after="0" w:line="2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Equity Owners may be accelerated or significantly exceed any actual benefits we realize in respect of the tax attributes subject to the Tax Receivable Agreement.</w:t>
      </w:r>
    </w:p>
    <w:p>
      <w:pPr>
        <w:spacing w:after="0" w:line="18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Tax Receivable Agreement provides that if (1) we materially breach any of our material obligations under the Tax Receivable Agreement, (2) certain mergers, asset sales, other forms of business combinations or other changes of control occur after the consummation of our initial public offering, or (3)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21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(including that we earn sufficient taxable income to realize all potential tax benefits that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 Tax Receivable Agreement), which payment may be made significantly in advance of the actual realization, if any, of such future tax benefits. Such cash payment to the Continuing Equity Owners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08"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Equity Owners under the Tax Receivable Agreement in the event that any tax benefits are disallowed.</w:t>
      </w:r>
    </w:p>
    <w:p>
      <w:pPr>
        <w:spacing w:after="0" w:line="19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U.S. Internal Revenue Service (the “IRS”), or another tax authority, may challenge all or part of the tax basis increases or other tax benefits we claim, as well as other related tax positions we take, and a court could sustain such challenge. If the outcome of any such challenge would reasonably be expected to adversely affect the rights and obligations of Mainsail (as defined herein) or Just Rocks (as defined herein) in any material respect under the Tax Receivable Agreement, then we will not be permitted to settle such challenge without the consent (not to be unreasonably withheld or delayed) of Mainsail or Just Rocks, as applicable. The interests of Mainsail and Just Rocks in any such challenge may differ from or conflict with our interests and your interests, and Mainsail and Just Rocks may exercise their consent rights relating to any such challenge in a manner adverse to our interests and your interests. We will not be reimbursed for any cash payments previously made to the Continuing Equity Owners under the Tax Receivable Agreement in the event that any tax benefits initially claimed by us and for which payment has been made to a Continuing Equity Owner are subsequently challenged by a taxing authority and are ultimately disallowed. Instead, any excess cash payments made by us to a Continuing Equity Owner will be netted against future cash payments, if any, that we might otherwise be required to make to such Continuing Equity Owner, under the terms of the Tax Receivable Agreement. However, we might not determine that we have effectively made an excess cash payment to a Continuing Equity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that are the subject of the Tax Receivable Agreement.</w:t>
      </w:r>
    </w:p>
    <w:p>
      <w:pPr>
        <w:spacing w:after="0" w:line="22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subject to taxation by U.S. federal, state, local, and foreign tax authorities. Our future effective tax rates could be subject to volatility or adversely affected by a number of factors, including:</w:t>
      </w:r>
    </w:p>
    <w:p>
      <w:pPr>
        <w:spacing w:after="0" w:line="2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allocation of expenses to and among different jurisdictions;</w:t>
      </w:r>
    </w:p>
    <w:p>
      <w:pPr>
        <w:spacing w:after="0" w:line="13" w:lineRule="exact"/>
        <w:rPr>
          <w:rFonts w:ascii="Arial" w:cs="Arial" w:eastAsia="Arial" w:hAnsi="Arial"/>
          <w:sz w:val="22"/>
          <w:szCs w:val="22"/>
          <w:color w:val="auto"/>
        </w:rPr>
      </w:pPr>
    </w:p>
    <w:p>
      <w:pPr>
        <w:ind w:left="660" w:right="300" w:hanging="328"/>
        <w:spacing w:after="0" w:line="229" w:lineRule="auto"/>
        <w:tabs>
          <w:tab w:leader="none" w:pos="65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tax effects of stock-based compensation;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costs related to intercompany reorganization;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tax treaties, regulations or interpretations thereof;</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outcome of current and future tax audits, examinations, or administrative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52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Any changes in U.S. or foreign taxation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including as a result of our ownership of Brilliant Earth, LLC, applicable restrictions could make it impractical for us to continue our business as contemplated and could have a material adverse effect on our business.</w:t>
      </w:r>
    </w:p>
    <w:p>
      <w:pPr>
        <w:spacing w:after="0" w:line="20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21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We and Brilliant Earth, LLC intend to conduct our operations so that we will not be deemed an investment company. As the sole managing member of Brilliant Earth, LLC, we control and operate Brilliant Earth, LLC. On that basis, we believe that our interest in Brilliant Earth, LLC is not an “investment security” as that term is used in the 1940 Act. However, if we were to cease participation in the management of Brilliant Earth, LLC, or if Brilliant Earth, LLC itself becomes an investment company, our interest in Brilliant Earth, LLC could be deemed an “investment security” for purposes of the 1940 Act.</w:t>
      </w:r>
    </w:p>
    <w:p>
      <w:pPr>
        <w:spacing w:after="0" w:line="19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Equity Owners have significant influence over us, including control over decisions that require the approval of stockholders.</w:t>
      </w:r>
    </w:p>
    <w:p>
      <w:pPr>
        <w:spacing w:after="0" w:line="243"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The Continuing Equity Owners control, in aggregate, approximately 97.1% of the voting power represented by all our outstanding classes of stock. As a result, the Continuing Equity Owners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Continuing Equity Owners have the ability to elect through their voting power have the authority to incur additional debt, issue or repurchase stock, declare dividends, and make other decisions that could be detrimental to stockholders.</w:t>
      </w:r>
    </w:p>
    <w:p>
      <w:pPr>
        <w:spacing w:after="0" w:line="21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Certain members of our Board are appointed by and/or affiliated with the Continuing Equity Owners. The Continuing Equity Owners can take actions that have the effect of delaying or preventing a change of control of us or discouraging others from making tender offers for our shares, which could prevent stockholders from receiving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other stockholders disagree and that may be adverse to interests of our other stockholders.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and you could lose all or part of your investment as a result.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price of shares of our Class A common stock has fluctuated in the past and may continue to fluctuate in response to a variety of factors, including the following:</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technological developments and changes in consumer behavior in our industry;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security breaches related to our systems or those of our affiliates or strategic partners;</w:t>
      </w:r>
    </w:p>
    <w:p>
      <w:pPr>
        <w:spacing w:after="0" w:line="14" w:lineRule="exact"/>
        <w:rPr>
          <w:rFonts w:ascii="Arial" w:cs="Arial" w:eastAsia="Arial" w:hAnsi="Arial"/>
          <w:sz w:val="22"/>
          <w:szCs w:val="22"/>
          <w:color w:val="auto"/>
        </w:rPr>
      </w:pPr>
    </w:p>
    <w:p>
      <w:pPr>
        <w:ind w:left="660" w:right="500" w:hanging="328"/>
        <w:spacing w:after="0" w:line="225"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jewelry and consumer retail environment;</w:t>
      </w: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the market prices of stocks generally, particularly those of jewelry and consumer retail companies;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strategic actions by us or our competitors;</w:t>
      </w:r>
    </w:p>
    <w:p>
      <w:pPr>
        <w:spacing w:after="0" w:line="14" w:lineRule="exact"/>
        <w:rPr>
          <w:rFonts w:ascii="Arial" w:cs="Arial" w:eastAsia="Arial" w:hAnsi="Arial"/>
          <w:sz w:val="22"/>
          <w:szCs w:val="22"/>
          <w:color w:val="auto"/>
        </w:rPr>
      </w:pPr>
    </w:p>
    <w:p>
      <w:pPr>
        <w:ind w:left="660" w:right="80" w:hanging="328"/>
        <w:spacing w:after="0" w:line="218"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our competitors or our strategic partners of significant contracts, new products, acquisitions, joint marketing relationships, joint ventures, other strategic relationships, or capital commitments;</w:t>
      </w: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business or regulatory conditions;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Class A common stock or other securities;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investor perceptions of the investment opportunity associated with our Class A common stock relative to other investment alternatives;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relating to litigation or increases in compliance or enforcement inquiries and investigations by regulatory authorities;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principles;</w:t>
      </w:r>
    </w:p>
    <w:p>
      <w:pPr>
        <w:spacing w:after="0" w:line="14" w:lineRule="exact"/>
        <w:rPr>
          <w:rFonts w:ascii="Arial" w:cs="Arial" w:eastAsia="Arial" w:hAnsi="Arial"/>
          <w:sz w:val="22"/>
          <w:szCs w:val="22"/>
          <w:color w:val="auto"/>
        </w:rPr>
      </w:pPr>
    </w:p>
    <w:p>
      <w:pPr>
        <w:ind w:left="660" w:right="300" w:hanging="328"/>
        <w:spacing w:after="0" w:line="229"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short sales, hedging and other derivative transactions involving our common stock; and effects of recession or economic growth in the United States and abroad, rising high inflation and interest rates, bank failures, fuel prices, international currency fluctuations, corruption, political instability, acts of war, including the conflicts in Europe and the Middle East, acts of terrorism, an outbreak of highly infectious or contagious diseases, or responses to these events; and</w:t>
      </w:r>
    </w:p>
    <w:p>
      <w:pPr>
        <w:spacing w:after="0" w:line="2"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 of this Annual Report on Form 10-K.</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204" w:lineRule="exact"/>
        <w:rPr>
          <w:sz w:val="20"/>
          <w:szCs w:val="20"/>
          <w:color w:val="auto"/>
        </w:rPr>
      </w:pPr>
    </w:p>
    <w:p>
      <w:pPr>
        <w:jc w:val="both"/>
        <w:ind w:right="500"/>
        <w:spacing w:after="0" w:line="250"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become involved in securities litigation, it could have a substantial cost and divert resources and the attention of management from our business regardless of the outcome of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multi-class structure may have a negative impact on the market price of our Class A common stock.</w:t>
      </w:r>
    </w:p>
    <w:p>
      <w:pPr>
        <w:spacing w:after="0" w:line="24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We cannot predict whether our multi-class structure will result in a lower or more volatile market price of our Class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structures in certain of their indices. Indices have discretion to reassess and implement such policies with respect to multi-class differing voting right structures. Under any such policies, our multi-class capital structure would make us ineligible for inclusion in any of these indices. As a result, the market price of our Class A common stock could be materially adversely affected.</w:t>
      </w:r>
    </w:p>
    <w:p>
      <w:pPr>
        <w:spacing w:after="0" w:line="20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the Nasdaq Stock Market LLC (“Nasdaq”) and, as a result, qualify for exemptions from certain corporate governance requirements and holders of our Class A common stock may not have the same protections afforded to stockholders of companies that are subject to such corporate governance requirements.</w:t>
      </w:r>
    </w:p>
    <w:p>
      <w:pPr>
        <w:spacing w:after="0" w:line="18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Mainsail and our Founders (as defined herein) have more than 50% of the voting power for the election of directors, and, as a result, we are considered a “controlled company” for the purposes of the corporate governance rules of Nasdaq. As such, we qualify for exemptions from certain corporate governance requirements, including the requirements to have a majority of independent directors on our Board, an entirely independent nominating and corporate governance committee, an entirely independent compensation committee or to perform annual performance evaluations of the nominating and corporate governance and compensation committees.</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corporate governance requirements and specifically the independence standards are intended to ensure that directors who are considered independent are free of any conflicting interest that could influence their actions as directors. As a result, we are not subject to certain corporate governance requirements, including that a majority of the Board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 While currently, five of the seven directors on our Board are independent under the Nasdaq Rules, and our Audit Committee, Compensation Committee, and Nominating and Corporate Governance Committee each consists entirely of independent directors under the Nasdaq Rules, we may utilize certain exemptions afforded to a “controlled company” in the future.</w:t>
      </w:r>
    </w:p>
    <w:p>
      <w:pPr>
        <w:spacing w:after="0" w:line="20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Accordingly, holders of our Class A common stock may not have the same protections afforded to stockholders of companies that are subject to all of the corporate governance requirements of Nasdaq. Our status as a controlled company could make our Class A common stock less attractive to some investors or otherwise harm our stock price.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Nevada law and antitakeover provisions in our organizational documents could delay or prevent a change of control.</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Certain provisions of Nevada law and our articles of incorporation and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ind w:left="580" w:hanging="248"/>
        <w:spacing w:after="0" w:line="237"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ind w:left="580" w:hanging="248"/>
        <w:spacing w:after="0" w:line="234"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one or more series of preferred stock;</w:t>
      </w:r>
    </w:p>
    <w:p>
      <w:pPr>
        <w:ind w:left="660" w:right="100" w:hanging="328"/>
        <w:spacing w:after="0" w:line="238" w:lineRule="auto"/>
        <w:tabs>
          <w:tab w:leader="none" w:pos="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Mainsail and our Founders beneficially own, in the aggregate, at least a majority of the voting power of our outstanding capital stock, our stockholders may take action by written consent without a meeting, and at any time when Mainsail and our Founders beneficially own, in the aggregate, less than the majority of the voting power of our outstanding capital stock, our stockholders may not take action by written consent, but may only take action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40" w:hanging="328"/>
        <w:spacing w:after="0" w:line="246" w:lineRule="auto"/>
        <w:tabs>
          <w:tab w:leader="none" w:pos="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may be filled only by the remaining members of our Board (even if less than a quorum), and not by stockholders, subject to the rights of holders of any series of preferred stock and rights granted pursuant to the stockholders agreement;</w:t>
      </w:r>
    </w:p>
    <w:p>
      <w:pPr>
        <w:ind w:left="660" w:right="80" w:hanging="328"/>
        <w:spacing w:after="0" w:line="248" w:lineRule="auto"/>
        <w:tabs>
          <w:tab w:leader="none" w:pos="57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(other than the parties to our stockholders agreement for nominations made pursuant to the terms of the stockholders agreement) to nominate candidates for election as directors or to bring matters before an annual meeting of stockholders;</w:t>
      </w:r>
    </w:p>
    <w:p>
      <w:pPr>
        <w:spacing w:after="0" w:line="1" w:lineRule="exact"/>
        <w:rPr>
          <w:rFonts w:ascii="Times New Roman" w:cs="Times New Roman" w:eastAsia="Times New Roman" w:hAnsi="Times New Roman"/>
          <w:sz w:val="17"/>
          <w:szCs w:val="17"/>
          <w:color w:val="auto"/>
        </w:rPr>
      </w:pPr>
    </w:p>
    <w:p>
      <w:pPr>
        <w:ind w:left="580" w:hanging="248"/>
        <w:spacing w:after="0" w:line="234"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 of stockholders;</w:t>
      </w:r>
    </w:p>
    <w:p>
      <w:pPr>
        <w:ind w:left="580" w:hanging="248"/>
        <w:spacing w:after="0" w:line="234"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ind w:left="660" w:right="160" w:hanging="328"/>
        <w:spacing w:after="0" w:line="229" w:lineRule="auto"/>
        <w:tabs>
          <w:tab w:leader="none" w:pos="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any series of preferred stock to elect directors, our directors may be removed, either with or without cause, only by the affirmative vote of at least 66 2/3% of the holders of capital stock representing the voting power of our outstanding shares of capital stock entitled to vote thereon; and</w:t>
      </w:r>
    </w:p>
    <w:p>
      <w:pPr>
        <w:spacing w:after="0" w:line="1" w:lineRule="exact"/>
        <w:rPr>
          <w:rFonts w:ascii="Times New Roman" w:cs="Times New Roman" w:eastAsia="Times New Roman" w:hAnsi="Times New Roman"/>
          <w:sz w:val="18"/>
          <w:szCs w:val="18"/>
          <w:color w:val="auto"/>
        </w:rPr>
      </w:pPr>
    </w:p>
    <w:p>
      <w:pPr>
        <w:ind w:left="660" w:right="60" w:hanging="328"/>
        <w:spacing w:after="0" w:line="243" w:lineRule="auto"/>
        <w:tabs>
          <w:tab w:leader="none" w:pos="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of articles of incorporation may be amended only by the affirmative vote of at least 66 2/3% of the voting power represented by our then-outstanding common stock.</w:t>
      </w:r>
    </w:p>
    <w:p>
      <w:pPr>
        <w:spacing w:after="0" w:line="2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Nevada has a statute (Nevada Revised Statutes (“NRS”) 78.378 through 78.3793, inclusive) that may restrict the ability to vote certain shares acquired as part of a “controlling interest,” but we have opted out of those provisions. In addition, we have opted out of Sections 78.411 through 78.444 (Combinations with Interested Stockholders) of the NRS, but our articles of incorporation include provisions with a substantially similar effect, including a prohibition, subject to certain exceptions, on engaging in any of a broad range of business combinations with any “interested” stockholder (generally defined as any stockholder with 10% or more of our voting stock and any entity or person affiliated with or controlling or controlled by such entity or person; provided, that, our articles of incorporation specify that certain stockholders are not considered an “interested stockholder” for purposes of these provisions) for a period of three years following the date on which the stockholder became an “interested” stockholder, unless the interested stockholder attained such status with the approval of our Board or unless the business combination is approved in a prescribed manner.</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This reduced disclosure may make our Class A common stock less attractive to investors.</w:t>
      </w:r>
    </w:p>
    <w:p>
      <w:pPr>
        <w:spacing w:after="0" w:line="20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w:t>
      </w:r>
    </w:p>
    <w:p>
      <w:pPr>
        <w:spacing w:after="0" w:line="2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could be an EGC until as late as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2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also a “smaller reporting company” and a “non-accelerated filer” as defined in the Exchange Act. We may take advantage of certain of the scaled disclosures available to smaller reporting companies and non-accelerated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filers as long as we qualify under these categories, even after we are no longer an EGC, including not being required to comply with the auditor attestation requirements of Section 404 of the Sarbanes-Oxley Act and reduced disclosure obligations regarding executive compensation in our periodic reports and proxy statements.</w:t>
      </w:r>
    </w:p>
    <w:p>
      <w:pPr>
        <w:spacing w:after="0" w:line="18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Investors may find our Class A common stock less attractive as a result of our decision to take advantage of some or all of the reduced disclosure requirements above. If some investors find our Class A common stock less attractive and as a result, there may be a less active trading market for our Class A common stock and our stock price may be more volatile.</w:t>
      </w:r>
    </w:p>
    <w:p>
      <w:pPr>
        <w:spacing w:after="0" w:line="200"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Pursuant to the Dodd-Frank Act and SEC rules, we must file public disclosures regarding the country of origin of certain supplies, which could damage our reputation or impact our ability to obtain merchandise if customers or other stakeholders react negatively to our disclosures.</w:t>
      </w:r>
    </w:p>
    <w:p>
      <w:pPr>
        <w:spacing w:after="0" w:line="18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In August 2012, the SEC, pursuant to the Dodd-Frank Wall Street Reform and Consumer Protection Act (“Dodd-Frank Act”), issued final rules, which require annual disclosure and reporting on the source and use of certain minerals, including gold, from the Democratic Republic of Congo and adjoining countries. The gold supply chain is complex and, while management believes that the rules currently cover less than 1% of annual worldwide gold production (based upon recent estimates), the final rules require us and other affected companies that file with the SEC to make specified country of origin inquiries of our suppliers, and otherwise to exercise reasonable due diligence in determining the country of origin and certain other information relating to any of the statutorily designated minerals (gold, tin, tantalum, and tungsten), that are used in products sold by us in the U.S. and elsewhere.</w:t>
      </w:r>
    </w:p>
    <w:p>
      <w:pPr>
        <w:spacing w:after="0" w:line="21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There may be reputational risks associated with any potential negative response of our customers and other stakeholders to future disclosures by us in the event that, due to the complexity of the global supply chain, we are unable to sufficiently verify the origin of the relevant metals. Also, if future responses to verification requests by suppliers of any of the covered minerals used in our products are inadequate or adverse, our ability to obtain merchandise may be impaired, and its compliance costs may increase. It is possible that other minerals, such as diamonds, could be subject to similar rules.</w:t>
      </w:r>
    </w:p>
    <w:p>
      <w:pPr>
        <w:spacing w:after="0" w:line="204"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provides that the Eighth Judicial District Court of the State of Nevada, Clark County, Nevada will be the sole and exclusive forum for certain stockholder litigation matters which could limit our stockholders’ ability to obtain a favorable judicial forum for disputes with us or our directors, officers, employees or stockholders.</w:t>
      </w:r>
    </w:p>
    <w:p>
      <w:pPr>
        <w:spacing w:after="0" w:line="20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articles of incorporation provide that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NRS, our articles of incorporation or our bylaws (as either may be amended or restated) or as to which the NRS confers jurisdiction on the Eighth Judicial District Court of the State of Nevada, Clark County, Nevada or (iv) any action asserting a claim governed by the internal affairs doctrine of the law of the State of Nevada shall, to the fullest extent permitted by law, be exclusively brought in the Eighth Judicial District Court of the State of Nevada, Clark County, Nevada or, if such court does not have subject matter jurisdiction thereof, the federal district court of the State of Nevada.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8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financial analysts publish about us or our business. We do not control these analysts. If one or more of the analysts who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212"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07"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and estimates prove to be incorrect, our results of operations could be adversely affected.</w:t>
      </w:r>
    </w:p>
    <w:p>
      <w:pPr>
        <w:spacing w:after="0" w:line="18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our audited consolidated financial statements and accompanying notes appearing elsewhere in this Annual Report on Form 10-K. Actual results could differ materially from these estimates. We base our estimates on historical experience and on various other assumptions that we believe to be reasonable under the circumstances, as provided in the section of this Annual Report on Form 10-K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and income tax related items.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1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of December 31, 2025, we have outstanding a total of 15,518,024 shares of Class A common stock. Any shares of Class A common stock held by our affiliates are eligible for resale pursuant to Rule 144 under the Securities Act, subject to the volume, manner of sale, holding period and other limitations of Rule 144.</w:t>
      </w:r>
    </w:p>
    <w:p>
      <w:pPr>
        <w:spacing w:after="0" w:line="2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addition, as of December 31, 2025, we have reserved 13,285,276 shares of Class A common stock for issuance under our 2021 Incentive Award Plan and 1,847,197 shares of Class A common stock for issuance under our Employee Stock Purchase Plan. Any Class A common stock that we issue under the 2021 Incentive Award Plan, the Employee Stock Purchase Plan, or other equity incentive plans that we may adopt in the future would dilute your percentage ownership in our Class A common stock.</w:t>
      </w:r>
    </w:p>
    <w:p>
      <w:pPr>
        <w:spacing w:after="0" w:line="2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0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pursuant to our stock repurchase plan may affect the value of our Class A common stock, and there can be no assurance that our stock repurchase plan will enhance stockholder value.</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Pursuant to our publicly announced stock repurchase plan, we are authorized to repurchase up to $20 million in the aggregate of our Class A common stock, including through the repurchase of outstanding shares of our Class A common stock and through open market purchases, in privately negotiated transactions, or by other means, including through the use of trading plans, each in accordance with applicable securities laws and other restrictions. The timing, amount, and manner of any purchase will be determined at the Company’s discretion, subject to business, economic and market conditions, corporate needs and regulatory requirements, prevailing stock prices, and other considerations. This activity could increase (or reduce the size of any decrease in) the market price of our Class A common stock at that time. Additionally, repurchases under our share repurchase program will continue to diminish our cash reserves, which could impact our ability to pursue possible strategic opportunities and acquisitions and could result in lower overall returns on our cash balances. There can be no assurance that any share repurchases will enhance stockholder value because the market price of our Class A shares could decline. Although our share repurchase program is intended to enhance long-term stockholder value, short-term share price fluctuations could reduce the program’s effectiveness.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21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are required to furnish a report by management on, among other things, the effectiveness of our internal control over financial reporting pursuant to Section 404(a) of the Sarbanes-Oxley Act in our annual reports.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December 31, 2026. When required to provide an attestation report, our independent registered public accounting firm may issue a report that is adverse in the event it is not satisfied with the level at which our internal control over financial reporting is documented, designed or operating.</w:t>
      </w:r>
    </w:p>
    <w:p>
      <w:pPr>
        <w:spacing w:after="0" w:line="2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disclosed in Part II, Item 9A, “Controls and Procedures,” of this Annual Report on Form 10-K, our management previously identified a material weakness in our internal control over financial reporting related to ineffective information technology general controls. As described in Item 9A, management has remediated the material weakness and concluded that our internal control over financial reporting was effective as of December 31, 2025. However, there can be no assurance that additional material weaknesses will not be identified in the future or that we will be able to remediate such identified material weaknesses identified in a timely manner which could adversely affect our ability to accurately and timely report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have incurred and expect to continue to incur costs related to implementing an internal audit function and additional controls in the upcoming years to further improve our internal control environment. If we are unable to comply with the demands that are placed upon us as a public company, including the requirements of Section 404 of the Sarbanes-Oxley Act, in a timely manner, there could be errors in our annual or interim consolidated financial statements that could result in a restatement of our financial statements, or we may be unable to report our financial results within the timeframes required by the SEC. Additionally, ineffective internal control over financial reporting could expose us to an increased risk of financial reporting fraud and the misappropriation of assets and subject us to potential delisting from Nasdaq or to other regulatory investigations and civil or criminal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202" w:lineRule="exact"/>
        <w:rPr>
          <w:sz w:val="20"/>
          <w:szCs w:val="20"/>
          <w:color w:val="auto"/>
        </w:rPr>
      </w:pPr>
    </w:p>
    <w:p>
      <w:pPr>
        <w:jc w:val="both"/>
        <w:ind w:right="700"/>
        <w:spacing w:after="0" w:line="274" w:lineRule="auto"/>
        <w:rPr>
          <w:sz w:val="20"/>
          <w:szCs w:val="20"/>
          <w:color w:val="auto"/>
        </w:rPr>
      </w:pPr>
      <w:r>
        <w:rPr>
          <w:rFonts w:ascii="Times New Roman" w:cs="Times New Roman" w:eastAsia="Times New Roman" w:hAnsi="Times New Roman"/>
          <w:sz w:val="18"/>
          <w:szCs w:val="18"/>
          <w:color w:val="auto"/>
        </w:rPr>
        <w:t>We design and assess our program based on the Center for Internet Security CIS Controls (“CIS Controls”). This does not imply that we meet any particular technical standards, specifications, or requirements, only that we use the CIS Controls as a guide to help us identify, assess, and manage cybersecurity risks relevant to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is part of our overall risk management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239" w:lineRule="exact"/>
        <w:rPr>
          <w:sz w:val="20"/>
          <w:szCs w:val="20"/>
          <w:color w:val="auto"/>
        </w:rPr>
      </w:pPr>
    </w:p>
    <w:p>
      <w:pPr>
        <w:ind w:left="660" w:right="4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 products, services, and our broader enterprise IT environment;</w:t>
      </w:r>
    </w:p>
    <w:p>
      <w:pPr>
        <w:spacing w:after="0" w:line="189"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if appropriate, to assess, test or otherwise assist with aspects of our security processes;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w:t>
      </w:r>
    </w:p>
    <w:p>
      <w:pPr>
        <w:spacing w:after="0" w:line="238" w:lineRule="exact"/>
        <w:rPr>
          <w:rFonts w:ascii="Times New Roman" w:cs="Times New Roman" w:eastAsia="Times New Roman" w:hAnsi="Times New Roman"/>
          <w:sz w:val="18"/>
          <w:szCs w:val="18"/>
          <w:color w:val="auto"/>
        </w:rPr>
      </w:pPr>
    </w:p>
    <w:p>
      <w:pPr>
        <w:ind w:left="660" w:right="6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 operations;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25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To date,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We rely heavily on our information technology systems, as well as those of our third-party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0"/>
        <w:spacing w:after="0" w:line="331" w:lineRule="auto"/>
        <w:rPr>
          <w:sz w:val="20"/>
          <w:szCs w:val="20"/>
          <w:color w:val="auto"/>
        </w:rPr>
      </w:pPr>
      <w:r>
        <w:rPr>
          <w:rFonts w:ascii="Times New Roman" w:cs="Times New Roman" w:eastAsia="Times New Roman" w:hAnsi="Times New Roman"/>
          <w:sz w:val="17"/>
          <w:szCs w:val="17"/>
          <w:i w:val="1"/>
          <w:iCs w:val="1"/>
          <w:color w:val="auto"/>
        </w:rPr>
        <w:t>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54"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including oversight of management’s implementation of our cybersecurity risk management program.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receives periodic reports on our cybersecurity risks and processes and material cybersecurity incidents, if any, from management.</w:t>
      </w:r>
    </w:p>
    <w:p>
      <w:pPr>
        <w:spacing w:after="0" w:line="266" w:lineRule="exact"/>
        <w:rPr>
          <w:sz w:val="20"/>
          <w:szCs w:val="20"/>
          <w:color w:val="auto"/>
        </w:rPr>
      </w:pPr>
    </w:p>
    <w:p>
      <w:pPr>
        <w:jc w:val="both"/>
        <w:ind w:right="380"/>
        <w:spacing w:after="0" w:line="274"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at every Board meeting. The full Board also receives periodic briefings from management on our risk management activities, which includes our cybersecurity risk management. Presentations on cybersecurity topics are made by our SVP, Technology and internal cybersecurity staff.</w:t>
      </w:r>
    </w:p>
    <w:p>
      <w:pPr>
        <w:spacing w:after="0" w:line="20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management team, including our Chief Executive Officer, Chief Financial Officer, General Counsel, SVP of Technology, and Senior Director, Cybersecurity &amp; IT (“Senior Director”), among others in support roles as needed, are responsible for assessing and managing our material risks from cybersecurity threats. This team has primary responsibility for our overall cybersecurity risk management program and supervises our internal cybersecurity personnel. Our management team members have relevant experience in risk assessment and management, and our Senior Director's experience includes over 18 years of cybersecurity experience, Certified Information Systems Security Professional (CISSP) and Certified Data Privacy Solutions Engineer® certifications, and prior experience at other publicly traded companies with security frameworks, application security, IT security, Cloud security, SOX IT General Controls audits, GDPR and CACPA regulations, and PCI-DSS compliance..</w:t>
      </w:r>
    </w:p>
    <w:p>
      <w:pPr>
        <w:spacing w:after="0" w:line="2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in San Francisco, CA and Denver, CO. We lease retail showroom, office and operational locations. As of December 31, 2025, we had 42 showrooms and one operations center in the United States.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sets forth certain information regarding these properties, all of which are leased.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1"/>
        </w:trPr>
        <w:tc>
          <w:tcPr>
            <w:tcW w:w="7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0" w:type="dxa"/>
            <w:vAlign w:val="bottom"/>
          </w:tcPr>
          <w:p>
            <w:pPr>
              <w:spacing w:after="0"/>
              <w:rPr>
                <w:sz w:val="24"/>
                <w:szCs w:val="24"/>
                <w:color w:val="auto"/>
              </w:rPr>
            </w:pPr>
          </w:p>
        </w:tc>
      </w:tr>
      <w:tr>
        <w:trPr>
          <w:trHeight w:val="23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Square Footage</w:t>
            </w:r>
          </w:p>
        </w:tc>
      </w:tr>
      <w:tr>
        <w:trPr>
          <w:trHeight w:val="41"/>
        </w:trPr>
        <w:tc>
          <w:tcPr>
            <w:tcW w:w="7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57"/>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Showrooms and Office Locations</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4"/>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28,128</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w:t>
            </w:r>
          </w:p>
        </w:tc>
      </w:tr>
      <w:tr>
        <w:trPr>
          <w:trHeight w:val="41"/>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4"/>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41"/>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4"/>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4"/>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40"/>
        </w:trPr>
        <w:tc>
          <w:tcPr>
            <w:tcW w:w="75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57"/>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Retail Showrooms and Office Locations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129,256</w:t>
            </w:r>
          </w:p>
        </w:tc>
      </w:tr>
      <w:tr>
        <w:trPr>
          <w:trHeight w:val="257"/>
        </w:trPr>
        <w:tc>
          <w:tcPr>
            <w:tcW w:w="7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Operations center</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Secaucus, New Jersey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r>
    </w:tbl>
    <w:p>
      <w:pPr>
        <w:spacing w:after="0" w:line="33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All of our executive offices and retail showrooms are leased from third parties, and our leases generally have a term of 5 to 10 years and typically include five-year renewal options. Most of our showroom leases provide for a minimum rent, with escalating rent increases, and generally require us to pay insurance, utilities, real estate taxes and repair and maintenance expenses.</w:t>
      </w:r>
    </w:p>
    <w:p>
      <w:pPr>
        <w:spacing w:after="0" w:line="20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may negotiate new lease agreements, renew existing lease agreements or use alternate facilities prior to lease termination. We believe that our facilities are adequate for our needs and believe that we should be able to renew any of our leases or secure similar property without an adverse impact on our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7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7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The Company intends to vigorously defend the alleged individual and representative claims, and, at this time, any liability is not expected to be material to the Company's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Class A common stock trades on the Nasdaq Global Market under the trading symbol “BRLT.” There is no established public trading market for our Class B common stock, Class C common stock or Class D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As of March 6, 2026, there were approximately 19 holders of record of our Class A common stock, 24 holders of record of our Class B common stock and 1 holder of record of our Class C common stock. No shares of our Class D common stock are outstanding. Because some of our shares of Class A common stock are held by brokers and institutions on behalf of stockholders, we are unable to estimate the total number of beneficial owners of our Class A common stock represented by these record 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7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August 2025, the Board declared a one-time cash dividend of $0.25 per share to holders of our Class A common stock and holders of common units of Brilliant Earth, LLC, respectively. The distribution from Brilliant Earth, LLC totaled approximately $25.0 million, of which a pro rata portion was used by us to fund the dividend. Payment of the dividend was made on September 8, 2025 to holders of record of our Class A common stock as of the close of business on August 22, 2025. Approximately $21.2 million was paid to holders of common units of Brilliant Earth, LLC and approximately $3.8 million was paid to holders of the Company's Class A common stock.</w:t>
      </w:r>
    </w:p>
    <w:p>
      <w:pPr>
        <w:spacing w:after="0" w:line="21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do not anticipate declaring or paying any cash dividends on our Class A and Class D common stock in the foreseeable future. Holders of our Class B common stock and Class C common stock are not entitled to participate in any dividends declared by our Board. Furthermore, because we are a holding company, our ability to pay cash dividends on our Class A common stock and Class D common stock depends on our receipt of cash distributions from Brilliant Earth, LLC. Any future determination as to the declaration and payment of dividends, if any, will be at the discretion of our Board, subject to the requirements of applicable law,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period covered by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w:t>
      </w:r>
    </w:p>
    <w:p>
      <w:pPr>
        <w:spacing w:after="0" w:line="2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December 8, 2023, the Company announced that the Board approved a share repurchase program authorizing the Company to purchase up to an aggregate of $20.0 million of the Company's Class A common stock through the expiration of the program on December 8, 2026. The repurchases may be executed 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 program does not obligate the Company to acquire any particular amount of Class A common stock and may be modified, suspended or terminated at any time at the discretion of our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our Class A common stock during the three months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64" w:right="9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information presented in our audited consolidated financial statements and related notes included elsewhere in this Annual Report on Form 10-K. The following discussion and analysis reflects the historical results of operations and financial position of Brilliant Earth Group, Inc. and its consolidated subsidiary, Brilliant Earth, LLC.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Annual Report on Form 10-K. We assume no obligation to update any of these forward-looking statements. For a comparison of our results of Operations for the fiscal years ended December 31, 2024 and 2023 see Item 7. Management's Discussion and Analysis of Financial Condition and Results of Operations for our Annual Report on Form 10-K for the fiscal year ended December 31, 2024 filed with the SEC on March 13,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43"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16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7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2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achieved strong financial performance and rapid growth since our founding, and believe we are in the early stages of realizing our potential in a significant market opportunity. We have been growing our fine jewelry sales and believe this represents an opportunity for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Below is a summary of our performance for the year ended December 31, 2025:</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$437.5 million compared to $422.2 million for the year ended December 31,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$6.4 million compared to net income of $4.0 million for the year ended December 31,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margin of 1.5% compared to net income margin of 0.9% for the year ended December 31,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$12.0 million compared to $21.1 million for the year ended December 31,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of 2.7% compared to 5.0% for the year ended December 31, 2024.</w:t>
      </w:r>
    </w:p>
    <w:p>
      <w:pPr>
        <w:spacing w:after="0" w:line="234"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See the section below titled “Non-GAAP Financial Measures” for information regarding Adjusted EBITDA and Adjusted EBITDA margin, including reconciliations to the most directly comparable financial measures prepared in accordance with GAAP.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one operating and reporting segment, the retail sale of diamonds, gemstones and jewelry.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Increase Brand Awareness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Cost-Effective Acquisition of New Customers and Retention of Existing Customers.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on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Continue Successfully Growing and Managing our Omnichannel Presence</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future, and we believe we can achieve broad national showroom coverage with far fewer locations than many traditional retailers. We rely on this highly efficient showroom model to complement our digital strategy and to drive future growth and profitability.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Successfully Introduce New Products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partnerships and brand collaborations will also expand our reach, broaden our existing assortment, and reinforce our brand ethos.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Expansion</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in the early stages of selling globally, and a larger geographic footprint will help drive future growth. Our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and Marketing Efficiency</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non-restricted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Trends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we are well 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w:t>
      </w:r>
    </w:p>
    <w:p>
      <w:pPr>
        <w:spacing w:after="0" w:line="20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In addition, many of the materials that go into our products are sourced and manufactured internationally. Tariffs on imports into the U.S. have had an impact on our materials costs and have the potential to further impact our business depending on the outcome of changes in U.S. trade policy and any corresponding actions by other countries in which companies with which we do business are located. Similarly, increases in prices of gold, platinum and other precious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metals have also had an impact on our materials costs and have the potential to further impact our business. Any deterioration in macroeconomic conditions resulting from uncertainties and effects from tariffs, increases in the costs of materials, especially of gold, platinum and other precious metals, increased congestion and/or new import/export restrictions at ports that we rely on for our business, or delays or disruptions in the delivery of materials could adversely impact our business, financial condition, and operating results.</w:t>
      </w:r>
    </w:p>
    <w:p>
      <w:pPr>
        <w:spacing w:after="0" w:line="21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U.S. federal government has in the past experienced, and may in the future experience, shutdowns, funding gaps, or other fiscal disruptions. Such disruptions may result in broader economic uncertainty that could affect demand for our products, disrupt supply chains, or result in reduced discretionary spending by our customers.</w:t>
      </w:r>
    </w:p>
    <w:p>
      <w:pPr>
        <w:spacing w:after="0" w:line="196"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8"/>
          <w:szCs w:val="18"/>
          <w:color w:val="auto"/>
        </w:rPr>
        <w:t>The current inflationary environment and changes in macro-level consumer spending trends, due to volatile macro-economic conditions, have had a negative impact on sales and could further negatively impact our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68"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A larger share of our annual revenues and profits traditionally occur in the fourth quarter because it includes the November and December holiday sales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sales are recorded net of estimated sales returns and allowances and sales tax collected from customers. Our net sales primarily consist of revenue from diamond, jewelry, and gemstone retail sales through our website and dedicated jewelry consultants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of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allow for certain returns within 30 days of when an order is available for shipment or pickup. We also typically provide one complimentary resizing within 60 days of when a purchase is available for shipment or pickup, regardless of sizing range, and within 1 year within sizing range, a lifetime manufacturing warranty (except center diamonds/gemstones), and a lifetime diamond upgrade program on all diamonds that meet certain criteria. We offer an extended protection plan through a third party that has terms ranging from two years to lifetime that vary based on the item purchased.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deferred on transactions where payment has been received from the customer, but control has not yet transferred.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costs of shipping orders to customers, certain fulfillment and inventory-related compensation costs, repair costs and related labor expenses. Our cost of sales includes reserves for disposal of obsolete, slow-moving or defective items, and shrinkage, which we estimate and record on a periodic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expenses consist primarily of marketing and advertising expenses through various online platforms including digital, website, social media, search engine optimization, paid search and product advertisements, influencers and in showroom branding. Operating expenses also consist of general and administrative expenses related to employee costs such as payroll and related benefit costs, including equity-based compensation expense. General and administrative expenses also consist of information technology and other software related costs, rent and lease related expenses, depreciation and amortization expense, merchant processing fees, as well as professional fees, other general corporate expenses and charitable donations in connection with funding the Brilliant Earth Foundation, a donor advised fund, to support our charitable giving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incurred under our SVB Credit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certain cash balances and other miscellaneous income, partially offset by expenses such as losses on exchange rates on consumer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Income tax expense represents the federal and state income or franchise taxes assessed on Brilliant Earth Group, Inc's share of taxable income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results of operations data in the following tables for the periods presented have been derived from the audited consolidated financial statements included elsewhere in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for the years ended December 31, 2025 and 2024, including amounts and percentages of net sales for each year and the year-to-year change in dollars and percent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Year over year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17"/>
        </w:trPr>
        <w:tc>
          <w:tcPr>
            <w:tcW w:w="33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251,504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254,402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7"/>
        </w:trPr>
        <w:tc>
          <w:tcPr>
            <w:tcW w:w="3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256,880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251,052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23"/>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23"/>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TRA liability adjustment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7"/>
        </w:trPr>
        <w:tc>
          <w:tcPr>
            <w:tcW w:w="33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(5925.6)%</w:t>
            </w:r>
          </w:p>
        </w:tc>
        <w:tc>
          <w:tcPr>
            <w:tcW w:w="0" w:type="dxa"/>
            <w:vAlign w:val="bottom"/>
          </w:tcPr>
          <w:p>
            <w:pPr>
              <w:spacing w:after="0"/>
              <w:rPr>
                <w:sz w:val="1"/>
                <w:szCs w:val="1"/>
                <w:color w:val="auto"/>
              </w:rPr>
            </w:pPr>
          </w:p>
        </w:tc>
      </w:tr>
      <w:tr>
        <w:trPr>
          <w:trHeight w:val="217"/>
        </w:trPr>
        <w:tc>
          <w:tcPr>
            <w:tcW w:w="33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allocable to non-controlling</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194"/>
        </w:trPr>
        <w:tc>
          <w:tcPr>
            <w:tcW w:w="33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Net (loss) income allocable to Brilliant</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Earth Group, Inc.</w:t>
            </w: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sales for the year ended December 31, 2025 increased by $15.3 million, or 3.6%, compared to the year ended December 31, 2024. The increase in net sales was due to an increase of 13.0% in order volumes, partially offset by a decrease of 8.2% in AOV.</w:t>
      </w:r>
    </w:p>
    <w:p>
      <w:pPr>
        <w:spacing w:after="0" w:line="17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13.0% increase in order volumes was due to strong performance in lower price point products, including fine jewelry, continued effectiveness of our customer acquisition and retention activities and the opening of new showrooms.</w:t>
      </w:r>
    </w:p>
    <w:p>
      <w:pPr>
        <w:spacing w:after="0" w:line="21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decrease in AOV was driven by a higher mix of lower price point products, including fine jewelry, and comparatively stronger performance of engagement rings priced below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7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2025 decreased by $2.9 million, or 1.1%, compared to the year ended December 31, 2024. Gross margin, expressed as a percentage and calculated as gross profit divided by net sales, decreased by 280 basis points for the year ended December 31, 2025 compared to the year ended December 31, 2024, primarily driven by higher gold and platinum costs. This decrease was partially offset by continued optimization of our pricing engine, procurement efficiencies, and other efforts to manage our gross margins to target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Operating expenses for the year ended December 31, 2025 increased by $5.8 million, or 2.3%, compared to the year ended December 31, 2024. Operating expenses as a percentage of net sales decreased by 80 basis points for the year ended December 31, 2025 compared to the year ended December 31, 2024. The increase in operating expenses was primarily driven by an increase in employment expenses of $5.4 million and an increase in other general and administrative expenses of $2.8 million. These increases were partially offset by a decrease in marketing expenses of $2.4 million compared to the year ended December 31, 2024.</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increase in employment expenses was primarily driven by an increase in salaries and wages and other benefits primarily due to the addition of staff to support our growth. The increase in other general and administrative expenses was a result of increases in rent and lease-related expenses, professional fees, information technology and other software-related costs, and depreciation expense. These increases were partially offset by decreases in product development costs and pre-opening expenses from new showrooms compared to the year ended December 31, 2024. The decrease in marketing expenses from the prior year was a result of our continued focus on improving the effectiveness and efficiency of our marketing spend.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for the year ended December 31, 2025 decreased by $2.7 million, or 54.6%, compared to the year ended December 31, 2024, primarily due to the prepayment of all principal amounts outstanding of $34.8 million under the SVB Term Loan in August 2025. As a result of the prepayment, the Company recognized a loss on debt extinguishment of $0.6 million associated with the write-off of unamortized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Other income, net for the year ended December 31, 2025 decreased by $2.2 million, or 37.1%, compared to the year ended December 31, 2024, primarily due to decreased interest income earned on our cash balances. Additionally, this amount includes immaterial losses on exchange rates on consumer payments and other miscellaneous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TRA Liability Adjustment</w:t>
      </w:r>
    </w:p>
    <w:p>
      <w:pPr>
        <w:spacing w:after="0" w:line="2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entered into a TRA with the Continuing Equity Owners to pay 85% of the tax savings from the tax basis adjustment to them as such savings are realized. As a result of exchanges of Class B common stock for Class A common stock, the long-term portion of the potential TRA liability was $7.8 million at December 31, 2024. For similar reasons that led the Company to record a full valuation allowance on the deferred tax assets, we evaluated the probability of amounts being owed pursuant to the TRA and determined the likelihood of a future liability was not probable at the current time and therefore did not record a TRA liability for the year ended December 31, 2025. As a result, the Company reduced the TRA liability to zero and recognized a gain on TRA liability adjustment of $7.8 million in the Company's consolidated statement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7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Brilliant Earth Group, Inc.’s income tax expense was $9.6 million for the year ended December 31, 2025 compared to income tax expense of $0.2 million for the year ended December 31, 2024. During the fourth quarter 2025, the Company evaluated the likelihood it would realize its deferred tax assets and determined it was more likely than not that its deferred tax assets would not be realized and a full valuation allowance was recorded. The Company recognized approximately $9.6 million of deferred tax expense in the consolidated statement of operations primarily related to the increase in the valuation allowance and changes in deferred taxes related to the outside basis difference of Brilliant Earth Group, Inc.'s investment in Brilliant Earth, LLC.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Allocable to Non-Controlling Interests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net loss allocable to the non-controlling interests (“NCI”) of Brilliant Earth, LLC was $2.8 million for the year ended December 31, 2025, compared to net income of $3.5 million for the year ended December 31, 2024. The decrease in net (loss) income allocable to the NCI was primarily due to a decrease in earnings from the prior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key performance metrics for the periods presented (dollars in thousands, except for AOV):</w:t>
      </w:r>
    </w:p>
    <w:p>
      <w:pPr>
        <w:spacing w:after="0" w:line="309"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437,483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422,161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Orders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210,158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33"/>
        </w:trPr>
        <w:tc>
          <w:tcPr>
            <w:tcW w:w="3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AOV</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3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is defined above in “</w:t>
      </w:r>
      <w:r>
        <w:rPr>
          <w:rFonts w:ascii="Times New Roman" w:cs="Times New Roman" w:eastAsia="Times New Roman" w:hAnsi="Times New Roman"/>
          <w:sz w:val="18"/>
          <w:szCs w:val="18"/>
          <w:i w:val="1"/>
          <w:iCs w:val="1"/>
          <w:color w:val="auto"/>
        </w:rPr>
        <w:t>Components of Results of Operations.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Orders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Order Value</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which are non-GAAP financial measures, are included in this Annual Report on Form 10-K because they are used by management and our Board to assess our financial performance. We define Adjusted EBITDA as net (loss) income excluding interest expense, income tax expense (benefit), depreciation expense, amortization of cloud-based software implementation costs, showroom pre-opening expense, equity-based compensation expense, other income, net loss on extinguishment of debt,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(loss) income that may vary substantially in frequency and magnitude from period to period. These non-GAAP financial measures are not meant to be considered as indicators of performance in isolation from or as a substitute for net (loss) income prepared in accordance with GAAP and should be read only in conjunction with financial information presented on a GAAP basis. Reconciliations of each of Adjusted EBITDA and Adjusted EBITDA margin to its most directly comparable GAAP financial measure, net (loss) income and net (loss) income margin, are presented below. We encourage you to review the reconciliations in conjunction with the presentation of the non-GAAP financial measures for each of the years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b w:val="1"/>
          <w:bCs w:val="1"/>
          <w:color w:val="auto"/>
        </w:rPr>
        <w:t>net (loss) income</w:t>
      </w:r>
      <w:r>
        <w:rPr>
          <w:rFonts w:ascii="Times New Roman" w:cs="Times New Roman" w:eastAsia="Times New Roman" w:hAnsi="Times New Roman"/>
          <w:sz w:val="18"/>
          <w:szCs w:val="18"/>
          <w:color w:val="auto"/>
        </w:rPr>
        <w:t xml:space="preserve"> and net (loss) income margin, </w:t>
      </w:r>
      <w:r>
        <w:rPr>
          <w:rFonts w:ascii="Times New Roman" w:cs="Times New Roman" w:eastAsia="Times New Roman" w:hAnsi="Times New Roman"/>
          <w:sz w:val="18"/>
          <w:szCs w:val="18"/>
          <w:b w:val="1"/>
          <w:bCs w:val="1"/>
          <w:color w:val="auto"/>
        </w:rPr>
        <w:t>the most comparable GAAP financial measures</w:t>
      </w:r>
      <w:r>
        <w:rPr>
          <w:rFonts w:ascii="Times New Roman" w:cs="Times New Roman" w:eastAsia="Times New Roman" w:hAnsi="Times New Roman"/>
          <w:sz w:val="18"/>
          <w:szCs w:val="18"/>
          <w:color w:val="auto"/>
        </w:rPr>
        <w: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and Adjusted EBITDA margin, respectively, for the years presented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83185</wp:posOffset>
            </wp:positionV>
            <wp:extent cx="2219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29"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40"/>
        </w:trPr>
        <w:tc>
          <w:tcPr>
            <w:tcW w:w="5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5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3,994</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5,031</w:t>
            </w:r>
          </w:p>
        </w:tc>
      </w:tr>
      <w:tr>
        <w:trPr>
          <w:trHeight w:val="41"/>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5,312</w:t>
            </w:r>
          </w:p>
        </w:tc>
      </w:tr>
      <w:tr>
        <w:trPr>
          <w:trHeight w:val="40"/>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817</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Showroom pre-opening expense</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1,705</w:t>
            </w:r>
          </w:p>
        </w:tc>
      </w:tr>
      <w:tr>
        <w:trPr>
          <w:trHeight w:val="41"/>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9,934</w:t>
            </w:r>
          </w:p>
        </w:tc>
      </w:tr>
      <w:tr>
        <w:trPr>
          <w:trHeight w:val="28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(5,835)</w:t>
            </w: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TRA liability adjustment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21,118</w:t>
            </w:r>
          </w:p>
        </w:tc>
      </w:tr>
      <w:tr>
        <w:trPr>
          <w:trHeight w:val="21"/>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47" w:lineRule="exact"/>
        <w:rPr>
          <w:sz w:val="20"/>
          <w:szCs w:val="20"/>
          <w:color w:val="auto"/>
        </w:rPr>
      </w:pPr>
    </w:p>
    <w:p>
      <w:pPr>
        <w:ind w:left="220" w:hanging="212"/>
        <w:spacing w:after="0"/>
        <w:tabs>
          <w:tab w:leader="none" w:pos="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primarily of interest and other miscellaneous income, partially offset by expenses such as losses on exchange rates on consumer payments.</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expenses are those that we did not incur in the normal course of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requirements for liquidity and capital are for purchases of inventory, payment of operating expenses, tax distributions to Continuing Equity Owners,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December 31, 2025, we had a cash balance, excluding restricted cash, of $79.1 million, and negative working capital of $(24.5) million.</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August 2025, our Board declared a one-time cash dividend of $0.25 per share to holders of our Class A common stock and holders of common units of Brilliant Earth, LLC, respectively. The distribution from Brilliant Earth, LLC totaled approximately $25.0 million, of which a pro rata portion was used by us to fund the dividend. Payment of the dividend was made on September 8, 2025 to holders of record of our Class A common stock as of the close of business on August 22, 2025. Approximately $21.2 million was paid to holders of common units of Brilliant Earth, LLC and approximately $3.8 million was paid to holders of the Company's Class A common stock.</w:t>
      </w:r>
    </w:p>
    <w:p>
      <w:pPr>
        <w:spacing w:after="0" w:line="21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For the twelve months ended December 31, 2025, the Company declared and paid $6.8 million of tax distributions to, or on behalf of, members associated with their estimated income tax obligations pursuant to the LLC Agreement. We are committed to continue to make quarterly distributions in connection with member estimated income tax obligations which we expect to fund with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Any future determination as to the declaration and payment of dividends, if any, will be at the discretion of the Board, subject to the requirements of applicable law, compliance with contractual restrictions and covenants in the agreements governing our current and future indebtedness. Any such determination will also depend upon the Company's business prospects, results of operations, financial condition, cash requirements and availability, industry trends, and other factors that the Board may deem relevant.</w:t>
      </w:r>
    </w:p>
    <w:p>
      <w:pPr>
        <w:spacing w:after="0" w:line="207"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We believe based on our current projections, that we have sufficient sources of liquidity to meet our projected operating and tax distribution requirements for at least the next 12 months following the filing of this Annual Report on Form 10-K.</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 future liquidity needs may also include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 — Comparison of Years Ended December 31, 2025 and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 (in thousands):</w:t>
      </w:r>
    </w:p>
    <w:p>
      <w:pPr>
        <w:spacing w:after="0" w:line="302"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40"/>
        </w:trPr>
        <w:tc>
          <w:tcPr>
            <w:tcW w:w="62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7"/>
        </w:trPr>
        <w:tc>
          <w:tcPr>
            <w:tcW w:w="6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2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w:t>
            </w:r>
          </w:p>
        </w:tc>
      </w:tr>
      <w:tr>
        <w:trPr>
          <w:trHeight w:val="24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40"/>
        </w:trPr>
        <w:tc>
          <w:tcPr>
            <w:tcW w:w="6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r>
      <w:tr>
        <w:trPr>
          <w:trHeight w:val="237"/>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6,121</w:t>
            </w:r>
          </w:p>
        </w:tc>
      </w:tr>
      <w:tr>
        <w:trPr>
          <w:trHeight w:val="40"/>
        </w:trPr>
        <w:tc>
          <w:tcPr>
            <w:tcW w:w="6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156,020</w:t>
            </w:r>
          </w:p>
        </w:tc>
      </w:tr>
      <w:tr>
        <w:trPr>
          <w:trHeight w:val="27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79,438</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162,141</w:t>
            </w:r>
          </w:p>
        </w:tc>
      </w:tr>
      <w:tr>
        <w:trPr>
          <w:trHeight w:val="27"/>
        </w:trPr>
        <w:tc>
          <w:tcPr>
            <w:tcW w:w="6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2025, net cash provided by operating activities was $9.7 million compared to net cash provided by operating activities of $17.6 million for the year ended December 31, 2024, a decrease of $7.9 million. This decrease was primarily driven by a decrease in cash provided from net (loss) income adjusted for non-cash addbacks of $7.5 million. There was also an increase in cash used from changes in assets and liabilities related to working capital management activities of $0.4 million. The increase in cash used from changes in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8"/>
          <w:szCs w:val="18"/>
          <w:color w:val="auto"/>
        </w:rPr>
        <w:t>was primarily due to an increase in cash used of $18.4 million in inventories, prepaid expenses and other current assets, other assets, and operating lease liabilities. This was partially offset by a decrease in cash used of $13.6 million in accounts payable, accrued expenses and other current liabilities, and an increase in cash generated of $4.4 million in deferred revenue when compared to the year ended December 31, 2024.</w:t>
      </w:r>
    </w:p>
    <w:p>
      <w:pPr>
        <w:spacing w:after="0" w:line="2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overall decrease in operating cash flows was primarily driven by a decrease in earnings and higher cash outflows for working capital compared to the prior year as discussed above. The Company had increases in inventory purchases and prepaid expenses and cloud computing assets. Payments on operating lease liabilities increased from the prior year due to additional leased showrooms acquired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$4.0 million for the year ended December 31, 2025 compared to $4.9 million for the year ended December 31, 2024. The decrease of $0.9 million was principally due to a decrease in purchases of property and equipment related to new facilities leased during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Net cash used in financing activities was $88.5 million for the year ended December 31, 2025 compared to $6.6 million for the year ended December 31, 2024. The increase of $81.9 million was primarily due to higher payments made on the SVB Term Loan of $52.0 million and higher dividends and distributions paid to members of $26.2 million. Additionally, the Company paid a one-time cash dividend of $3.8 million to holders of the Company's Class A common stock.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Valley Bank Credit Facilities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24, 2022, Brilliant Earth, LLC, as borrower, and SVB, as administrative agent and collateral agent for the lenders, entered into a credit agreement (the “SVB Credit Agreement”) which provided for a secured term loan credit facility of $65.0 million (the “SVB Term Loan”) and a secured revolving credit facility in an amount of up to $40.0 million (the “SVB Revolving Facility”, and together with the SVB Term Loan, the “SVB Credit Facilities”). The SVB Credit Facilities were set to mature on May 24, 2027 (the “Maturity Date”).</w:t>
      </w:r>
    </w:p>
    <w:p>
      <w:pPr>
        <w:spacing w:after="0" w:line="207"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In May 2025, we made principal payments totaling $20 million on the SVB Term Loan. No additional principal payments were required until the Maturity Date.</w:t>
      </w:r>
    </w:p>
    <w:p>
      <w:pPr>
        <w:spacing w:after="0" w:line="19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In August 2025, we prepaid all principal amounts outstanding of $34.8 million under the SVB Term Loan and terminated all commitments outstanding under the SVB Credit Agreement. As a result of the prepayment, we recognized a loss on debt extinguishment of $0.6 million associated with the write-off of unamortized debt issuance costs.</w:t>
      </w:r>
    </w:p>
    <w:p>
      <w:pPr>
        <w:spacing w:after="0" w:line="20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As a result of the prepayment of all principal amounts outstanding under the SVB Term Loan, and termination of all commitments outstanding under the SVB Credit Agreement, we are no longer required to be in compliance with any covenants under the SVB Credit Agreement as of December 31, 2025.</w:t>
      </w:r>
    </w:p>
    <w:p>
      <w:pPr>
        <w:spacing w:after="0" w:line="178"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activity,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audited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Liquidity Requirements</w:t>
      </w:r>
    </w:p>
    <w:p>
      <w:pPr>
        <w:spacing w:after="0" w:line="2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2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Factors—Risks Related to Our Organizational Structure.”</w:t>
      </w:r>
    </w:p>
    <w:p>
      <w:pPr>
        <w:spacing w:after="0" w:line="234"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In December 2023, the Board approved a share repurchase program authorizing the Company to purchase up to an aggregate of $20.0 million of the Company's Class A common stock through the expiration of the program in December 2026.</w:t>
      </w:r>
    </w:p>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Exchange Act.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does not obligate the Company to acquire a specific number of shares of Class A common stock and may be suspended, terminated, or modified at any time without notice, at the discretion of the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lease our showrooms and headquarters office space under non-cancelable lease agreements whereby $9.0 million is due in the year ended December 31, 2026. Total future lease payments as of December 31, 2025 are $45.2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capital commitments of $0.8 million related to new showroom construction and improvements to existing locations as of December 31, 2025.</w:t>
      </w:r>
    </w:p>
    <w:p>
      <w:pPr>
        <w:spacing w:after="0" w:line="26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in the normal course of business, we will enter into agreements with suppliers or service providers. As of December 31, 2025, contractual obligations with a remaining term in excess of 12 months primarily related to marketing and advertising spending as well as software maintenance totaled $2.9 million. For additional information on our contractual obligations and commitments,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and Members Units </w:t>
      </w:r>
      <w:r>
        <w:rPr>
          <w:rFonts w:ascii="Times New Roman" w:cs="Times New Roman" w:eastAsia="Times New Roman" w:hAnsi="Times New Roman"/>
          <w:sz w:val="18"/>
          <w:szCs w:val="18"/>
          <w:color w:val="auto"/>
        </w:rPr>
        <w:t>and Note 13,</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 to our audited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preparing our audited consolidated financial statements and the related notes thereto included elsewhere in this Annual Report on Form 10-K in conformity with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current trends. Actual amounts could differ from those estimated at the time the audited consolidated financial statements are prepared.</w:t>
      </w:r>
    </w:p>
    <w:p>
      <w:pPr>
        <w:spacing w:after="0" w:line="2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accompanying financial statements and related notes thereto included elsewhere in this Annual Report on Form 10-K.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See Part I, Item 1A. Risk Factors –Risks related to the Ownership of Our Class</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A Common Stock – </w:t>
      </w:r>
      <w:r>
        <w:rPr>
          <w:rFonts w:ascii="Times New Roman" w:cs="Times New Roman" w:eastAsia="Times New Roman" w:hAnsi="Times New Roman"/>
          <w:sz w:val="18"/>
          <w:szCs w:val="18"/>
          <w:i w:val="1"/>
          <w:iCs w:val="1"/>
          <w:color w:val="auto"/>
        </w:rPr>
        <w:t>If our estimates or judgments relating to our critical accounting policies and estimates prove to be incorrect, our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be adversely affected</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estimates include the following: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Net sales primarily consists of revenue from the sale of inventory, and we recognize revenue as control of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an extended protection plan in the capacity of an agent on behalf of a third party that has different terms ranging from two years to lifetime that vary based on the item purchased. The commission that the Company receives from the third party is recognized at the time of sale less an estimate of cancellations based on historical experience. There are no additional performance obligations in relation to the third-party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 and Tax Receivable Agreement</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evaluate the likelihood that we will realize any benefit represented by the deferred tax asset and, to the extent that we estimate that it is more likely than not that we will not realize the benefit, we will reduce the carrying amount of the deferred tax asset with a valuation allowance.</w:t>
      </w:r>
    </w:p>
    <w:p>
      <w:pPr>
        <w:spacing w:after="0" w:line="21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amounts to be recorded for both the deferred tax asset and the liability for our obligations under the TRA will be estimated at the time of any purchase or redemption as a reduction to shareholders’ equity. The effect of subsequent changes in the enacted tax rates will be included in net income.</w:t>
      </w:r>
    </w:p>
    <w:p>
      <w:pPr>
        <w:spacing w:after="0" w:line="19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During the fourth quarter of 2025, we evaluated the likelihood we would realize the deferred tax assets and determined the probability was more likely than not that the deferred tax assets will not be realized and recorded a full valuation allowance for the year ended December 31, 2025. In connection with the Company recording a full valuation allowance for its deferred tax assets, it was also determined a TRA liability was not probable at the current time. As a result, the Company reduced the TRA liability to zero and recognized a gain on TRA liability adjustment of $7.8 million in the Company's consolidated statement of operations for the year ended December 31, 2025.</w:t>
      </w:r>
    </w:p>
    <w:p>
      <w:pPr>
        <w:spacing w:after="0" w:line="199"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8"/>
          <w:szCs w:val="18"/>
          <w:color w:val="auto"/>
        </w:rPr>
        <w:t>Judgment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accompanying financial statements and related notes thereto included elsewhere in this Annual Report on Form 10-K for additional information regarding recent accounting developments and their impact on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5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w:t>
      </w:r>
    </w:p>
    <w:p>
      <w:pPr>
        <w:spacing w:after="0" w:line="1" w:lineRule="exact"/>
        <w:rPr>
          <w:sz w:val="20"/>
          <w:szCs w:val="20"/>
          <w:color w:val="auto"/>
        </w:rPr>
      </w:pPr>
    </w:p>
    <w:p>
      <w:pPr>
        <w:jc w:val="both"/>
        <w:ind w:right="100" w:firstLine="8"/>
        <w:spacing w:after="0" w:line="253" w:lineRule="auto"/>
        <w:tabs>
          <w:tab w:leader="none" w:pos="2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audited consolidated financial statements may not be comparable to companies that comply with new or revised accounting pronouncements as of public company effective dates.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70" w:lineRule="exact"/>
        <w:rPr>
          <w:sz w:val="20"/>
          <w:szCs w:val="20"/>
          <w:color w:val="auto"/>
        </w:rPr>
      </w:pPr>
    </w:p>
    <w:p>
      <w:pPr>
        <w:ind w:right="680" w:firstLine="648"/>
        <w:spacing w:after="0" w:line="297"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8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31"/>
        </w:trPr>
        <w:tc>
          <w:tcPr>
            <w:tcW w:w="8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20" w:type="dxa"/>
            <w:vAlign w:val="bottom"/>
          </w:tcPr>
          <w:p>
            <w:pPr>
              <w:spacing w:after="0"/>
              <w:rPr>
                <w:sz w:val="21"/>
                <w:szCs w:val="21"/>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 (BDO USA, P.C.; Denver, Colorado; PCAOB ID #243)</w:t>
            </w:r>
          </w:p>
        </w:tc>
        <w:tc>
          <w:tcPr>
            <w:tcW w:w="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60" w:type="dxa"/>
            <w:vAlign w:val="bottom"/>
            <w:gridSpan w:val="4"/>
          </w:tcPr>
          <w:p>
            <w:pPr>
              <w:spacing w:after="0"/>
              <w:rPr>
                <w:sz w:val="24"/>
                <w:szCs w:val="24"/>
                <w:color w:val="auto"/>
              </w:rPr>
            </w:pPr>
          </w:p>
        </w:tc>
        <w:tc>
          <w:tcPr>
            <w:tcW w:w="4600" w:type="dxa"/>
            <w:vAlign w:val="bottom"/>
            <w:gridSpan w:val="2"/>
          </w:tcPr>
          <w:p>
            <w:pPr>
              <w:spacing w:after="0"/>
              <w:rPr>
                <w:sz w:val="24"/>
                <w:szCs w:val="24"/>
                <w:color w:val="auto"/>
              </w:rPr>
            </w:pPr>
          </w:p>
        </w:tc>
        <w:tc>
          <w:tcPr>
            <w:tcW w:w="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040" w:type="dxa"/>
            <w:vAlign w:val="bottom"/>
            <w:gridSpan w:val="5"/>
          </w:tcPr>
          <w:p>
            <w:pPr>
              <w:spacing w:after="0"/>
              <w:rPr>
                <w:sz w:val="22"/>
                <w:szCs w:val="22"/>
                <w:color w:val="auto"/>
              </w:rPr>
            </w:pPr>
          </w:p>
        </w:tc>
        <w:tc>
          <w:tcPr>
            <w:tcW w:w="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0000FF"/>
                <w:w w:val="99"/>
              </w:rPr>
              <w:t>86</w:t>
            </w:r>
          </w:p>
        </w:tc>
        <w:tc>
          <w:tcPr>
            <w:tcW w:w="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4480" w:type="dxa"/>
            <w:vAlign w:val="bottom"/>
          </w:tcPr>
          <w:p>
            <w:pPr>
              <w:spacing w:after="0"/>
              <w:rPr>
                <w:sz w:val="22"/>
                <w:szCs w:val="22"/>
                <w:color w:val="auto"/>
              </w:rPr>
            </w:pPr>
          </w:p>
        </w:tc>
        <w:tc>
          <w:tcPr>
            <w:tcW w:w="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0000FF"/>
                <w:w w:val="99"/>
              </w:rPr>
              <w:t>87</w:t>
            </w:r>
          </w:p>
        </w:tc>
        <w:tc>
          <w:tcPr>
            <w:tcW w:w="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00" w:type="dxa"/>
            <w:vAlign w:val="bottom"/>
            <w:gridSpan w:val="3"/>
          </w:tcPr>
          <w:p>
            <w:pPr>
              <w:spacing w:after="0"/>
              <w:rPr>
                <w:sz w:val="22"/>
                <w:szCs w:val="22"/>
                <w:color w:val="auto"/>
              </w:rPr>
            </w:pPr>
          </w:p>
        </w:tc>
        <w:tc>
          <w:tcPr>
            <w:tcW w:w="4480" w:type="dxa"/>
            <w:vAlign w:val="bottom"/>
          </w:tcPr>
          <w:p>
            <w:pPr>
              <w:spacing w:after="0"/>
              <w:rPr>
                <w:sz w:val="22"/>
                <w:szCs w:val="22"/>
                <w:color w:val="auto"/>
              </w:rPr>
            </w:pPr>
          </w:p>
        </w:tc>
        <w:tc>
          <w:tcPr>
            <w:tcW w:w="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0000FF"/>
                <w:w w:val="99"/>
              </w:rPr>
              <w:t>88</w:t>
            </w:r>
          </w:p>
        </w:tc>
        <w:tc>
          <w:tcPr>
            <w:tcW w:w="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5440" w:type="dxa"/>
            <w:vAlign w:val="bottom"/>
            <w:gridSpan w:val="3"/>
          </w:tcPr>
          <w:p>
            <w:pPr>
              <w:spacing w:after="0"/>
              <w:rPr>
                <w:sz w:val="22"/>
                <w:szCs w:val="22"/>
                <w:color w:val="auto"/>
              </w:rPr>
            </w:pPr>
          </w:p>
        </w:tc>
        <w:tc>
          <w:tcPr>
            <w:tcW w:w="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0000FF"/>
                <w:w w:val="99"/>
              </w:rPr>
              <w:t>89</w:t>
            </w:r>
          </w:p>
        </w:tc>
        <w:tc>
          <w:tcPr>
            <w:tcW w:w="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Brilliant Earth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Brilliant Earth Group, Inc. (the “Company”) as of December 31, 2025 and 2024, the related consolidated statements of operations, changes in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spacing w:after="0"/>
              <w:rPr>
                <w:sz w:val="16"/>
                <w:szCs w:val="16"/>
                <w:color w:val="auto"/>
              </w:rPr>
            </w:pP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14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14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5340" w:type="dxa"/>
            <w:vAlign w:val="bottom"/>
            <w:tcBorders>
              <w:bottom w:val="single" w:sz="8" w:color="CCEEFF"/>
            </w:tcBorders>
            <w:gridSpan w:val="5"/>
            <w:shd w:val="clear" w:color="auto" w:fill="CCEEFF"/>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206"/>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730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79,089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161,925</w:t>
            </w: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216</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730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Inventories, net</w:t>
            </w: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53,238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38,292</w:t>
            </w: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10,980</w:t>
            </w:r>
          </w:p>
        </w:tc>
      </w:tr>
      <w:tr>
        <w:trPr>
          <w:trHeight w:val="23"/>
        </w:trPr>
        <w:tc>
          <w:tcPr>
            <w:tcW w:w="14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7300" w:type="dxa"/>
            <w:vAlign w:val="bottom"/>
            <w:tcBorders>
              <w:bottom w:val="single" w:sz="8" w:color="CCEEFF"/>
            </w:tcBorders>
            <w:gridSpan w:val="7"/>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144,728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211,413</w:t>
            </w:r>
          </w:p>
        </w:tc>
      </w:tr>
      <w:tr>
        <w:trPr>
          <w:trHeight w:val="206"/>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21,626</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73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9,636</w:t>
            </w:r>
          </w:p>
        </w:tc>
      </w:tr>
      <w:tr>
        <w:trPr>
          <w:trHeight w:val="206"/>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31,879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35,222</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73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4,674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3,348</w:t>
            </w:r>
          </w:p>
        </w:tc>
      </w:tr>
      <w:tr>
        <w:trPr>
          <w:trHeight w:val="223"/>
        </w:trPr>
        <w:tc>
          <w:tcPr>
            <w:tcW w:w="730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281,245</w:t>
            </w:r>
          </w:p>
        </w:tc>
      </w:tr>
      <w:tr>
        <w:trPr>
          <w:trHeight w:val="46"/>
        </w:trPr>
        <w:tc>
          <w:tcPr>
            <w:tcW w:w="14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6"/>
        </w:trPr>
        <w:tc>
          <w:tcPr>
            <w:tcW w:w="14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5340" w:type="dxa"/>
            <w:vAlign w:val="bottom"/>
            <w:tcBorders>
              <w:top w:val="single" w:sz="8" w:color="CCEEFF"/>
            </w:tcBorders>
            <w:gridSpan w:val="5"/>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73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24,804</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15,733</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730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35,732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31,714</w:t>
            </w: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22,671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18,926</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730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6,108</w:t>
            </w: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5,688</w:t>
            </w:r>
          </w:p>
        </w:tc>
      </w:tr>
      <w:tr>
        <w:trPr>
          <w:trHeight w:val="23"/>
        </w:trPr>
        <w:tc>
          <w:tcPr>
            <w:tcW w:w="14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7300" w:type="dxa"/>
            <w:vAlign w:val="bottom"/>
            <w:tcBorders>
              <w:bottom w:val="single" w:sz="8" w:color="CCEEFF"/>
            </w:tcBorders>
            <w:gridSpan w:val="7"/>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90,103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78,169</w:t>
            </w:r>
          </w:p>
        </w:tc>
      </w:tr>
      <w:tr>
        <w:trPr>
          <w:trHeight w:val="54"/>
        </w:trPr>
        <w:tc>
          <w:tcPr>
            <w:tcW w:w="1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0"/>
        </w:trPr>
        <w:tc>
          <w:tcPr>
            <w:tcW w:w="73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debt issuance costs</w:t>
            </w:r>
          </w:p>
        </w:tc>
        <w:tc>
          <w:tcPr>
            <w:tcW w:w="10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50,010</w:t>
            </w:r>
          </w:p>
        </w:tc>
      </w:tr>
      <w:tr>
        <w:trPr>
          <w:trHeight w:val="206"/>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31,163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35,856</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73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pursuant to the Tax Receivable Agreement</w:t>
            </w:r>
          </w:p>
        </w:tc>
        <w:tc>
          <w:tcPr>
            <w:tcW w:w="10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7,828</w:t>
            </w:r>
          </w:p>
        </w:tc>
      </w:tr>
      <w:tr>
        <w:trPr>
          <w:trHeight w:val="200"/>
        </w:trPr>
        <w:tc>
          <w:tcPr>
            <w:tcW w:w="730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121,266</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171,863</w:t>
            </w:r>
          </w:p>
        </w:tc>
      </w:tr>
      <w:tr>
        <w:trPr>
          <w:trHeight w:val="63"/>
        </w:trPr>
        <w:tc>
          <w:tcPr>
            <w:tcW w:w="14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6"/>
        </w:trPr>
        <w:tc>
          <w:tcPr>
            <w:tcW w:w="7300" w:type="dxa"/>
            <w:vAlign w:val="bottom"/>
            <w:tcBorders>
              <w:top w:val="single" w:sz="8" w:color="CCEEFF"/>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13)</w:t>
            </w:r>
          </w:p>
        </w:tc>
        <w:tc>
          <w:tcPr>
            <w:tcW w:w="10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r>
      <w:tr>
        <w:trPr>
          <w:trHeight w:val="57"/>
        </w:trPr>
        <w:tc>
          <w:tcPr>
            <w:tcW w:w="14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r>
      <w:tr>
        <w:trPr>
          <w:trHeight w:val="193"/>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3"/>
        </w:trPr>
        <w:tc>
          <w:tcPr>
            <w:tcW w:w="73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$0.0001 par value per share, 10,000,000 shares authorized, none issued and outstanding at December 31,</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5"/>
        </w:trPr>
        <w:tc>
          <w:tcPr>
            <w:tcW w:w="7300" w:type="dxa"/>
            <w:vAlign w:val="bottom"/>
            <w:tcBorders>
              <w:bottom w:val="single" w:sz="8" w:color="CCEEFF"/>
            </w:tcBorders>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 and 2024, respectively</w:t>
            </w:r>
          </w:p>
        </w:tc>
        <w:tc>
          <w:tcPr>
            <w:tcW w:w="10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Class A common stock, $0.0001 par value per share, 1,200,000,000 shares authorized; 16,092,701 shares issued and</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5"/>
        </w:trPr>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15,518,024 shares outstanding at December 31, 2025 and 14,125,925 shares issued and 13,843,944 shares outstanding at</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December 31, 2024</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44"/>
        </w:trPr>
        <w:tc>
          <w:tcPr>
            <w:tcW w:w="14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r>
      <w:tr>
        <w:trPr>
          <w:trHeight w:val="148"/>
        </w:trPr>
        <w:tc>
          <w:tcPr>
            <w:tcW w:w="50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Class B common stock, $0.0001 par value per share, 150,000,000 shares authorized;</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shd w:val="clear" w:color="auto" w:fill="CCEEFF"/>
              </w:rPr>
              <w:t>35,822,342</w:t>
            </w:r>
          </w:p>
        </w:tc>
        <w:tc>
          <w:tcPr>
            <w:tcW w:w="3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620" w:type="dxa"/>
            <w:vAlign w:val="bottom"/>
            <w:shd w:val="clear" w:color="auto" w:fill="BFE4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shd w:val="clear" w:color="auto" w:fill="BFE4FF"/>
              </w:rPr>
              <w:t>35,820,912</w:t>
            </w:r>
          </w:p>
        </w:tc>
        <w:tc>
          <w:tcPr>
            <w:tcW w:w="7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10"/>
        </w:trPr>
        <w:tc>
          <w:tcPr>
            <w:tcW w:w="7300" w:type="dxa"/>
            <w:vAlign w:val="bottom"/>
            <w:tcBorders>
              <w:bottom w:val="single" w:sz="8" w:color="CCEEFF"/>
            </w:tcBorders>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issued and outstanding at December 31, 2025 and 2024, respectively</w:t>
            </w: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193"/>
        </w:trPr>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Class C common stock, $0.0001 par value per share, 150,000,000 shares authorized; 49,119,976 shares issued and</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2"/>
        </w:trPr>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outstanding at December 31, 2025 and 2024, respectively</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3"/>
        </w:trPr>
        <w:tc>
          <w:tcPr>
            <w:tcW w:w="73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D common stock, $0.0001 par value per share, 150,000,000 shares authorized; none issued and outstanding at</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5"/>
        </w:trPr>
        <w:tc>
          <w:tcPr>
            <w:tcW w:w="7300" w:type="dxa"/>
            <w:vAlign w:val="bottom"/>
            <w:tcBorders>
              <w:bottom w:val="single" w:sz="8" w:color="CCEEFF"/>
            </w:tcBorders>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10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11,169</w:t>
            </w:r>
          </w:p>
        </w:tc>
      </w:tr>
      <w:tr>
        <w:trPr>
          <w:trHeight w:val="23"/>
        </w:trPr>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574,677</w:t>
            </w:r>
          </w:p>
        </w:tc>
        <w:tc>
          <w:tcPr>
            <w:tcW w:w="5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shares and 281,981 shares at December 31, 2025 and 2024, respectively</w:t>
            </w: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w:t>
            </w:r>
          </w:p>
        </w:tc>
      </w:tr>
      <w:tr>
        <w:trPr>
          <w:trHeight w:val="206"/>
        </w:trPr>
        <w:tc>
          <w:tcPr>
            <w:tcW w:w="730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Retained earnings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4,788</w:t>
            </w:r>
          </w:p>
        </w:tc>
      </w:tr>
      <w:tr>
        <w:trPr>
          <w:trHeight w:val="23"/>
        </w:trPr>
        <w:tc>
          <w:tcPr>
            <w:tcW w:w="14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730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Stockholders' equity attributable to Brilliant Earth Group, Inc.</w:t>
            </w: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12,301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15,329</w:t>
            </w:r>
          </w:p>
        </w:tc>
      </w:tr>
      <w:tr>
        <w:trPr>
          <w:trHeight w:val="206"/>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Non-controlling interests attributable to Brilliant Earth, LLC</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67,336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94,053</w:t>
            </w:r>
          </w:p>
        </w:tc>
      </w:tr>
      <w:tr>
        <w:trPr>
          <w:trHeight w:val="24"/>
        </w:trPr>
        <w:tc>
          <w:tcPr>
            <w:tcW w:w="14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7300" w:type="dxa"/>
            <w:vAlign w:val="bottom"/>
            <w:tcBorders>
              <w:bottom w:val="single" w:sz="8" w:color="CCEEFF"/>
            </w:tcBorders>
            <w:gridSpan w:val="7"/>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79,637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109,382</w:t>
            </w:r>
          </w:p>
        </w:tc>
      </w:tr>
      <w:tr>
        <w:trPr>
          <w:trHeight w:val="223"/>
        </w:trPr>
        <w:tc>
          <w:tcPr>
            <w:tcW w:w="73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281,245</w:t>
            </w:r>
          </w:p>
        </w:tc>
      </w:tr>
      <w:tr>
        <w:trPr>
          <w:trHeight w:val="20"/>
        </w:trPr>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020"/>
          </w:cols>
          <w:pgMar w:left="320" w:top="13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5" w:right="5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61" w:lineRule="exact"/>
        <w:rPr>
          <w:sz w:val="20"/>
          <w:szCs w:val="20"/>
          <w:color w:val="auto"/>
        </w:rPr>
      </w:pPr>
    </w:p>
    <w:tbl>
      <w:tblPr>
        <w:tblLayout w:type="fixed"/>
        <w:tblInd w:w="13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437,483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422,161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254,402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105,965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108,339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251,052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on TRA liability adjustment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4"/>
        </w:trPr>
        <w:tc>
          <w:tcPr>
            <w:tcW w:w="5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allocable to non-controlling interest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2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b w:val="1"/>
                <w:bCs w:val="1"/>
                <w:color w:val="auto"/>
              </w:rPr>
              <w:t>Net (loss) income allocable to Brilliant Earth Group,</w:t>
            </w: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(3,635)</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b w:val="1"/>
                <w:bCs w:val="1"/>
                <w:color w:val="auto"/>
              </w:rPr>
              <w:t>Inc.</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14,752,634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13,304,227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14,752,634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98,352,924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40" w:type="dxa"/>
            <w:vAlign w:val="bottom"/>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Brilliant Earth Group, Inc. Stockholders’ Equity</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8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8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Class C Common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00" w:type="dxa"/>
            <w:vAlign w:val="bottom"/>
          </w:tcPr>
          <w:p>
            <w:pPr>
              <w:spacing w:after="0"/>
              <w:rPr>
                <w:sz w:val="17"/>
                <w:szCs w:val="17"/>
                <w:color w:val="auto"/>
              </w:rPr>
            </w:pPr>
          </w:p>
        </w:tc>
        <w:tc>
          <w:tcPr>
            <w:tcW w:w="104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13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1, 2024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12,522,146</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35,688,349</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49,119,976</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8,275</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4,247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84,924</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97,456</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distributions to</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members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to Class A</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 vesting during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1,587,519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shares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upon vesting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LLC Units</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148,823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asset and TRA</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related to</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LLC</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9,934</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Rebalancing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controlling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13,843,944</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35,820,912</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49,119,976</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11,169</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4,788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94,053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109,382</w:t>
            </w:r>
          </w:p>
        </w:tc>
        <w:tc>
          <w:tcPr>
            <w:tcW w:w="0" w:type="dxa"/>
            <w:vAlign w:val="bottom"/>
          </w:tcPr>
          <w:p>
            <w:pPr>
              <w:spacing w:after="0"/>
              <w:rPr>
                <w:sz w:val="1"/>
                <w:szCs w:val="1"/>
                <w:color w:val="auto"/>
              </w:rPr>
            </w:pPr>
          </w:p>
        </w:tc>
      </w:tr>
      <w:tr>
        <w:trPr>
          <w:trHeight w:val="17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and</w:t>
            </w: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members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(28,012)</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to Class A</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 vesting during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shares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upon vesting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LLC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24,903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asset and TRA</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related to</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LLC</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Rebalancing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15,518,024</w:t>
            </w:r>
          </w:p>
        </w:tc>
        <w:tc>
          <w:tcPr>
            <w:tcW w:w="80" w:type="dxa"/>
            <w:vAlign w:val="bottom"/>
            <w:vMerge w:val="restart"/>
          </w:tcPr>
          <w:p>
            <w:pPr>
              <w:spacing w:after="0"/>
              <w:rPr>
                <w:sz w:val="14"/>
                <w:szCs w:val="14"/>
                <w:color w:val="auto"/>
              </w:rPr>
            </w:pPr>
          </w:p>
        </w:tc>
        <w:tc>
          <w:tcPr>
            <w:tcW w:w="2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vMerge w:val="restart"/>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35,822,342</w:t>
            </w:r>
          </w:p>
        </w:tc>
        <w:tc>
          <w:tcPr>
            <w:tcW w:w="80" w:type="dxa"/>
            <w:vAlign w:val="bottom"/>
            <w:vMerge w:val="restart"/>
          </w:tcPr>
          <w:p>
            <w:pPr>
              <w:spacing w:after="0"/>
              <w:rPr>
                <w:sz w:val="14"/>
                <w:szCs w:val="14"/>
                <w:color w:val="auto"/>
              </w:rPr>
            </w:pPr>
          </w:p>
        </w:tc>
        <w:tc>
          <w:tcPr>
            <w:tcW w:w="2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vMerge w:val="restart"/>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49,119,976</w:t>
            </w:r>
          </w:p>
        </w:tc>
        <w:tc>
          <w:tcPr>
            <w:tcW w:w="80" w:type="dxa"/>
            <w:vAlign w:val="bottom"/>
            <w:vMerge w:val="restart"/>
          </w:tcPr>
          <w:p>
            <w:pPr>
              <w:spacing w:after="0"/>
              <w:rPr>
                <w:sz w:val="14"/>
                <w:szCs w:val="14"/>
                <w:color w:val="auto"/>
              </w:rPr>
            </w:pPr>
          </w:p>
        </w:tc>
        <w:tc>
          <w:tcPr>
            <w:tcW w:w="2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vMerge w:val="restart"/>
          </w:tcPr>
          <w:p>
            <w:pPr>
              <w:spacing w:after="0"/>
              <w:rPr>
                <w:sz w:val="14"/>
                <w:szCs w:val="14"/>
                <w:color w:val="auto"/>
              </w:rPr>
            </w:pPr>
          </w:p>
        </w:tc>
        <w:tc>
          <w:tcPr>
            <w:tcW w:w="1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16,024</w:t>
            </w:r>
          </w:p>
        </w:tc>
        <w:tc>
          <w:tcPr>
            <w:tcW w:w="80" w:type="dxa"/>
            <w:vAlign w:val="bottom"/>
            <w:vMerge w:val="restart"/>
          </w:tcPr>
          <w:p>
            <w:pPr>
              <w:spacing w:after="0"/>
              <w:rPr>
                <w:sz w:val="14"/>
                <w:szCs w:val="14"/>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80" w:type="dxa"/>
            <w:vAlign w:val="bottom"/>
            <w:vMerge w:val="restart"/>
          </w:tcPr>
          <w:p>
            <w:pPr>
              <w:spacing w:after="0"/>
              <w:rPr>
                <w:sz w:val="14"/>
                <w:szCs w:val="14"/>
                <w:color w:val="auto"/>
              </w:rPr>
            </w:pPr>
          </w:p>
        </w:tc>
        <w:tc>
          <w:tcPr>
            <w:tcW w:w="1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(2,640)</w:t>
            </w:r>
          </w:p>
        </w:tc>
        <w:tc>
          <w:tcPr>
            <w:tcW w:w="80" w:type="dxa"/>
            <w:vAlign w:val="bottom"/>
            <w:vMerge w:val="restart"/>
          </w:tcPr>
          <w:p>
            <w:pPr>
              <w:spacing w:after="0"/>
              <w:rPr>
                <w:sz w:val="14"/>
                <w:szCs w:val="14"/>
                <w:color w:val="auto"/>
              </w:rPr>
            </w:pPr>
          </w:p>
        </w:tc>
        <w:tc>
          <w:tcPr>
            <w:tcW w:w="1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12,301</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67,336</w:t>
            </w:r>
          </w:p>
        </w:tc>
        <w:tc>
          <w:tcPr>
            <w:tcW w:w="80" w:type="dxa"/>
            <w:vAlign w:val="bottom"/>
            <w:vMerge w:val="restart"/>
          </w:tcPr>
          <w:p>
            <w:pPr>
              <w:spacing w:after="0"/>
              <w:rPr>
                <w:sz w:val="14"/>
                <w:szCs w:val="14"/>
                <w:color w:val="auto"/>
              </w:rPr>
            </w:pPr>
          </w:p>
        </w:tc>
        <w:tc>
          <w:tcPr>
            <w:tcW w:w="1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79,637</w:t>
            </w:r>
          </w:p>
        </w:tc>
        <w:tc>
          <w:tcPr>
            <w:tcW w:w="0" w:type="dxa"/>
            <w:vAlign w:val="bottom"/>
          </w:tcPr>
          <w:p>
            <w:pPr>
              <w:spacing w:after="0"/>
              <w:rPr>
                <w:sz w:val="1"/>
                <w:szCs w:val="1"/>
                <w:color w:val="auto"/>
              </w:rPr>
            </w:pPr>
          </w:p>
        </w:tc>
      </w:tr>
      <w:tr>
        <w:trPr>
          <w:trHeight w:val="200"/>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0760"/>
          </w:cols>
          <w:pgMar w:left="320" w:top="121"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9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Pr>
          <w:p>
            <w:pPr>
              <w:spacing w:after="0"/>
              <w:rPr>
                <w:sz w:val="16"/>
                <w:szCs w:val="16"/>
                <w:color w:val="auto"/>
              </w:rPr>
            </w:pPr>
          </w:p>
        </w:tc>
      </w:tr>
      <w:tr>
        <w:trPr>
          <w:trHeight w:val="23"/>
        </w:trPr>
        <w:tc>
          <w:tcPr>
            <w:tcW w:w="7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9"/>
        </w:trPr>
        <w:tc>
          <w:tcPr>
            <w:tcW w:w="72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20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3,994</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5,312</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9,934</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Gain on TRA liability remeasurement</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5,555</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tax expense</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r>
      <w:tr>
        <w:trPr>
          <w:trHeight w:val="20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Inventories</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206"/>
        </w:trPr>
        <w:tc>
          <w:tcPr>
            <w:tcW w:w="72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206"/>
        </w:trPr>
        <w:tc>
          <w:tcPr>
            <w:tcW w:w="72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r>
      <w:tr>
        <w:trPr>
          <w:trHeight w:val="206"/>
        </w:trPr>
        <w:tc>
          <w:tcPr>
            <w:tcW w:w="72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(5,730)</w:t>
            </w:r>
          </w:p>
        </w:tc>
      </w:tr>
      <w:tr>
        <w:trPr>
          <w:trHeight w:val="23"/>
        </w:trPr>
        <w:tc>
          <w:tcPr>
            <w:tcW w:w="7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9,718</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17,595</w:t>
            </w:r>
          </w:p>
        </w:tc>
      </w:tr>
      <w:tr>
        <w:trPr>
          <w:trHeight w:val="18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r>
      <w:tr>
        <w:trPr>
          <w:trHeight w:val="200"/>
        </w:trPr>
        <w:tc>
          <w:tcPr>
            <w:tcW w:w="72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(3,966)</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(4,907)</w:t>
            </w:r>
          </w:p>
        </w:tc>
      </w:tr>
      <w:tr>
        <w:trPr>
          <w:trHeight w:val="23"/>
        </w:trPr>
        <w:tc>
          <w:tcPr>
            <w:tcW w:w="7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Dividends, distributions and TRA payments to members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Dividends paid on Class A common stock</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SVB term loan</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(56,063)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23"/>
        </w:trPr>
        <w:tc>
          <w:tcPr>
            <w:tcW w:w="7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(88,455)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(6,567)</w:t>
            </w:r>
          </w:p>
        </w:tc>
      </w:tr>
      <w:tr>
        <w:trPr>
          <w:trHeight w:val="20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(82,703)</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6,121</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156,020</w:t>
            </w:r>
          </w:p>
        </w:tc>
      </w:tr>
      <w:tr>
        <w:trPr>
          <w:trHeight w:val="20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1100" w:type="dxa"/>
            <w:vAlign w:val="bottom"/>
            <w:tcBorders>
              <w:top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79,438</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162,141</w:t>
            </w:r>
          </w:p>
        </w:tc>
      </w:tr>
      <w:tr>
        <w:trPr>
          <w:trHeight w:val="23"/>
        </w:trPr>
        <w:tc>
          <w:tcPr>
            <w:tcW w:w="7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7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7,129</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tax assets associated with redemption of LLC Units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TRA Obligation associated with redemption of LLC Units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23"/>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to APIC related to redemption of LLC Units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r>
      <w:tr>
        <w:trPr>
          <w:trHeight w:val="20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
        </w:trPr>
        <w:tc>
          <w:tcPr>
            <w:tcW w:w="7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paid for interest</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4,878</w:t>
            </w:r>
          </w:p>
        </w:tc>
      </w:tr>
      <w:tr>
        <w:trPr>
          <w:trHeight w:val="206"/>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paid for taxes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r>
    </w:tbl>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020"/>
          </w:cols>
          <w:pgMar w:left="320" w:top="12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During the year ended December 31, 2025, Brilliant Earth Group, Inc.'s state of incorporation changed from the State of Delaware to the State of Nevada.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designs, procures and sells ethically sourced diamonds, gemstones and jewelry online and through 42 showrooms operating within the United States (“U.S.”) as of December 31, 2025. Co-headquarters are located in San Francisco, California and Denver, Colorado.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and the applicable rules and regulations of the Securities and Exchange Commission (the “SEC”) and reflect the financial position, results of operations and cash flows of the Company. As an emerging growth company (“EGC”), the Company has elected to use extended transition periods available to EGC companies for complying with new or revised accounting standards. These accounting policies have been consistently applied in the preparation of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Non-Controlling Interest</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controlled subsidiary, Brilliant Earth, LLC. All intercompany balances and transactions have been eliminated in consolidation.</w:t>
      </w:r>
    </w:p>
    <w:p>
      <w:pPr>
        <w:spacing w:after="0" w:line="189"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The assets and liabilities of Brilliant Earth, LLC represent substantially all of the consolidated assets and liabilities of Brilliant Earth Group, Inc. Brilliant Earth Group, Inc. has not had any material operations on a standalone basis since its inception, and all of the operations of the Company are carried out by Brilliant Earth, LLC.</w:t>
      </w:r>
    </w:p>
    <w:p>
      <w:pPr>
        <w:spacing w:after="0" w:line="19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non-controlling interest on the consolidated statements of operations represents the portion of income or loss attributable to the economic interest in Brilliant Earth, LLC. The non-controlling interest on the consolidated balance sheets represent the portion of net assets of the Company attributable to the owners of the common units of Brilliant Earth, LLC (“LLC Interests” or “LLC Units”). The non-controlling interest was 84.6% and 86.0% as of December 31, 2025 and 2024, respectively. At the end of each reporting period, equity related to Brilliant Earth, LLC that is attributable to Brilliant Earth Group, Inc. and the owners of the LLC Interests (the “Continuing Equity Owners'”) is rebalanced to reflect Brilliant Earth Group, Inc.'s and the Continuing Equity Owners' ownership in Brilliant Earth,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and useful lives and depreciation of long-lived assets. Actual results could differ materially from those estimates. On an ongoing basis, the Company reviews its estimates to ensure that they appropriately reflect changes in its business or new information available.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GAAP establishes a fair value hierarchy which requires an entity to maximize the use of observable inputs and minimize the use of unobservable inputs when measuring fair value. GAAP prescribes three levels of inputs that may be used to measure fair value:</w:t>
      </w:r>
    </w:p>
    <w:p>
      <w:pPr>
        <w:spacing w:after="0" w:line="20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Valuation based on quoted prices (unadjusted) observed in active markets for identical assets or liabilities.</w:t>
      </w:r>
    </w:p>
    <w:p>
      <w:pPr>
        <w:spacing w:after="0" w:line="27" w:lineRule="exact"/>
        <w:rPr>
          <w:sz w:val="20"/>
          <w:szCs w:val="20"/>
          <w:color w:val="auto"/>
        </w:rPr>
      </w:pPr>
    </w:p>
    <w:p>
      <w:pPr>
        <w:ind w:left="1380" w:right="200" w:hanging="971"/>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auto"/>
        </w:rPr>
        <w:t>Level 2</w:t>
        <w:tab/>
        <w:t>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Valuation techniques with significant unobservable market inputs.</w:t>
      </w:r>
    </w:p>
    <w:p>
      <w:pPr>
        <w:spacing w:after="0" w:line="2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required to disclose its estimate of the fair value of material financial instruments, including those recorded as assets or liabilities in its financial statements, in accordance with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there were no financial instruments (assets or liabilities) measured at fair value on a recurring basis.</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and other current liabilities approximate fair value due to their short-term maturities.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7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financial institutions within the U.S. in the form of demand deposits, money market fund accounts, and time deposits. Deposits in these institutions may exceed the amounts of insurance provided, or deposits may not be covered by insurance. The Company has not experienced losses on its deposits of cash and cash equivalents.</w:t>
      </w:r>
    </w:p>
    <w:p>
      <w:pPr>
        <w:spacing w:after="0" w:line="17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Company’s ability to procure diamonds, gemstones and to produce jewelry is dependent on its relationships with various suppliers. No individual supplier accounted for more than 10% of total inventory purchases during the year ended December 31, 2025. One supplier of jewelry accounted for a total of 11% of inventory purchases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money market fund accounts, and deposits in transit from banks for payments related to third-party credit and debit card transactions are considered to be cash equivalents. Credit and debit card transactions are short-term and highly liquid in nature. Interest income is recorded for interest-bearing cash accounts and is included within other income, net in the consolidated statements of operations. During the years ended December 31, 2025 and 2024, the Company recognized interest income of $3.7 million and $6.0 million, respectively. As of December 31, 2025 and 2024, money market fund accounts included in cash equivalents was $33.9 million and $71.6 million, respectively, and classified as Level 1 financial instruments.</w:t>
      </w:r>
    </w:p>
    <w:p>
      <w:pPr>
        <w:spacing w:after="0" w:line="20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Restricted cash as of December 31, 2025 and 2024 relates to funds to secure letters of credit in lieu of security deposits related to leases at the Company’s showroom locations.</w:t>
      </w:r>
    </w:p>
    <w:p>
      <w:pPr>
        <w:spacing w:after="0" w:line="203" w:lineRule="exact"/>
        <w:rPr>
          <w:sz w:val="20"/>
          <w:szCs w:val="20"/>
          <w:color w:val="auto"/>
        </w:rPr>
      </w:pPr>
    </w:p>
    <w:p>
      <w:pPr>
        <w:jc w:val="both"/>
        <w:ind w:right="280"/>
        <w:spacing w:after="0" w:line="297"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from the consolidated balance sheets to the statements of cash flows for the years ended December 31, 2025 and 2024 (in thousands):</w:t>
      </w: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
        </w:trPr>
        <w:tc>
          <w:tcPr>
            <w:tcW w:w="56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37"/>
        </w:trPr>
        <w:tc>
          <w:tcPr>
            <w:tcW w:w="5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0"/>
        </w:trPr>
        <w:tc>
          <w:tcPr>
            <w:tcW w:w="56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r>
      <w:tr>
        <w:trPr>
          <w:trHeight w:val="41"/>
        </w:trPr>
        <w:tc>
          <w:tcPr>
            <w:tcW w:w="56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9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79,438</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162,141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8"/>
          <w:szCs w:val="18"/>
          <w:color w:val="auto"/>
        </w:rPr>
        <w:t>The Company’s diamond, gemstone and jewelry inventories are primarily held for resale and valued at the lower of cost or net realizable value. Cost is primarily determined using the moving average cost method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Inventory reserves are recorded for obsolete, slow-moving or defective items and shrinkage. Inventory reserves are calculated as the difference between the cost of inventory and its estimated market value based on factors such as current and anticipated demand, customer preferences and fashion trends, management strategy and market conditions. Due to the Company’s inventory principally consisting of diamonds, gemstones and fine jewelry, the age of the inventories has limited impact on the estimated market value. The Company’s diamonds and gemstones do not degrade in quality over time and diamond and gemstone inventory generally consists of the diamond and gemstone shapes and sizes commonly used in the jewelry industry. Product obsolescence is closely monitored and reviewed by management on an ongoing basis.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Capitalized Software and Website Development</w:t>
      </w:r>
    </w:p>
    <w:p>
      <w:pPr>
        <w:spacing w:after="0" w:line="2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Construction in progress primarily includes costs related to new showroom construction and is stated at original cost. Depreciation is recorded when the relevant assets are placed into service. Repairs and maintenance costs are expensed as incurred. Depreciation expense is calculated on a straight-line basis over the estimated useful lives of the related assets. The cost and related accumulated depreciation of assets sold or otherwise disposed of are removed from the accounts and the related gain or loss is reported in the consolidated statements of operations. Estimated useful lives by major asset category are as follows:</w:t>
      </w:r>
    </w:p>
    <w:p>
      <w:pPr>
        <w:spacing w:after="0" w:line="24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5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Life (in years)</w:t>
            </w: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2920" w:type="dxa"/>
            <w:vAlign w:val="bottom"/>
          </w:tcPr>
          <w:p>
            <w:pPr>
              <w:spacing w:after="0"/>
              <w:rPr>
                <w:sz w:val="5"/>
                <w:szCs w:val="5"/>
                <w:color w:val="auto"/>
              </w:rPr>
            </w:pPr>
          </w:p>
        </w:tc>
      </w:tr>
      <w:tr>
        <w:trPr>
          <w:trHeight w:val="263"/>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2920" w:type="dxa"/>
            <w:vAlign w:val="bottom"/>
            <w:tcBorders>
              <w:bottom w:val="single" w:sz="8" w:color="CCEEFF"/>
            </w:tcBorders>
            <w:shd w:val="clear" w:color="auto" w:fill="CCEEFF"/>
          </w:tcPr>
          <w:p>
            <w:pPr>
              <w:spacing w:after="0"/>
              <w:rPr>
                <w:sz w:val="22"/>
                <w:szCs w:val="22"/>
                <w:color w:val="auto"/>
              </w:rPr>
            </w:pPr>
          </w:p>
        </w:tc>
      </w:tr>
      <w:tr>
        <w:trPr>
          <w:trHeight w:val="243"/>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5 - 7</w:t>
            </w:r>
          </w:p>
        </w:tc>
        <w:tc>
          <w:tcPr>
            <w:tcW w:w="292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920" w:type="dxa"/>
            <w:vAlign w:val="bottom"/>
          </w:tcPr>
          <w:p>
            <w:pPr>
              <w:spacing w:after="0"/>
              <w:rPr>
                <w:sz w:val="3"/>
                <w:szCs w:val="3"/>
                <w:color w:val="auto"/>
              </w:rPr>
            </w:pPr>
          </w:p>
        </w:tc>
      </w:tr>
      <w:tr>
        <w:trPr>
          <w:trHeight w:val="263"/>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7</w:t>
            </w:r>
          </w:p>
        </w:tc>
        <w:tc>
          <w:tcPr>
            <w:tcW w:w="2920" w:type="dxa"/>
            <w:vAlign w:val="bottom"/>
            <w:tcBorders>
              <w:bottom w:val="single" w:sz="8" w:color="CCEEFF"/>
            </w:tcBorders>
            <w:shd w:val="clear" w:color="auto" w:fill="CCEEFF"/>
          </w:tcPr>
          <w:p>
            <w:pPr>
              <w:spacing w:after="0"/>
              <w:rPr>
                <w:sz w:val="22"/>
                <w:szCs w:val="22"/>
                <w:color w:val="auto"/>
              </w:rPr>
            </w:pPr>
          </w:p>
        </w:tc>
      </w:tr>
      <w:tr>
        <w:trPr>
          <w:trHeight w:val="243"/>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and website</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3</w:t>
            </w:r>
          </w:p>
        </w:tc>
        <w:tc>
          <w:tcPr>
            <w:tcW w:w="292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920" w:type="dxa"/>
            <w:vAlign w:val="bottom"/>
          </w:tcPr>
          <w:p>
            <w:pPr>
              <w:spacing w:after="0"/>
              <w:rPr>
                <w:sz w:val="3"/>
                <w:szCs w:val="3"/>
                <w:color w:val="auto"/>
              </w:rPr>
            </w:pPr>
          </w:p>
        </w:tc>
      </w:tr>
      <w:tr>
        <w:trPr>
          <w:trHeight w:val="243"/>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5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8"/>
          <w:szCs w:val="18"/>
          <w:color w:val="auto"/>
        </w:rPr>
        <w:t>The Company capitalizes costs of initial development of internal-use software and its website and amortizes such costs on a straight-line basis over the estimated useful life of the software, which is generally three years, once it is available for use. Costs related to the ongoing maintenance of internal-use software and the website are expensed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Implementation Costs</w:t>
      </w:r>
    </w:p>
    <w:p>
      <w:pPr>
        <w:spacing w:after="0" w:line="270"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8"/>
          <w:szCs w:val="18"/>
          <w:color w:val="auto"/>
        </w:rPr>
        <w:t>Cloud computing implementation costs incurred for implementation, setup, and other upfront activities in a hosting arrangement that is a service contract are capitalized during the application development stage until the software is ready for its intended use and are included in other assets in the consolidated balance sheets. Upgrades and enhancements are capitalized if they will result in additional functionality. Amortization of capitalized costs is recorded on a straight-line basis over the term of the associated hosting arrangement, inclusive of certain renewal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capitalized implementation costs for cloud computing arrangements, net consisted of the following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Pr>
          <w:p>
            <w:pPr>
              <w:spacing w:after="0"/>
              <w:rPr>
                <w:sz w:val="20"/>
                <w:szCs w:val="20"/>
                <w:color w:val="auto"/>
              </w:rPr>
            </w:pPr>
          </w:p>
        </w:tc>
      </w:tr>
      <w:tr>
        <w:trPr>
          <w:trHeight w:val="40"/>
        </w:trPr>
        <w:tc>
          <w:tcPr>
            <w:tcW w:w="57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5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40"/>
        </w:trPr>
        <w:tc>
          <w:tcPr>
            <w:tcW w:w="57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implementation costs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(2,433)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33"/>
        </w:trPr>
        <w:tc>
          <w:tcPr>
            <w:tcW w:w="5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Cloud computing arrangements, net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These cloud computing arrangements were primarily related to the implementation of ecommerce software and a cloud-based data management platform, among other software implementations. During the years ended December 31, 2025 and 2024, the Company recorded amortization expense related to these implementation costs of $0.8 million and $0.8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Tests for Long-Lived Assets</w:t>
      </w:r>
    </w:p>
    <w:p>
      <w:pPr>
        <w:spacing w:after="0" w:line="27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Company reviews the carrying value of its long-lived assets, including property and equipment and right of use (“ROU”) assets, whenever events or changes in circumstances indicate that the carrying value may not be recoverable. To the extent the estimated future cash inflows attributable to the assets, less estimated future cash outflows, are less than the carrying amount, an impairment loss would be recognized. No impairment losses have been recognized during the years ended December 31, 2025 and 2024, as no events or changes in circumstance have been identified that would indicate the carrying value of long-lived assets is not recoverable.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w:t>
      </w:r>
    </w:p>
    <w:p>
      <w:pPr>
        <w:spacing w:after="0" w:line="19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of a contract, and leases are classified at commencement as either operating or finance leases. For operating leases, the Company recognizes a ROU asset and a lease liability on the balance sheet. ROU assets represent the Company’s right to use an underlying asset for the lease term and the lease liabilities represent the Company’s obligation to make lease payments arising from the lease. The Company does not have any finance leases.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liability is determined as the present value of future lease payments over the lease term. As the rate implicit in the Company’s leases is not readily determinable, the Company uses an incremental borrowing rate that is estimated to approximate the interest rate the Company would have to pay to borrow on a collateralized basis with similar terms and payments in an economic environment similar to where the leased asset is located. The ROU asset is recorded as the initial amount of the lease liability, plus any lease payments made to the lessor before or at the lease commencement date and any initial direct costs incurred, less any tenant improvement allowance incentives received. Tenant incentives are amortized through the ROU asset as a reduction of lease expense over the lease term. Lease terms may include options to extend or terminate the lease. These options are included in the lease term when it is reasonably certain that the option will be exercised.</w:t>
      </w:r>
    </w:p>
    <w:p>
      <w:pPr>
        <w:spacing w:after="0" w:line="19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utilizes certain practical expedients and policy elections available under GAAP. The Company does not recognize ROU assets or lease liabilities for any lease with a term of twelve months or less and the Company has elected to not separate lease and non-lease components for all existing classes of assets.</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lease expenses for fixed lease payments are recognized on a straight-line basis over the lease term. Variable lease payments to the lessor such as maintenance, utilities, insurance, and real estate taxes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Costs that are direct and incremental to debt issuance are deferred and amortized to interest expense using the effective interest method over the expected life of the debt. All other costs related to debt issuance are expensed as incurred. The Company presents debt issuance costs associated with long-term debt as a reduction of the carrying amount of the debt. Unamortized costs related to the SVB Revolving Credit Facility are included in other assets on the consolidated balance sheets.</w:t>
      </w:r>
    </w:p>
    <w:p>
      <w:pPr>
        <w:spacing w:after="0" w:line="22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 xml:space="preserve">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If the Company determines that there has been a substantial modification of a financing obligation, previously capitalized debt issuance costs are expensed and included in loss on extinguishment of debt in the consolidated statements of operations.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regardless of sizing range, and within 1 year within sizing range;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extended protection plan is offered through a third party that has different terms ranging from 2 years to lifetime that vary based on the item purchased.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total net sales by geography for the years ended December 31, 2025 and 2024 (in thousands):</w:t>
      </w:r>
    </w:p>
    <w:p>
      <w:pPr>
        <w:spacing w:after="0" w:line="59"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r>
      <w:tr>
        <w:trPr>
          <w:trHeight w:val="41"/>
        </w:trPr>
        <w:tc>
          <w:tcPr>
            <w:tcW w:w="3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40"/>
        </w:trPr>
        <w:tc>
          <w:tcPr>
            <w:tcW w:w="3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421,966</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15,953</w:t>
            </w:r>
          </w:p>
        </w:tc>
      </w:tr>
      <w:tr>
        <w:trPr>
          <w:trHeight w:val="41"/>
        </w:trPr>
        <w:tc>
          <w:tcPr>
            <w:tcW w:w="3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9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437,483</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422,161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Revenue from customers is recognized as control of the promised goods is transferred to customers, which occurs upon delivery if the order is shipped, or at the time the customer picks up the completed product at a showroom. Customer payment is completed prior to order fulfillment; therefore, a significant financing component does not exist.</w:t>
      </w:r>
    </w:p>
    <w:p>
      <w:pPr>
        <w:spacing w:after="0" w:line="1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arrangements generally have one performance obligation and are reported net of estimated sales returns and allowances, which are determined based on historical product return rates and current economic conditions. The Company offers certain sales promotions such as a free gift that is delivered to or picked up by the customer if the purchase price of a product is over a certain dollar threshold. For these sales promotions, the free gift is delivered or picked up by the customer with the associated purchased product. Control of the product purchase and the free gift transfers at the same time and, therefore no deferral of revenue is required. The Company also offers an extended protection plan in the capacity of an agent on behalf of a third party that has different terms ranging from two years to lifetime that vary based on the item purchased. The commission that the Company receives from the third party is recognized at the time of sale less an estimate of cancellations based on historical experience. There are no additional performance obligations in relation to the third-party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taxes are collected and remitted to taxing authorities, and the Company has elected to exclude sales taxes from recognized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Transactions where payment has been received from customers, but control has not transferred, are recorded as customer deposits in deferred revenue and revenue recognition is deferred until delivery has occurred. As of December 31, 2025, 2024, and 2023, total deferred revenue that includes our contract balances was $22.7 million, $18.9 million, and $19.6 million, respectively. During the years ended December 31, 2025 and 2024, the Company recognized $18.5 million and $19.1 million, respectively, of revenue that was deferred as of the last day of the respective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and Allowances</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20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and 2024, refund liabilities balances were $3.5 million and $2.9 million, respectively, and are included as a provision for sales returns and allowances within accrued expenses and other current liabilities in the consolidated balance sheets. See Note 6,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Liabilities</w:t>
      </w:r>
      <w:r>
        <w:rPr>
          <w:rFonts w:ascii="Times New Roman" w:cs="Times New Roman" w:eastAsia="Times New Roman" w:hAnsi="Times New Roman"/>
          <w:sz w:val="18"/>
          <w:szCs w:val="18"/>
          <w:color w:val="auto"/>
        </w:rPr>
        <w:t>, for further discussion.</w:t>
      </w:r>
    </w:p>
    <w:p>
      <w:pPr>
        <w:spacing w:after="0" w:line="203"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As of December 31, 2025 and 2024, returns asset balances were $1.5 million and $1.1 million, respectively, and are included within prepaid expenses and other current assets in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Fulfillment Costs</w:t>
      </w:r>
    </w:p>
    <w:p>
      <w:pPr>
        <w:spacing w:after="0" w:line="2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generally does not bill customers separately for shipping and handling charges. Fulfillment costs incurred by the Company when shipping to customers is reflected in cost of sales in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Consignment Inventory Sales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56" w:lineRule="exact"/>
        <w:rPr>
          <w:sz w:val="20"/>
          <w:szCs w:val="20"/>
          <w:color w:val="auto"/>
        </w:rPr>
      </w:pPr>
    </w:p>
    <w:p>
      <w:pPr>
        <w:jc w:val="both"/>
        <w:ind w:right="420"/>
        <w:spacing w:after="0" w:line="281" w:lineRule="auto"/>
        <w:rPr>
          <w:sz w:val="20"/>
          <w:szCs w:val="20"/>
          <w:color w:val="auto"/>
        </w:rPr>
      </w:pPr>
      <w:r>
        <w:rPr>
          <w:rFonts w:ascii="Times New Roman" w:cs="Times New Roman" w:eastAsia="Times New Roman" w:hAnsi="Times New Roman"/>
          <w:sz w:val="18"/>
          <w:szCs w:val="18"/>
          <w:color w:val="auto"/>
        </w:rPr>
        <w:t>The Company purchases diamonds and gemstones from suppliers and utilizes third-party manufacturing suppliers for the production and assembly of substantially all jewelry sold by the Company. Cost of sales primarily includes merchandise costs, inbound freight charges, costs of shipping orders to customers, repair costs and related labor expenses, costs and reserves for disposal of obsolete, slow-moving or defective items and shrinkage.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Marketing and advertising expenses are generally expensed as incurred, except for certain production costs that are expensed the first time the advertising takes place. The Company may also enter into marketing service agreements with third parties where the Company prepays for certain services and recognizes the expense over the service agreement period.</w:t>
      </w:r>
    </w:p>
    <w:p>
      <w:pPr>
        <w:spacing w:after="0" w:line="22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such as payroll and related benefit costs for the Company’s employees, including equity-based compensation expense. General and administrative expenses also consist of information technology and other software related costs, certain facility-related costs, depreciation and amortization expense, merchant processing fees, customer service, as well as professional fees and other general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70"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Gains or losses resulting from foreign currency transactions are included within other income, net in the consolidated statements of operations. For the years ended December 31, 2025 and 2024, losses from foreign currency transactions were $0.1 million and $0.2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Equity-based compensation is accounted for as an expense under the fair value recognition and measurement provisions of 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when they occur, and any compensation expense previously recognized on unvested equity-based awards will be reversed when forfeited.</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(“RSUs”) is based on the fair value of the Class A common stock at the time of grant. No other equity-based compensation awards were granted during the years ended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Members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Brilliant Earth LLC Agreement (the “LLC Agreement”) provides for the distribution of cash in defined amounts sufficient to fund member income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with respect to its allocable share of any taxable income of Brilliant Earth, LLC assessed at the prevailing corporate tax rates. The Company accounts for its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would recognize penalties and interest related to uncertain tax positions within the income tax line item within the consolidated statements of operations. As of December 31, 2025 and 2024, no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authoritative guidance intended to enhance the transparency and decision usefulness of income tax disclosures primarily through changes to the rate reconciliation and income taxes paid information. This guidance became effective for annual periods beginning after December 15, 2024 and allows for prospective or retrospective adoption. The Company adopted the new guidance for the year ended December 31, 2025 under the retrospective method and it did not have an impact on our consolidated financial statements but resulted in additional disclosures. See Note 11, </w:t>
      </w:r>
      <w:r>
        <w:rPr>
          <w:rFonts w:ascii="Times New Roman" w:cs="Times New Roman" w:eastAsia="Times New Roman" w:hAnsi="Times New Roman"/>
          <w:sz w:val="18"/>
          <w:szCs w:val="18"/>
          <w:i w:val="1"/>
          <w:iCs w:val="1"/>
          <w:color w:val="auto"/>
        </w:rPr>
        <w:t>Income Taxes and Tax Receivable Agreement</w:t>
      </w:r>
      <w:r>
        <w:rPr>
          <w:rFonts w:ascii="Times New Roman" w:cs="Times New Roman" w:eastAsia="Times New Roman" w:hAnsi="Times New Roman"/>
          <w:sz w:val="18"/>
          <w:szCs w:val="18"/>
          <w:color w:val="auto"/>
        </w:rPr>
        <w:t>, for further discussion.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but Not Yet Adopted</w:t>
      </w:r>
    </w:p>
    <w:p>
      <w:pPr>
        <w:spacing w:after="0" w:line="2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November 2024, the FASB issued authoritative guidance related to disclosure of additional information about specific expense categories related to cost of sales and operating expenses in the notes to financial statements at interim and annual reporting periods. This guidance will be effective for fiscal years beginning after December 15, 2026, and interim periods within fiscal years beginning after December 15, 2027. Early adoption is permitted and should be applied on a prospective basis. We do not expect this standard to have a material impact on our consolidated financial statements, but will require increased disclosures within the notes to our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(loss) income applicable to Brilliant Earth Group, Inc. by the weighted average shares of Class A common stock outstanding (and Class D common stock, if outstanding) during the period. Diluted earnings per share is computed by adjusting the net (loss)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97" w:lineRule="auto"/>
        <w:rPr>
          <w:sz w:val="20"/>
          <w:szCs w:val="20"/>
          <w:color w:val="auto"/>
        </w:rPr>
      </w:pPr>
      <w:r>
        <w:rPr>
          <w:rFonts w:ascii="Times New Roman" w:cs="Times New Roman" w:eastAsia="Times New Roman" w:hAnsi="Times New Roman"/>
          <w:sz w:val="18"/>
          <w:szCs w:val="18"/>
          <w:color w:val="auto"/>
        </w:rPr>
        <w:t>Basic and diluted earnings per share of Class A common stock for the years ended December 31, 2025 and 2024, have been computed as follows (in thousands,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0"/>
        </w:trPr>
        <w:tc>
          <w:tcPr>
            <w:tcW w:w="66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income attributable to Brilliant Earth Group, Inc., BASIC</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 Net income impact from assumed redemption of all LLC Units to common</w:t>
            </w:r>
          </w:p>
        </w:tc>
        <w:tc>
          <w:tcPr>
            <w:tcW w:w="1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w:t>
            </w:r>
          </w:p>
        </w:tc>
        <w:tc>
          <w:tcPr>
            <w:tcW w:w="1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43"/>
        </w:trPr>
        <w:tc>
          <w:tcPr>
            <w:tcW w:w="6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Less: Income tax expense on net income attributable to NCI</w:t>
            </w:r>
          </w:p>
        </w:tc>
        <w:tc>
          <w:tcPr>
            <w:tcW w:w="13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40"/>
        </w:trPr>
        <w:tc>
          <w:tcPr>
            <w:tcW w:w="66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600" w:type="dxa"/>
            <w:vAlign w:val="bottom"/>
            <w:shd w:val="clear" w:color="auto" w:fill="CCEEFF"/>
          </w:tcPr>
          <w:p>
            <w:pPr>
              <w:ind w:left="700"/>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Brilliant Earth Group, Inc., after adjustment for</w:t>
            </w:r>
          </w:p>
        </w:tc>
        <w:tc>
          <w:tcPr>
            <w:tcW w:w="1340" w:type="dxa"/>
            <w:vAlign w:val="bottom"/>
            <w:vMerge w:val="restart"/>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61"/>
        </w:trPr>
        <w:tc>
          <w:tcPr>
            <w:tcW w:w="66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assumed conversion, DILUTED</w:t>
            </w: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15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w:t>
            </w:r>
          </w:p>
        </w:tc>
        <w:tc>
          <w:tcPr>
            <w:tcW w:w="1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14,752,634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13,304,227</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Dilutive effects of:</w:t>
            </w:r>
          </w:p>
        </w:tc>
        <w:tc>
          <w:tcPr>
            <w:tcW w:w="1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Vested LLC Units that are exchangeable for common stock</w:t>
            </w:r>
          </w:p>
        </w:tc>
        <w:tc>
          <w:tcPr>
            <w:tcW w:w="13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84,884,486</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Unvested LLC Units that are exchangeable for common stock</w:t>
            </w:r>
          </w:p>
        </w:tc>
        <w:tc>
          <w:tcPr>
            <w:tcW w:w="1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0" w:type="dxa"/>
            <w:vAlign w:val="bottom"/>
          </w:tcPr>
          <w:p>
            <w:pPr>
              <w:spacing w:after="0"/>
              <w:rPr>
                <w:sz w:val="1"/>
                <w:szCs w:val="1"/>
                <w:color w:val="auto"/>
              </w:rPr>
            </w:pPr>
          </w:p>
        </w:tc>
      </w:tr>
      <w:tr>
        <w:trPr>
          <w:trHeight w:val="243"/>
        </w:trPr>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120,258</w:t>
            </w:r>
          </w:p>
        </w:tc>
        <w:tc>
          <w:tcPr>
            <w:tcW w:w="0" w:type="dxa"/>
            <w:vAlign w:val="bottom"/>
          </w:tcPr>
          <w:p>
            <w:pPr>
              <w:spacing w:after="0"/>
              <w:rPr>
                <w:sz w:val="1"/>
                <w:szCs w:val="1"/>
                <w:color w:val="auto"/>
              </w:rPr>
            </w:pPr>
          </w:p>
        </w:tc>
      </w:tr>
      <w:tr>
        <w:trPr>
          <w:trHeight w:val="40"/>
        </w:trPr>
        <w:tc>
          <w:tcPr>
            <w:tcW w:w="66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66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Weighted average shares of common stock outstanding, DILUTED</w:t>
            </w:r>
          </w:p>
        </w:tc>
        <w:tc>
          <w:tcPr>
            <w:tcW w:w="1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14,752,634</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98,352,924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net income attributable to the non-controlling interest is added back to net income in the fully dilutive computation and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2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dilutive earnings per share calculation excludes the loss impact from assumed redemption of all LLC Units and any income tax impact on the net loss attributable to the non-controlling interest since the Company is in a net loss position and these adjustments would be antidilutive.</w:t>
      </w:r>
    </w:p>
    <w:p>
      <w:pPr>
        <w:spacing w:after="0" w:line="18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color w:val="auto"/>
        </w:rPr>
        <w:t>For the years ended December 31, 2025 and 2024, the dilutive impact of vested LLC Units convertible into common stock were included in the computation of diluted earnings per share under the if-converted method; except when the effect would be anti-dilutive. The dilutive impact of unvested LLC Units and RSUs were included using the treasury stock method, except when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securities for the years ended December 31, 2025 and 2024, that have been excluded from the computation of earnings per share because such impact would have been anti-dilutive: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LLC Units</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84,949,017</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3,946,584</w:t>
            </w:r>
          </w:p>
        </w:tc>
        <w:tc>
          <w:tcPr>
            <w:tcW w:w="5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3,701,131</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664,686</w:t>
            </w: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709,147</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LLC units</w:t>
            </w: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4,734</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INVENTORIES, NET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0"/>
        </w:trPr>
        <w:tc>
          <w:tcPr>
            <w:tcW w:w="1040" w:type="dxa"/>
            <w:vAlign w:val="bottom"/>
            <w:tcBorders>
              <w:bottom w:val="single" w:sz="8" w:color="CCEEFF"/>
            </w:tcBorders>
          </w:tcPr>
          <w:p>
            <w:pPr>
              <w:spacing w:after="0"/>
              <w:rPr>
                <w:sz w:val="3"/>
                <w:szCs w:val="3"/>
                <w:color w:val="auto"/>
              </w:rPr>
            </w:pPr>
          </w:p>
        </w:tc>
        <w:tc>
          <w:tcPr>
            <w:tcW w:w="504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CCEEFF"/>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Loose diamonds</w:t>
            </w:r>
          </w:p>
        </w:tc>
        <w:tc>
          <w:tcPr>
            <w:tcW w:w="1460" w:type="dxa"/>
            <w:vAlign w:val="bottom"/>
            <w:tcBorders>
              <w:bottom w:val="single" w:sz="8" w:color="CCEEFF"/>
            </w:tcBorders>
            <w:gridSpan w:val="3"/>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Fine jewelry and other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42,187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32,732</w:t>
            </w: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50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inventory obsolescence</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60" w:type="dxa"/>
            <w:vAlign w:val="bottom"/>
            <w:gridSpan w:val="2"/>
          </w:tcPr>
          <w:p>
            <w:pPr>
              <w:spacing w:after="0"/>
              <w:rPr>
                <w:sz w:val="23"/>
                <w:szCs w:val="23"/>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53,238</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38,292</w:t>
            </w:r>
          </w:p>
        </w:tc>
        <w:tc>
          <w:tcPr>
            <w:tcW w:w="0" w:type="dxa"/>
            <w:vAlign w:val="bottom"/>
          </w:tcPr>
          <w:p>
            <w:pPr>
              <w:spacing w:after="0"/>
              <w:rPr>
                <w:sz w:val="1"/>
                <w:szCs w:val="1"/>
                <w:color w:val="auto"/>
              </w:rPr>
            </w:pPr>
          </w:p>
        </w:tc>
      </w:tr>
      <w:tr>
        <w:trPr>
          <w:trHeight w:val="27"/>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allowance for inventory obsolescence consists of the following (in thousands):</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60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504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4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allowance for inventory obsolescence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040" w:type="dxa"/>
            <w:vAlign w:val="bottom"/>
          </w:tcPr>
          <w:p>
            <w:pPr>
              <w:spacing w:after="0"/>
              <w:rPr>
                <w:sz w:val="3"/>
                <w:szCs w:val="3"/>
                <w:color w:val="auto"/>
              </w:rPr>
            </w:pPr>
          </w:p>
        </w:tc>
        <w:tc>
          <w:tcPr>
            <w:tcW w:w="504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$12.6 million and $15.6 million, respectively, of consigned inventory held on behalf of suppliers which is not recorded in the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7"/>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property and equipment</w:t>
            </w: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38,751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34,647</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0" w:type="dxa"/>
            <w:vAlign w:val="bottom"/>
          </w:tcPr>
          <w:p>
            <w:pPr>
              <w:spacing w:after="0"/>
              <w:rPr>
                <w:sz w:val="1"/>
                <w:szCs w:val="1"/>
                <w:color w:val="auto"/>
              </w:rPr>
            </w:pPr>
          </w:p>
        </w:tc>
      </w:tr>
      <w:tr>
        <w:trPr>
          <w:trHeight w:val="27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19,622</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21,626</w:t>
            </w:r>
          </w:p>
        </w:tc>
        <w:tc>
          <w:tcPr>
            <w:tcW w:w="0" w:type="dxa"/>
            <w:vAlign w:val="bottom"/>
          </w:tcPr>
          <w:p>
            <w:pPr>
              <w:spacing w:after="0"/>
              <w:rPr>
                <w:sz w:val="1"/>
                <w:szCs w:val="1"/>
                <w:color w:val="auto"/>
              </w:rPr>
            </w:pPr>
          </w:p>
        </w:tc>
      </w:tr>
      <w:tr>
        <w:trPr>
          <w:trHeight w:val="27"/>
        </w:trPr>
        <w:tc>
          <w:tcPr>
            <w:tcW w:w="4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depreciation expense was as follows (in thousands):</w:t>
            </w: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4400" w:type="dxa"/>
            <w:vAlign w:val="bottom"/>
            <w:gridSpan w:val="4"/>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3520" w:type="dxa"/>
            <w:vAlign w:val="bottom"/>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352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780" w:type="dxa"/>
            <w:vAlign w:val="bottom"/>
          </w:tcPr>
          <w:p>
            <w:pPr>
              <w:spacing w:after="0"/>
              <w:rPr>
                <w:sz w:val="21"/>
                <w:szCs w:val="21"/>
                <w:color w:val="auto"/>
              </w:rPr>
            </w:pPr>
          </w:p>
        </w:tc>
        <w:tc>
          <w:tcPr>
            <w:tcW w:w="16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7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100" w:type="dxa"/>
            <w:vAlign w:val="bottom"/>
            <w:tcBorders>
              <w:bottom w:val="single" w:sz="8" w:color="CCEEFF"/>
            </w:tcBorders>
            <w:shd w:val="clear" w:color="auto" w:fill="CCEEFF"/>
          </w:tcPr>
          <w:p>
            <w:pPr>
              <w:spacing w:after="0"/>
              <w:rPr>
                <w:sz w:val="24"/>
                <w:szCs w:val="24"/>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depreciation expense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CURRENT LIABILITIES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gridSpan w:val="3"/>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expenses</w:t>
            </w:r>
          </w:p>
        </w:tc>
        <w:tc>
          <w:tcPr>
            <w:tcW w:w="7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Payroll expenses</w:t>
            </w: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40"/>
        </w:trPr>
        <w:tc>
          <w:tcPr>
            <w:tcW w:w="3620" w:type="dxa"/>
            <w:vAlign w:val="bottom"/>
            <w:gridSpan w:val="3"/>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6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tax payable</w:t>
            </w:r>
          </w:p>
        </w:tc>
        <w:tc>
          <w:tcPr>
            <w:tcW w:w="7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sales returns and allowances</w:t>
            </w: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40"/>
        </w:trPr>
        <w:tc>
          <w:tcPr>
            <w:tcW w:w="3620" w:type="dxa"/>
            <w:vAlign w:val="bottom"/>
            <w:gridSpan w:val="3"/>
          </w:tcPr>
          <w:p>
            <w:pPr>
              <w:spacing w:after="0"/>
              <w:rPr>
                <w:sz w:val="3"/>
                <w:szCs w:val="3"/>
                <w:color w:val="auto"/>
              </w:rPr>
            </w:pPr>
          </w:p>
        </w:tc>
        <w:tc>
          <w:tcPr>
            <w:tcW w:w="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6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TRA</w:t>
            </w:r>
          </w:p>
        </w:tc>
        <w:tc>
          <w:tcPr>
            <w:tcW w:w="7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40"/>
        </w:trPr>
        <w:tc>
          <w:tcPr>
            <w:tcW w:w="4400" w:type="dxa"/>
            <w:vAlign w:val="bottom"/>
            <w:tcBorders>
              <w:bottom w:val="single" w:sz="8" w:color="CCEEFF"/>
            </w:tcBorders>
            <w:gridSpan w:val="4"/>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35,732</w:t>
            </w:r>
          </w:p>
        </w:tc>
        <w:tc>
          <w:tcPr>
            <w:tcW w:w="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31,714</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Included in accrued expenses and other current liabilities is a provision for sales returns and allowances. Returns are estimated based on past experience and current expectations and are recorded as an adjustment to revenue. Activity for the years ended December 31, 2025 and 2024 was as follows (in thousands):</w:t>
      </w:r>
    </w:p>
    <w:p>
      <w:pPr>
        <w:spacing w:after="0" w:line="259"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tcPr>
          <w:p>
            <w:pPr>
              <w:spacing w:after="0"/>
              <w:rPr>
                <w:sz w:val="20"/>
                <w:szCs w:val="20"/>
                <w:color w:val="auto"/>
              </w:rPr>
            </w:pPr>
          </w:p>
        </w:tc>
      </w:tr>
      <w:tr>
        <w:trPr>
          <w:trHeight w:val="40"/>
        </w:trPr>
        <w:tc>
          <w:tcPr>
            <w:tcW w:w="386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37"/>
        </w:trPr>
        <w:tc>
          <w:tcPr>
            <w:tcW w:w="386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1"/>
        </w:trPr>
        <w:tc>
          <w:tcPr>
            <w:tcW w:w="386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6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26,218</w:t>
            </w:r>
          </w:p>
        </w:tc>
      </w:tr>
      <w:tr>
        <w:trPr>
          <w:trHeight w:val="40"/>
        </w:trPr>
        <w:tc>
          <w:tcPr>
            <w:tcW w:w="38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8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1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w:t>
            </w:r>
          </w:p>
        </w:tc>
      </w:tr>
      <w:tr>
        <w:trPr>
          <w:trHeight w:val="27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560" w:type="dxa"/>
            <w:vAlign w:val="bottom"/>
            <w:tcBorders>
              <w:top w:val="single" w:sz="8" w:color="auto"/>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3,520</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w:t>
            </w:r>
          </w:p>
        </w:tc>
      </w:tr>
      <w:tr>
        <w:trPr>
          <w:trHeight w:val="27"/>
        </w:trPr>
        <w:tc>
          <w:tcPr>
            <w:tcW w:w="3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ROU assets and lease liabilities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tcPr>
          <w:p>
            <w:pPr>
              <w:spacing w:after="0"/>
              <w:rPr>
                <w:sz w:val="20"/>
                <w:szCs w:val="20"/>
                <w:color w:val="auto"/>
              </w:rPr>
            </w:pPr>
          </w:p>
        </w:tc>
      </w:tr>
      <w:tr>
        <w:trPr>
          <w:trHeight w:val="40"/>
        </w:trPr>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21"/>
                <w:szCs w:val="21"/>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560" w:type="dxa"/>
            <w:vAlign w:val="bottom"/>
          </w:tcPr>
          <w:p>
            <w:pPr>
              <w:spacing w:after="0"/>
              <w:rPr>
                <w:sz w:val="21"/>
                <w:szCs w:val="21"/>
                <w:color w:val="auto"/>
              </w:rPr>
            </w:pPr>
          </w:p>
        </w:tc>
        <w:tc>
          <w:tcPr>
            <w:tcW w:w="18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3"/>
        </w:trPr>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ROU assets at cost</w:t>
            </w:r>
          </w:p>
        </w:tc>
        <w:tc>
          <w:tcPr>
            <w:tcW w:w="8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w:t>
            </w: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80" w:type="dxa"/>
            <w:vAlign w:val="bottom"/>
          </w:tcPr>
          <w:p>
            <w:pPr>
              <w:spacing w:after="0"/>
              <w:rPr>
                <w:sz w:val="21"/>
                <w:szCs w:val="21"/>
                <w:color w:val="auto"/>
              </w:rPr>
            </w:pPr>
          </w:p>
        </w:tc>
        <w:tc>
          <w:tcPr>
            <w:tcW w:w="3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33"/>
        </w:trPr>
        <w:tc>
          <w:tcPr>
            <w:tcW w:w="2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9"/>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80" w:type="dxa"/>
            <w:vAlign w:val="bottom"/>
            <w:tcBorders>
              <w:bottom w:val="single" w:sz="8" w:color="CCEEFF"/>
            </w:tcBorders>
            <w:shd w:val="clear" w:color="auto" w:fill="CCEEFF"/>
          </w:tcPr>
          <w:p>
            <w:pPr>
              <w:spacing w:after="0"/>
              <w:rPr>
                <w:sz w:val="24"/>
                <w:szCs w:val="24"/>
                <w:color w:val="auto"/>
              </w:rPr>
            </w:pPr>
          </w:p>
        </w:tc>
        <w:tc>
          <w:tcPr>
            <w:tcW w:w="3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31,879</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35,222</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17"/>
        </w:trPr>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3"/>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leases</w:t>
            </w:r>
          </w:p>
        </w:tc>
        <w:tc>
          <w:tcPr>
            <w:tcW w:w="8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3"/>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3"/>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leases</w:t>
            </w:r>
          </w:p>
        </w:tc>
        <w:tc>
          <w:tcPr>
            <w:tcW w:w="80" w:type="dxa"/>
            <w:vAlign w:val="bottom"/>
            <w:tcBorders>
              <w:bottom w:val="single" w:sz="8" w:color="CCEEFF"/>
            </w:tcBorders>
            <w:shd w:val="clear" w:color="auto" w:fill="CCEEFF"/>
          </w:tcPr>
          <w:p>
            <w:pPr>
              <w:spacing w:after="0"/>
              <w:rPr>
                <w:sz w:val="24"/>
                <w:szCs w:val="24"/>
                <w:color w:val="auto"/>
              </w:rPr>
            </w:pPr>
          </w:p>
        </w:tc>
        <w:tc>
          <w:tcPr>
            <w:tcW w:w="3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6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w:t>
            </w:r>
          </w:p>
        </w:tc>
      </w:tr>
      <w:tr>
        <w:trPr>
          <w:trHeight w:val="27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8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80" w:type="dxa"/>
            <w:vAlign w:val="bottom"/>
          </w:tcPr>
          <w:p>
            <w:pPr>
              <w:spacing w:after="0"/>
              <w:rPr>
                <w:sz w:val="23"/>
                <w:szCs w:val="23"/>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41,964</w:t>
            </w:r>
          </w:p>
        </w:tc>
      </w:tr>
      <w:tr>
        <w:trPr>
          <w:trHeight w:val="2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May 2024, the Company entered into a sublet of a portion of leased office space to a third party for the remaining lease term. Sublease income is recognized on a straight-line basis over the sublease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costs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2740" w:type="dxa"/>
            <w:vAlign w:val="bottom"/>
          </w:tcPr>
          <w:p>
            <w:pPr>
              <w:spacing w:after="0"/>
              <w:rPr>
                <w:sz w:val="3"/>
                <w:szCs w:val="3"/>
                <w:color w:val="auto"/>
              </w:rPr>
            </w:pPr>
          </w:p>
        </w:tc>
        <w:tc>
          <w:tcPr>
            <w:tcW w:w="3540" w:type="dxa"/>
            <w:vAlign w:val="bottom"/>
            <w:gridSpan w:val="2"/>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44"/>
        </w:trPr>
        <w:tc>
          <w:tcPr>
            <w:tcW w:w="2740" w:type="dxa"/>
            <w:vAlign w:val="bottom"/>
          </w:tcPr>
          <w:p>
            <w:pPr>
              <w:spacing w:after="0"/>
              <w:rPr>
                <w:sz w:val="21"/>
                <w:szCs w:val="21"/>
                <w:color w:val="auto"/>
              </w:rPr>
            </w:pPr>
          </w:p>
        </w:tc>
        <w:tc>
          <w:tcPr>
            <w:tcW w:w="35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40" w:type="dxa"/>
            <w:vAlign w:val="bottom"/>
          </w:tcPr>
          <w:p>
            <w:pPr>
              <w:spacing w:after="0"/>
              <w:rPr>
                <w:sz w:val="22"/>
                <w:szCs w:val="22"/>
                <w:color w:val="auto"/>
              </w:rPr>
            </w:pPr>
          </w:p>
        </w:tc>
      </w:tr>
      <w:tr>
        <w:trPr>
          <w:trHeight w:val="251"/>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7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21"/>
                <w:szCs w:val="21"/>
                <w:color w:val="auto"/>
              </w:rPr>
            </w:pPr>
          </w:p>
        </w:tc>
      </w:tr>
      <w:tr>
        <w:trPr>
          <w:trHeight w:val="33"/>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7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tcPr>
          <w:p>
            <w:pPr>
              <w:spacing w:after="0"/>
              <w:rPr>
                <w:sz w:val="22"/>
                <w:szCs w:val="22"/>
                <w:color w:val="auto"/>
              </w:rPr>
            </w:pPr>
          </w:p>
        </w:tc>
      </w:tr>
      <w:tr>
        <w:trPr>
          <w:trHeight w:val="251"/>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7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1"/>
                <w:szCs w:val="21"/>
                <w:color w:val="auto"/>
              </w:rPr>
            </w:pPr>
          </w:p>
        </w:tc>
      </w:tr>
      <w:tr>
        <w:trPr>
          <w:trHeight w:val="33"/>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4"/>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7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4"/>
                <w:szCs w:val="24"/>
                <w:color w:val="auto"/>
              </w:rPr>
            </w:pPr>
          </w:p>
        </w:tc>
      </w:tr>
      <w:tr>
        <w:trPr>
          <w:trHeight w:val="27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costs</w:t>
            </w:r>
          </w:p>
        </w:tc>
        <w:tc>
          <w:tcPr>
            <w:tcW w:w="3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Borders>
              <w:top w:val="single" w:sz="8" w:color="auto"/>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80" w:type="dxa"/>
            <w:vAlign w:val="bottom"/>
          </w:tcPr>
          <w:p>
            <w:pPr>
              <w:spacing w:after="0"/>
              <w:rPr>
                <w:sz w:val="23"/>
                <w:szCs w:val="23"/>
                <w:color w:val="auto"/>
              </w:rPr>
            </w:pPr>
          </w:p>
        </w:tc>
        <w:tc>
          <w:tcPr>
            <w:tcW w:w="72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40" w:type="dxa"/>
            <w:vAlign w:val="bottom"/>
          </w:tcPr>
          <w:p>
            <w:pPr>
              <w:spacing w:after="0"/>
              <w:rPr>
                <w:sz w:val="23"/>
                <w:szCs w:val="23"/>
                <w:color w:val="auto"/>
              </w:rPr>
            </w:pPr>
          </w:p>
        </w:tc>
      </w:tr>
      <w:tr>
        <w:trPr>
          <w:trHeight w:val="23"/>
        </w:trPr>
        <w:tc>
          <w:tcPr>
            <w:tcW w:w="6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547"/>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maturity analysis of the operating lease liabilities as of December 31, 2025 was as follows (in thousands):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3"/>
        </w:trPr>
        <w:tc>
          <w:tcPr>
            <w:tcW w:w="2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1"/>
        </w:trPr>
        <w:tc>
          <w:tcPr>
            <w:tcW w:w="2740" w:type="dxa"/>
            <w:vAlign w:val="bottom"/>
            <w:tcBorders>
              <w:bottom w:val="single" w:sz="8" w:color="CCEEFF"/>
            </w:tcBorders>
          </w:tcPr>
          <w:p>
            <w:pPr>
              <w:spacing w:after="0"/>
              <w:rPr>
                <w:sz w:val="3"/>
                <w:szCs w:val="3"/>
                <w:color w:val="auto"/>
              </w:rPr>
            </w:pPr>
          </w:p>
        </w:tc>
        <w:tc>
          <w:tcPr>
            <w:tcW w:w="3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16"/>
        </w:trPr>
        <w:tc>
          <w:tcPr>
            <w:tcW w:w="2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3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51"/>
        </w:trPr>
        <w:tc>
          <w:tcPr>
            <w:tcW w:w="2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3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9,001</w:t>
            </w:r>
          </w:p>
        </w:tc>
      </w:tr>
      <w:tr>
        <w:trPr>
          <w:trHeight w:val="33"/>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63"/>
        </w:trPr>
        <w:tc>
          <w:tcPr>
            <w:tcW w:w="2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3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8,526</w:t>
            </w:r>
          </w:p>
        </w:tc>
      </w:tr>
      <w:tr>
        <w:trPr>
          <w:trHeight w:val="251"/>
        </w:trPr>
        <w:tc>
          <w:tcPr>
            <w:tcW w:w="2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2028</w:t>
            </w:r>
          </w:p>
        </w:tc>
        <w:tc>
          <w:tcPr>
            <w:tcW w:w="3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7,481</w:t>
            </w:r>
          </w:p>
        </w:tc>
      </w:tr>
      <w:tr>
        <w:trPr>
          <w:trHeight w:val="33"/>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63"/>
        </w:trPr>
        <w:tc>
          <w:tcPr>
            <w:tcW w:w="2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2029</w:t>
            </w:r>
          </w:p>
        </w:tc>
        <w:tc>
          <w:tcPr>
            <w:tcW w:w="3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6,687</w:t>
            </w:r>
          </w:p>
        </w:tc>
      </w:tr>
      <w:tr>
        <w:trPr>
          <w:trHeight w:val="251"/>
        </w:trPr>
        <w:tc>
          <w:tcPr>
            <w:tcW w:w="2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2030</w:t>
            </w:r>
          </w:p>
        </w:tc>
        <w:tc>
          <w:tcPr>
            <w:tcW w:w="3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5,343</w:t>
            </w:r>
          </w:p>
        </w:tc>
      </w:tr>
      <w:tr>
        <w:trPr>
          <w:trHeight w:val="33"/>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84"/>
        </w:trPr>
        <w:tc>
          <w:tcPr>
            <w:tcW w:w="2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Thereafter</w:t>
            </w:r>
          </w:p>
        </w:tc>
        <w:tc>
          <w:tcPr>
            <w:tcW w:w="3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8,159</w:t>
            </w:r>
          </w:p>
        </w:tc>
      </w:tr>
      <w:tr>
        <w:trPr>
          <w:trHeight w:val="277"/>
        </w:trPr>
        <w:tc>
          <w:tcPr>
            <w:tcW w:w="27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minimum lease payments</w:t>
            </w:r>
            <w:r>
              <w:rPr>
                <w:rFonts w:ascii="Times New Roman" w:cs="Times New Roman" w:eastAsia="Times New Roman" w:hAnsi="Times New Roman"/>
                <w:sz w:val="21"/>
                <w:szCs w:val="21"/>
                <w:b w:val="1"/>
                <w:bCs w:val="1"/>
                <w:color w:val="auto"/>
                <w:vertAlign w:val="superscript"/>
              </w:rPr>
              <w:t>(1)</w:t>
            </w: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45,197</w:t>
            </w:r>
          </w:p>
        </w:tc>
      </w:tr>
      <w:tr>
        <w:trPr>
          <w:trHeight w:val="283"/>
        </w:trPr>
        <w:tc>
          <w:tcPr>
            <w:tcW w:w="2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Less: imputed interest</w:t>
            </w:r>
          </w:p>
        </w:tc>
        <w:tc>
          <w:tcPr>
            <w:tcW w:w="3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(7,138)</w:t>
            </w:r>
          </w:p>
        </w:tc>
      </w:tr>
      <w:tr>
        <w:trPr>
          <w:trHeight w:val="244"/>
        </w:trPr>
        <w:tc>
          <w:tcPr>
            <w:tcW w:w="628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Net present value of operating lease liabilities</w:t>
            </w: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38,059</w:t>
            </w:r>
          </w:p>
        </w:tc>
      </w:tr>
      <w:tr>
        <w:trPr>
          <w:trHeight w:val="33"/>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83"/>
        </w:trPr>
        <w:tc>
          <w:tcPr>
            <w:tcW w:w="2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Less: current portion</w:t>
            </w:r>
          </w:p>
        </w:tc>
        <w:tc>
          <w:tcPr>
            <w:tcW w:w="3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(6,896)</w:t>
            </w:r>
          </w:p>
        </w:tc>
      </w:tr>
      <w:tr>
        <w:trPr>
          <w:trHeight w:val="274"/>
        </w:trPr>
        <w:tc>
          <w:tcPr>
            <w:tcW w:w="27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3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31,163</w:t>
            </w:r>
          </w:p>
        </w:tc>
      </w:tr>
      <w:tr>
        <w:trPr>
          <w:trHeight w:val="24"/>
        </w:trPr>
        <w:tc>
          <w:tcPr>
            <w:tcW w:w="2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right="280" w:firstLine="8"/>
        <w:spacing w:after="0" w:line="237"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minimum lease payments exclude $1.8 million of future payments required under a signed lease agreement that has not yet commenced. This operating lease will commence after December 31, 2025 with a lease term of five years.</w:t>
      </w:r>
    </w:p>
    <w:p>
      <w:pPr>
        <w:spacing w:after="0" w:line="19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As of December 31, 2025, future minimum tenant operating receipts remaining under the third-party sublease were $0.2 million with a remaining sublease term of approximately 1.0 year.</w:t>
      </w:r>
    </w:p>
    <w:p>
      <w:pPr>
        <w:spacing w:after="0" w:line="1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weighted-average discount rate on long-term leases as of December 31, 2025 and 2024 (dollars in thousands):</w:t>
      </w:r>
    </w:p>
    <w:p>
      <w:pPr>
        <w:spacing w:after="0" w:line="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45720</wp:posOffset>
            </wp:positionV>
            <wp:extent cx="3111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3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5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 operating leases</w:t>
            </w:r>
          </w:p>
        </w:tc>
        <w:tc>
          <w:tcPr>
            <w:tcW w:w="1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 years</w:t>
            </w:r>
          </w:p>
        </w:tc>
        <w:tc>
          <w:tcPr>
            <w:tcW w:w="5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years</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1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33"/>
        </w:trPr>
        <w:tc>
          <w:tcPr>
            <w:tcW w:w="6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3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70"/>
        </w:trPr>
        <w:tc>
          <w:tcPr>
            <w:tcW w:w="63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 related to operating leases is as follows:</w:t>
            </w:r>
          </w:p>
        </w:tc>
        <w:tc>
          <w:tcPr>
            <w:tcW w:w="1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50"/>
        </w:trPr>
        <w:tc>
          <w:tcPr>
            <w:tcW w:w="6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8,208</w:t>
            </w: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carrying amount of the Company's outstanding debt as of December 31, 2025 and 2024, net of debt issuance costs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
        </w:trPr>
        <w:tc>
          <w:tcPr>
            <w:tcW w:w="21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2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21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7"/>
        </w:trPr>
        <w:tc>
          <w:tcPr>
            <w:tcW w:w="2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218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principal</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2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21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118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50,010</w:t>
            </w:r>
          </w:p>
        </w:tc>
      </w:tr>
      <w:tr>
        <w:trPr>
          <w:trHeight w:val="33"/>
        </w:trPr>
        <w:tc>
          <w:tcPr>
            <w:tcW w:w="21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7"/>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55,698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Credit Agreement</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On May 24, 2022 (the “Closing Date”), Brilliant Earth, LLC, as borrower, and SVB, as administrative agent and collateral agent for the lenders, entered into a credit agreement (the “SVB Credit Agreement”) which provided for a secured term loan credit facility of $65.0 million (the “SVB Term Loan”) and a secured revolving credit facility in an amount of up to $40.0 million (the “SVB Revolving Facility”, and together with the SVB Term Loan, the “SVB Credit Facilities”).</w:t>
      </w:r>
    </w:p>
    <w:p>
      <w:pPr>
        <w:spacing w:after="0" w:line="21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SVB Credit Facilities were used to refinance existing indebtedness, pay related fees and expenses, and were to be used from and after the Closing Date for working capital and general corporate purposes. The SVB Credit Facilities were set to mature on May 24, 2027 (the “Maturity Date”).</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SVB Credit Facilities were secured by substantially all assets of Brilliant Earth, LLC and any of its future material subsidiaries, subject to customary exceptions. Brilliant Earth, LLC’s future material subsidiaries (subject to certain customary exceptions) were to guarantee repayment of the SVB Credit Facilities. Borrowings under the SVB Credit Facilities bore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had agreed to pay a commitment fee on the first day of each quarter on the unused amount of the SVB Revolving Credit Facility, equal to 0.25% to 0.35% per annum depending on the Consolidated Total Leverage Ratio. The Consolidated Total Leverage Ratio was defined as the ratio, as of the last day of any four fiscal quarter period, of (a) Consolidated Total Indebtedness of the Company and its subsidiaries to (b) the Consolidated EBITDA for such period (each term as further defined in the SVB Credit Agreement).</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SVB Term Loan was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Maturity Date. The SVB Term Loan was also subject to certain mandatory prepayment requirements in connection with asset sales, casualty events and debt incurrence, subject to customary exceptions.</w:t>
      </w: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SVB Credit Facilities were subject to customary affirmative covenants and negative covenants as well as financial maintenance covenants. The financial covenants were tested at the end of each fiscal quarter and required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w:t>
      </w:r>
    </w:p>
    <w:p>
      <w:pPr>
        <w:spacing w:after="0" w:line="2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2024, we entered into the First Amendment to the SVB Credit Agreement (the “First Amendment”), pursuant to which the lenders agreed to suspend the requirement to comply with the Consolidated Fixed Charge Coverage Ratio covenant on the last day of the fiscal quarters ended December 31, 2023, March 31, 2024, and June 30, 2024. The First Amendment also required us to maintain Balance Sheet Cash (defined as unrestricted cash and cash equivalents held in accounts with the lenders and their affiliates ) in an amount greater than the sum of the aggregate principal amount outstanding under the SVB Revolving Facility (including issued letters of credit) and the aggregate principal amount of the SVB Term Loan outstanding at such time, which requirement applied at all times commencing on February 21, 2024 until the last day of the fiscal quarter ended June 30, 2024. After such time, the minimum Balance Sheet Cash covenant no longer applied.</w:t>
      </w:r>
    </w:p>
    <w:p>
      <w:pPr>
        <w:spacing w:after="0" w:line="21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In May 2025, the Company entered into the Second Amendment to the SVB Credit Agreement (the “Second Amendment”), pursuant to which the lenders agreed to suspend the requirement to comply with the (i) Consolidated Fixed Charge Coverage Ratio covenant for the period ended March 31, 2025 through and including the fiscal quarter ending March 31, 2026 and (ii) the Consolidated Borrower Leverage Ratio covenant for the period ended March 31, 2025. In addition, the Second Amendment increased the interest rate margin applicable to the SVB Revolving Facility and Term Loan by 10 basis points for the period commencing on the effective date of the Second Amendment through (but not including) April 1, 2026. Borrowings under the SVB Credit Facilities bore interest at either (a) a secured overnight financing rate plus an annual adjustment of 0.125%, plus an applicable margin of 2.35% to 2.85%, depending on the Consolidated Total Leverage Ratio, or an alternate base rate plus an applicable margin of 1.35% to 1.85%, depending on the Consolidated Total Leverage Ratio, each subject to a 0.00% floor.</w:t>
      </w:r>
    </w:p>
    <w:p>
      <w:pPr>
        <w:spacing w:after="0" w:line="2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Second Amendment also required us to maintain Balance Sheet Cash (defined as unrestricted cash and cash equivalents held in accounts with the Lenders and their affiliates) in an amount greater than one and one half (1.5) times the sum of the aggregate principal amount outstanding under the SVB Revolving Facility (including issued letters of credit) and the aggregate principal amount of the SVB Term Loan outstanding at such time, which requirement applies at all times commencing on the effective date of the Second Amendment until the last day of the fiscal quarter ending March 31, 2026. After such time, the minimum Balance Sheet Cash covenant no longer applied.</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May 2025, the Company made principal payments totaling $20 million on the SVB Term Loan. No additional principal payments were required until the Maturity Date.</w:t>
      </w:r>
    </w:p>
    <w:p>
      <w:pPr>
        <w:spacing w:after="0" w:line="189" w:lineRule="exact"/>
        <w:rPr>
          <w:sz w:val="20"/>
          <w:szCs w:val="20"/>
          <w:color w:val="auto"/>
        </w:rPr>
      </w:pPr>
    </w:p>
    <w:p>
      <w:pPr>
        <w:jc w:val="both"/>
        <w:ind w:right="480"/>
        <w:spacing w:after="0" w:line="281" w:lineRule="auto"/>
        <w:rPr>
          <w:sz w:val="20"/>
          <w:szCs w:val="20"/>
          <w:color w:val="auto"/>
        </w:rPr>
      </w:pPr>
      <w:r>
        <w:rPr>
          <w:rFonts w:ascii="Times New Roman" w:cs="Times New Roman" w:eastAsia="Times New Roman" w:hAnsi="Times New Roman"/>
          <w:sz w:val="18"/>
          <w:szCs w:val="18"/>
          <w:color w:val="auto"/>
        </w:rPr>
        <w:t>In August 2025, the Company prepaid all principal amounts outstanding of $34.8 million under the SVB Term Loan and terminated all commitments outstanding under the SVB Credit Agreement. As a result of the prepayment, the Company recognized a loss on debt extinguishment of $0.6 million associated with the write-off of unamortized debt issuance costs.</w:t>
      </w:r>
    </w:p>
    <w:p>
      <w:pPr>
        <w:spacing w:after="0" w:line="204"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As a result of the prepayment of all principal amounts outstanding under the SVB Term Loan, and termination of all commitments outstanding under the SVB Credit Agreement, the Company is no longer required to be in compliance with any covenants under the SVB Credit Agreement as of December 31, 2025.</w:t>
      </w:r>
    </w:p>
    <w:p>
      <w:pPr>
        <w:spacing w:after="0" w:line="20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effective interest rate on debt was 8.18% and 8.56%, for the years ended December 31, 2025 and 2024, respectively. Interest expense was $2.1 million and $4.7 million; and amortization of deferred issuance costs was $0.2 million and $0.3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 AND MEMBERS UNITS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Capitalization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capitalization and voting rights of the Company’s classes of equity as of December 31,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per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0" w:type="dxa"/>
            <w:vAlign w:val="bottom"/>
          </w:tcPr>
          <w:p>
            <w:pPr>
              <w:spacing w:after="0"/>
              <w:rPr>
                <w:sz w:val="1"/>
                <w:szCs w:val="1"/>
                <w:color w:val="auto"/>
              </w:rPr>
            </w:pPr>
          </w:p>
        </w:tc>
      </w:tr>
      <w:tr>
        <w:trPr>
          <w:trHeight w:val="214"/>
        </w:trPr>
        <w:tc>
          <w:tcPr>
            <w:tcW w:w="3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41"/>
        </w:trPr>
        <w:tc>
          <w:tcPr>
            <w:tcW w:w="32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1,200,000,000</w:t>
            </w:r>
          </w:p>
        </w:tc>
        <w:tc>
          <w:tcPr>
            <w:tcW w:w="80" w:type="dxa"/>
            <w:vAlign w:val="bottom"/>
          </w:tcPr>
          <w:p>
            <w:pPr>
              <w:spacing w:after="0"/>
              <w:rPr>
                <w:sz w:val="21"/>
                <w:szCs w:val="21"/>
                <w:color w:val="auto"/>
              </w:rPr>
            </w:pP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15,518,024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13,843,944</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41"/>
        </w:trPr>
        <w:tc>
          <w:tcPr>
            <w:tcW w:w="3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Class B</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35,822,342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35,820,912</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43"/>
        </w:trPr>
        <w:tc>
          <w:tcPr>
            <w:tcW w:w="3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Class 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Pr>
          <w:p>
            <w:pPr>
              <w:spacing w:after="0"/>
              <w:rPr>
                <w:sz w:val="21"/>
                <w:szCs w:val="21"/>
                <w:color w:val="auto"/>
              </w:rPr>
            </w:pP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49,119,976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49,119,976</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41"/>
        </w:trPr>
        <w:tc>
          <w:tcPr>
            <w:tcW w:w="3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Class 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issuances:</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Conversion of LLC Units</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84,942,318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84,940,888</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Unvested LLC Units</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Unvested RSUs</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3,611,467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3,847,636</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656,821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665,905</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LLC Units</w:t>
            </w: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84,942,318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84,940,888</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40"/>
        </w:trPr>
        <w:tc>
          <w:tcPr>
            <w:tcW w:w="322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Board of Directors (the “Board”)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December 31, 2025, no series of preferred stock have been issued.</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stock or Class C common stock, as applicable, as discussed below under </w:t>
      </w:r>
      <w:r>
        <w:rPr>
          <w:rFonts w:ascii="Times New Roman" w:cs="Times New Roman" w:eastAsia="Times New Roman" w:hAnsi="Times New Roman"/>
          <w:sz w:val="18"/>
          <w:szCs w:val="18"/>
          <w:i w:val="1"/>
          <w:iCs w:val="1"/>
          <w:color w:val="auto"/>
        </w:rPr>
        <w:t>Brilliant Earth, LLC</w:t>
      </w:r>
      <w:r>
        <w:rPr>
          <w:rFonts w:ascii="Times New Roman" w:cs="Times New Roman" w:eastAsia="Times New Roman" w:hAnsi="Times New Roman"/>
          <w:sz w:val="18"/>
          <w:szCs w:val="18"/>
          <w:color w:val="auto"/>
        </w:rPr>
        <w:t>. When a common unit is redeemed for cash or Class A or D common stock by a Continuing Equity Owner who holds shares of Class B common stock or Class C common stock, such Continuing Equity Owner will be required to surrender a share of Class B common stock or Class C common stock, as applicable, which will be cancelled for no consideration.</w:t>
      </w:r>
    </w:p>
    <w:p>
      <w:pPr>
        <w:spacing w:after="0" w:line="21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Brilliant Earth, LLC</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Brilliant Earth Group, Inc. holds a 15.4% economic interest in Brilliant Earth, LLC through its ownership of 15,518,024 LLC Units, and consolidates Brilliant Earth, LLC as sole managing member. The remaining 84,942,318 LLC units representing an 84.6% interest are held by the Continuing Equity Owners and presented in the consolidated financial statements as a non-controlling interest.</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LLC Agreement. The redemption feature is not bifurcated from the underlying LLC Unit.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LLC Units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Dividends</w:t>
      </w:r>
    </w:p>
    <w:p>
      <w:pPr>
        <w:spacing w:after="0" w:line="27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In August 2025, our Board declared a one-time cash dividend of $0.25 per share to holders of our Class A common stock and holders of common units of Brilliant Earth, LLC, respectively. The distribution from Brilliant Earth, LLC totaled approximately $25.0 million, of which a pro rata portion was used by us to fund the dividend. Payment of the dividend was made on September 8, 2025 to holders of record of our Class A common stock as of the close of business on August 22, 2025. Approximately $21.2 million was paid to holders of common units of Brilliant Earth, LLC and approximately $3.8 million was paid to holders of the Company's Class A common stock.</w:t>
      </w:r>
    </w:p>
    <w:p>
      <w:pPr>
        <w:spacing w:after="0" w:line="19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color w:val="auto"/>
        </w:rPr>
        <w:t>Any future determination as to the declaration and payment of dividends, if any, will be at the discretion of the Board, subject to the requirements of applicable law, compliance with contractual restrictions and covenants in the agreements governing our current and future indebtedness. Any such determination will also depend upon the Company's business prospects, results of operations, financial condition, cash requirements and availability, industry trends, and other factors that the Board may deem relevant.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Members Related to Their Income Tax Liabilities</w:t>
      </w:r>
    </w:p>
    <w:p>
      <w:pPr>
        <w:spacing w:after="0" w:line="2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projected year-to-date taxable income, with a final accounting once actual taxable income or loss has been determined. Such distributions totaled approximately $6.8 million and $1.6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56"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In December 2023, the Board approved a share repurchase program authorizing the Company to purchase up to an aggregate of $20.0 million of the Company's Class A common stock through the expiration of the program in December 2026.</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Securities Exchange Act of 1934, as amended.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of equity are accounted for as treasury stock and reported at the purchase price as a reduction of equity within the consolidated balance sheet.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2021 Incentive Award Plan (the “2021 Plan”) was adopted to attract, retain, and motivate selected employees, consultants, and directors through the granting of equity-based compensation awards and cash-based performance bonus awards. The compensation committee or its approved designees administer the 2021 Plan. 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have reserved 13,285,276 shares of common stock for issuance pursuant to a variety of equity-based compensation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stock options, stock appreciation rights, or SARs, restricted stock awards, restricted stock unit awards, and other equity-based awards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Incentive Award Plan. The number of shares initially reserved for issuance or transfer pursuant to awards under the 2021 Incentive Award Plan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by an annual increase on the first day of each fiscal year beginning in 2022 and ending in 2031, equal to the lesser of (A) 5% of the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(on an as converted basis) on the last day of the immediately preceding fiscal year and (B) such smaller number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as determined by the Board; provided, however, that no more than 81,929,342 shares of stock may be issued upon the exercise of incentive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As of December 31, 2025, 4,066,195 shares of common stock are available for future grants under the 2021 Incentive Award Plan. Vesting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change in control provisions as provided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agreements.</w:t>
      </w:r>
    </w:p>
    <w:p>
      <w:pPr>
        <w:spacing w:after="0" w:line="2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2021 Employee Stock Purchase Plan (the “Employee Stock Purchase Plan”) permits the Company to offer employees the right to purchase Class A common stock at a discount through after-tax payroll contributions. As of December 31, 2025, 1,847,197 shares of Class A common stock are reserved for issuance under our Employee Stock Purchase Plan. The number of shares initially reserved for issuance or transfer pursuant to awards under the Employee Stock Purchase Plan is increased by an annual increase on the first day of each fiscal year beginning in 2022 and ending in 2031, equal to the lesser of (A) 1% of the shares of common stock outstanding (on an as converted basis) on the last day of the immediately preceding fiscal year and (B) such smaller number of shares of stock as determined by the Board. No offerings have commenced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Restricted Stock Units</w:t>
      </w:r>
    </w:p>
    <w:p>
      <w:pPr>
        <w:spacing w:after="0" w:line="22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fair value of RSUs are based on the fair value of a Class A share of common stock at the time of grant. RSUs have a time-based vesting requirement (based on continuous employment). Upon vesting, the RSUs convert into Class A common stock; unvested RSUs are not considered outstanding shares of Class A common stock. The agreements generally provide for 25% vesting at the first anniversary of the date of the grant (or a shorter period at the administrator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discretion), with the remainder vesting quarterly over the following three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RSUs for the year ended December 31, 2025:</w:t>
      </w:r>
    </w:p>
    <w:p>
      <w:pPr>
        <w:spacing w:after="0" w:line="31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52"/>
        </w:trPr>
        <w:tc>
          <w:tcPr>
            <w:tcW w:w="4900" w:type="dxa"/>
            <w:vAlign w:val="bottom"/>
          </w:tcPr>
          <w:p>
            <w:pPr>
              <w:spacing w:after="0"/>
              <w:rPr>
                <w:sz w:val="21"/>
                <w:szCs w:val="21"/>
                <w:color w:val="auto"/>
              </w:rPr>
            </w:pPr>
          </w:p>
        </w:tc>
        <w:tc>
          <w:tcPr>
            <w:tcW w:w="2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00" w:type="dxa"/>
            <w:vAlign w:val="bottom"/>
          </w:tcPr>
          <w:p>
            <w:pPr>
              <w:spacing w:after="0"/>
              <w:rPr>
                <w:sz w:val="21"/>
                <w:szCs w:val="21"/>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 fair value per unit</w:t>
            </w:r>
          </w:p>
        </w:tc>
      </w:tr>
      <w:tr>
        <w:trPr>
          <w:trHeight w:val="41"/>
        </w:trPr>
        <w:tc>
          <w:tcPr>
            <w:tcW w:w="49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3,942,052</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2,075,931</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40"/>
        </w:trPr>
        <w:tc>
          <w:tcPr>
            <w:tcW w:w="49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(1,587,519)</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4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40"/>
        </w:trPr>
        <w:tc>
          <w:tcPr>
            <w:tcW w:w="49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3,847,636</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1,824,994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40"/>
        </w:trPr>
        <w:tc>
          <w:tcPr>
            <w:tcW w:w="49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(1,943,303)</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40"/>
        </w:trPr>
        <w:tc>
          <w:tcPr>
            <w:tcW w:w="49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9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 unvested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3,611,467</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vested for the years ended December 31, 2025 and 2024, was $9.5 million and $10.0 million, respectively.</w:t>
      </w:r>
    </w:p>
    <w:p>
      <w:pPr>
        <w:spacing w:after="0" w:line="26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Total compensation expense for RSUs was approximately $8.7 million and $9.2 million for the years ended December 31, 2025 and 2024, respectively, and is included in general and administrative expenses in the consolidated statements of operations. The Company recognized $0.1 million of tax benefit associated with the equity-based compensation expense for RSUs for the year ended December 31, 2025, and $0.1 million of tax benefit for the year ended December 31, 2024.</w:t>
      </w:r>
    </w:p>
    <w:p>
      <w:pPr>
        <w:spacing w:after="0" w:line="1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total compensation expense related to unvested RSUs not yet recognized was $8.0 million and the weighted-average period over which the compensation is expected to be recognized was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70"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Stock option awards have a time-based vesting requirement that is based on continuous employment. Upon vesting, the stock options are exercisable into Class A common stock. Vesting is generally over four years from the date of grant and options may be exercised up to 10 years from the date of issuance.</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outstanding and exercisable stock options: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 fair value per</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term</w:t>
            </w:r>
          </w:p>
        </w:tc>
      </w:tr>
      <w:tr>
        <w:trPr>
          <w:trHeight w:val="212"/>
        </w:trPr>
        <w:tc>
          <w:tcPr>
            <w:tcW w:w="478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33"/>
        </w:trPr>
        <w:tc>
          <w:tcPr>
            <w:tcW w:w="4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665,905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7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656,821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166"/>
        </w:trPr>
        <w:tc>
          <w:tcPr>
            <w:tcW w:w="47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r>
      <w:tr>
        <w:trPr>
          <w:trHeight w:val="27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656,821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vested stock options did not have an aggregated intrinsic value as the exercise price exceeded the estimated fair market value of the stock options.</w:t>
      </w:r>
    </w:p>
    <w:p>
      <w:pPr>
        <w:spacing w:after="0" w:line="20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Total compensation expense for stock options was approximately $0.2 million and $0.6 million for the years ended December 31, 2025 and 2024, respectively, and is included in general and administrative expenses in the consolidated statements of operations. No tax benefit was associated with the equity-based compensation expense for stock options.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no remaining compensation expense as all the outstanding stock options had fully vested.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LLC Units</w:t>
      </w:r>
    </w:p>
    <w:p>
      <w:pPr>
        <w:spacing w:after="0" w:line="270"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8"/>
          <w:szCs w:val="18"/>
          <w:color w:val="auto"/>
        </w:rPr>
        <w:t>The fair value of restricted LLC Units was based on the fair value of an unrestricted LLC Unit at the date of grant. The following table summarizes the activity related to the unvested LLC Units:</w:t>
      </w: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6720" w:type="dxa"/>
            <w:vAlign w:val="bottom"/>
          </w:tcPr>
          <w:p>
            <w:pPr>
              <w:spacing w:after="0"/>
              <w:rPr>
                <w:sz w:val="20"/>
                <w:szCs w:val="20"/>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LLC Units</w:t>
            </w:r>
          </w:p>
        </w:tc>
        <w:tc>
          <w:tcPr>
            <w:tcW w:w="10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 fair value per unit</w:t>
            </w:r>
          </w:p>
        </w:tc>
      </w:tr>
      <w:tr>
        <w:trPr>
          <w:trHeight w:val="40"/>
        </w:trPr>
        <w:tc>
          <w:tcPr>
            <w:tcW w:w="672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0"/>
        </w:trPr>
        <w:tc>
          <w:tcPr>
            <w:tcW w:w="672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 unvested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r>
    </w:tbl>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compensation expense for LLC Units was less than $0.1 million and approximately $0.1 million for the years ended December 31, 2025 and 2024, respectively, and is included in general and administrative expenses in the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no remaining compensation expense as all the outstanding LLC Units had fully vested.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 AND TAX RECEIVABLE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Income Taxes</w:t>
      </w:r>
    </w:p>
    <w:p>
      <w:pPr>
        <w:spacing w:after="0" w:line="27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7"/>
          <w:szCs w:val="17"/>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8"/>
          <w:szCs w:val="18"/>
          <w:color w:val="auto"/>
        </w:rPr>
        <w:t>a pro-rata basis and included in the member’s tax returns. The income tax burden on the earnings taxed to the non-controlling interest holders is not reported by the Company in its consolidated financial statements under GAAP.</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pay or receive any material federal or state income taxes during the years ended December 31, 2025 and 2024,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 and Income Tax Expense</w:t>
      </w:r>
    </w:p>
    <w:p>
      <w:pPr>
        <w:spacing w:after="0" w:line="2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had recorded a deferred tax asset primarily related to the outside basis difference between GAAP and reporting for income tax purposes of the Brilliant Earth Group, Inc.’s investment in Brilliant Earth, LLC. The basis difference resulted from the step-up in basis allowed under Section 743(b) and 197 of the Internal Revenue Code related to the purchase of LLC Units from the Continuing Equity Owners. The deferred tax asset was expected to be amortized over the useful lives of the underlying assets. In assessing the realizability of deferred tax assets during the year ended December 31, 2025, management determined that it was more likely than not that the deferred tax assets will not be realized.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Brilliant Earth Group, Inc.'s income tax expense was $9.6 million and $0.2 million for the years ended December 31, 2025 and 2024, respectively. Brilliant Earth Group, Inc. had no business transactions or activities, and accordingly, no amounts related to income taxes were incurred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earnings are earned in the United States and used to compute income taxes as follows (in thousands):</w:t>
      </w:r>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20"/>
                <w:szCs w:val="20"/>
                <w:color w:val="auto"/>
              </w:rPr>
            </w:pPr>
          </w:p>
        </w:tc>
      </w:tr>
      <w:tr>
        <w:trPr>
          <w:trHeight w:val="40"/>
        </w:trPr>
        <w:tc>
          <w:tcPr>
            <w:tcW w:w="606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60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0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earnings of the Company</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3,241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4,154</w:t>
            </w:r>
          </w:p>
        </w:tc>
      </w:tr>
      <w:tr>
        <w:trPr>
          <w:trHeight w:val="243"/>
        </w:trPr>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(earnings) allocable to NCI (not allocable to the Company)</w:t>
            </w:r>
          </w:p>
        </w:tc>
        <w:tc>
          <w:tcPr>
            <w:tcW w:w="1440" w:type="dxa"/>
            <w:vAlign w:val="bottom"/>
          </w:tcPr>
          <w:p>
            <w:pPr>
              <w:spacing w:after="0"/>
              <w:rPr>
                <w:sz w:val="21"/>
                <w:szCs w:val="21"/>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2,765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(3,453)</w:t>
            </w:r>
          </w:p>
        </w:tc>
      </w:tr>
      <w:tr>
        <w:trPr>
          <w:trHeight w:val="40"/>
        </w:trPr>
        <w:tc>
          <w:tcPr>
            <w:tcW w:w="60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7"/>
        </w:trPr>
        <w:tc>
          <w:tcPr>
            <w:tcW w:w="6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Pre-tax earnings of Brilliant Earth Group, Inc.</w:t>
            </w:r>
          </w:p>
        </w:tc>
        <w:tc>
          <w:tcPr>
            <w:tcW w:w="1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6,006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r>
      <w:tr>
        <w:trPr>
          <w:trHeight w:val="243"/>
        </w:trPr>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expense of Brilliant Earth Group, Inc.</w:t>
            </w:r>
          </w:p>
        </w:tc>
        <w:tc>
          <w:tcPr>
            <w:tcW w:w="1440" w:type="dxa"/>
            <w:vAlign w:val="bottom"/>
          </w:tcPr>
          <w:p>
            <w:pPr>
              <w:spacing w:after="0"/>
              <w:rPr>
                <w:sz w:val="21"/>
                <w:szCs w:val="21"/>
                <w:color w:val="auto"/>
              </w:rPr>
            </w:pPr>
          </w:p>
        </w:tc>
        <w:tc>
          <w:tcPr>
            <w:tcW w:w="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(9,641)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40"/>
        </w:trPr>
        <w:tc>
          <w:tcPr>
            <w:tcW w:w="60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95"/>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tax (loss) earnings of Brilliant Earth Group, Inc.</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(3,635)</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benefit (expense) from income taxes are as follows (in thousands):</w:t>
            </w: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27"/>
        </w:trPr>
        <w:tc>
          <w:tcPr>
            <w:tcW w:w="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spacing w:after="0"/>
              <w:rPr>
                <w:sz w:val="24"/>
                <w:szCs w:val="24"/>
                <w:color w:val="auto"/>
              </w:rPr>
            </w:pPr>
          </w:p>
        </w:tc>
      </w:tr>
      <w:tr>
        <w:trPr>
          <w:trHeight w:val="40"/>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37"/>
        </w:trPr>
        <w:tc>
          <w:tcPr>
            <w:tcW w:w="6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1"/>
        </w:trPr>
        <w:tc>
          <w:tcPr>
            <w:tcW w:w="660" w:type="dxa"/>
            <w:vAlign w:val="bottom"/>
          </w:tcPr>
          <w:p>
            <w:pPr>
              <w:spacing w:after="0"/>
              <w:rPr>
                <w:sz w:val="3"/>
                <w:szCs w:val="3"/>
                <w:color w:val="auto"/>
              </w:rPr>
            </w:pPr>
          </w:p>
        </w:tc>
        <w:tc>
          <w:tcPr>
            <w:tcW w:w="60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6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 benefit (expense)</w:t>
            </w:r>
          </w:p>
        </w:tc>
        <w:tc>
          <w:tcPr>
            <w:tcW w:w="1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83"/>
        </w:trPr>
        <w:tc>
          <w:tcPr>
            <w:tcW w:w="66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4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37"/>
        </w:trPr>
        <w:tc>
          <w:tcPr>
            <w:tcW w:w="66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1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40"/>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0"/>
        </w:trPr>
        <w:tc>
          <w:tcPr>
            <w:tcW w:w="660" w:type="dxa"/>
            <w:vAlign w:val="bottom"/>
          </w:tcPr>
          <w:p>
            <w:pPr>
              <w:spacing w:after="0"/>
              <w:rPr>
                <w:sz w:val="23"/>
                <w:szCs w:val="23"/>
                <w:color w:val="auto"/>
              </w:rPr>
            </w:pPr>
          </w:p>
        </w:tc>
        <w:tc>
          <w:tcPr>
            <w:tcW w:w="60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3"/>
        </w:trPr>
        <w:tc>
          <w:tcPr>
            <w:tcW w:w="660" w:type="dxa"/>
            <w:vAlign w:val="bottom"/>
          </w:tcPr>
          <w:p>
            <w:pPr>
              <w:spacing w:after="0"/>
              <w:rPr>
                <w:sz w:val="21"/>
                <w:szCs w:val="21"/>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1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1"/>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6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43"/>
        </w:trPr>
        <w:tc>
          <w:tcPr>
            <w:tcW w:w="660" w:type="dxa"/>
            <w:vAlign w:val="bottom"/>
          </w:tcPr>
          <w:p>
            <w:pPr>
              <w:spacing w:after="0"/>
              <w:rPr>
                <w:sz w:val="21"/>
                <w:szCs w:val="21"/>
                <w:color w:val="auto"/>
              </w:rPr>
            </w:pPr>
          </w:p>
        </w:tc>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40"/>
        </w:trPr>
        <w:tc>
          <w:tcPr>
            <w:tcW w:w="660" w:type="dxa"/>
            <w:vAlign w:val="bottom"/>
          </w:tcPr>
          <w:p>
            <w:pPr>
              <w:spacing w:after="0"/>
              <w:rPr>
                <w:sz w:val="3"/>
                <w:szCs w:val="3"/>
                <w:color w:val="auto"/>
              </w:rPr>
            </w:pPr>
          </w:p>
        </w:tc>
        <w:tc>
          <w:tcPr>
            <w:tcW w:w="60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70"/>
        </w:trPr>
        <w:tc>
          <w:tcPr>
            <w:tcW w:w="660" w:type="dxa"/>
            <w:vAlign w:val="bottom"/>
          </w:tcPr>
          <w:p>
            <w:pPr>
              <w:spacing w:after="0"/>
              <w:rPr>
                <w:sz w:val="23"/>
                <w:szCs w:val="23"/>
                <w:color w:val="auto"/>
              </w:rPr>
            </w:pPr>
          </w:p>
        </w:tc>
        <w:tc>
          <w:tcPr>
            <w:tcW w:w="608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96"/>
        </w:trPr>
        <w:tc>
          <w:tcPr>
            <w:tcW w:w="66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(9,641)</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0"/>
        </w:trPr>
        <w:tc>
          <w:tcPr>
            <w:tcW w:w="66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The Company adopted new income tax disclosure guidance for the year ended December 31, 2025, which required disaggregated information about the effective tax rate reconciliation. The Company has elected to apply the amendments retrospectively to the prior year presented in the financial statements. Accordingly, certain prior-year amounts in the rate reconciliation have been reclassified to conform to the current year's presentation. The reconciliation of the expected federal statutory rate of 21.0% to the effective rate is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4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3"/>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Pr>
          <w:p>
            <w:pPr>
              <w:spacing w:after="0"/>
              <w:rPr>
                <w:sz w:val="20"/>
                <w:szCs w:val="20"/>
                <w:color w:val="auto"/>
              </w:rPr>
            </w:pPr>
          </w:p>
        </w:tc>
      </w:tr>
      <w:tr>
        <w:trPr>
          <w:trHeight w:val="40"/>
        </w:trPr>
        <w:tc>
          <w:tcPr>
            <w:tcW w:w="4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6"/>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Tax effect</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Tax effect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40"/>
        </w:trPr>
        <w:tc>
          <w:tcPr>
            <w:tcW w:w="4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1"/>
        </w:trPr>
        <w:tc>
          <w:tcPr>
            <w:tcW w:w="4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Brilliant Earth Group, Inc. expected tax expense at</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statutory rate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21.0%</w:t>
            </w:r>
          </w:p>
        </w:tc>
        <w:tc>
          <w:tcPr>
            <w:tcW w:w="1840" w:type="dxa"/>
            <w:vAlign w:val="bottom"/>
            <w:tcBorders>
              <w:bottom w:val="single" w:sz="8" w:color="CCEEFF"/>
            </w:tcBorders>
            <w:gridSpan w:val="3"/>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21.0%</w:t>
            </w:r>
          </w:p>
        </w:tc>
      </w:tr>
      <w:tr>
        <w:trPr>
          <w:trHeight w:val="22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&amp; local income taxes, net of federal income tax</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51.7%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6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151.6%</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40"/>
        </w:trPr>
        <w:tc>
          <w:tcPr>
            <w:tcW w:w="4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TRA liability adjustment</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(50.6)%</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40"/>
        </w:trPr>
        <w:tc>
          <w:tcPr>
            <w:tcW w:w="4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17.9%</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(17.5)%</w:t>
            </w:r>
          </w:p>
        </w:tc>
      </w:tr>
      <w:tr>
        <w:trPr>
          <w:trHeight w:val="243"/>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Outside basis differences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106.2%</w:t>
            </w:r>
          </w:p>
        </w:tc>
        <w:tc>
          <w:tcPr>
            <w:tcW w:w="18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40"/>
        </w:trPr>
        <w:tc>
          <w:tcPr>
            <w:tcW w:w="4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7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expense and rate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(9,641)</w:t>
            </w:r>
          </w:p>
        </w:tc>
        <w:tc>
          <w:tcPr>
            <w:tcW w:w="100" w:type="dxa"/>
            <w:vAlign w:val="bottom"/>
            <w:tcBorders>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297.5%</w:t>
            </w:r>
          </w:p>
        </w:tc>
        <w:tc>
          <w:tcPr>
            <w:tcW w:w="50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7"/>
        </w:trPr>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states that contribute to the majority (greater than 50%) of the tax effect in this category include California, Illinois, Massachusetts, and New York.</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100" w:type="dxa"/>
            <w:vAlign w:val="bottom"/>
          </w:tcPr>
          <w:p>
            <w:pPr>
              <w:spacing w:after="0"/>
              <w:rPr>
                <w:sz w:val="20"/>
                <w:szCs w:val="20"/>
                <w:color w:val="auto"/>
              </w:rPr>
            </w:pPr>
          </w:p>
        </w:tc>
      </w:tr>
      <w:tr>
        <w:trPr>
          <w:trHeight w:val="41"/>
        </w:trPr>
        <w:tc>
          <w:tcPr>
            <w:tcW w:w="502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37"/>
        </w:trPr>
        <w:tc>
          <w:tcPr>
            <w:tcW w:w="5020" w:type="dxa"/>
            <w:vAlign w:val="bottom"/>
          </w:tcPr>
          <w:p>
            <w:pPr>
              <w:spacing w:after="0"/>
              <w:rPr>
                <w:sz w:val="20"/>
                <w:szCs w:val="20"/>
                <w:color w:val="auto"/>
              </w:rPr>
            </w:pPr>
          </w:p>
        </w:tc>
        <w:tc>
          <w:tcPr>
            <w:tcW w:w="2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502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Outside basis difference in investment</w:t>
            </w:r>
          </w:p>
        </w:tc>
        <w:tc>
          <w:tcPr>
            <w:tcW w:w="220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8,386</w:t>
            </w:r>
          </w:p>
        </w:tc>
      </w:tr>
      <w:tr>
        <w:trPr>
          <w:trHeight w:val="40"/>
        </w:trPr>
        <w:tc>
          <w:tcPr>
            <w:tcW w:w="5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84"/>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5,890</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9,636</w:t>
            </w:r>
          </w:p>
        </w:tc>
      </w:tr>
      <w:tr>
        <w:trPr>
          <w:trHeight w:val="40"/>
        </w:trPr>
        <w:tc>
          <w:tcPr>
            <w:tcW w:w="5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83"/>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2200" w:type="dxa"/>
            <w:vAlign w:val="bottom"/>
            <w:tcBorders>
              <w:top w:val="single" w:sz="8" w:color="auto"/>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9,636</w:t>
            </w:r>
          </w:p>
        </w:tc>
      </w:tr>
      <w:tr>
        <w:trPr>
          <w:trHeight w:val="27"/>
        </w:trPr>
        <w:tc>
          <w:tcPr>
            <w:tcW w:w="50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assets to the extent it believes, based on available evidence, that it is more likely than not that they will be realized. In making such a determination, the Company considers all available positive and negative evidence, including future reversals of existing taxable temporary differences, projected future taxable income, tax planning strategies, and recent results of operations. For the year ended December 31, 2025, the Company entered into a three-year cumulative loss position and determined that it would not be able to generate sufficient taxable income to utilize its deferred tax assets. Based on this negative evidence, the Company concluded it was more likely than not that its deferred tax assets would not be realized, and accordingly, recorded a full valuation allowance. For the year ended December 31, 2024, the Company evaluated the likelihood it would realize its deferred tax assets and determined the probability to be more likely than not, and accordingly, no valuation allowance was recognized.</w:t>
      </w:r>
    </w:p>
    <w:p>
      <w:pPr>
        <w:spacing w:after="0" w:line="20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As of December 31, 2025, the Company has total federal net operating loss carryforwards (“NOLs”) of $6.9 million that have no expiration date. The Company also has total state NOLs of $6.9 million that begin to expire in 2036. Management believes on a more likely than not basis that the Company will not be able to realize the tax benefit of its NOLs carryforwards.</w:t>
      </w:r>
    </w:p>
    <w:p>
      <w:pPr>
        <w:spacing w:after="0" w:line="2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7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The Company follows the provisions of GAAP relating to uncertainty in income taxes as it prescribes a comprehensive model for the recognition, measurement, presentation and disclosure in financial statements of uncertain tax positions that have been taken or expected to be taken on a tax return. No liability related to uncertain tax positions is recorded in the consolidated financial statements.</w:t>
      </w:r>
    </w:p>
    <w:p>
      <w:pPr>
        <w:spacing w:after="0" w:line="20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As of December 31, 2025, the Company had not incurred or recorded any penalties or interest related to income taxes in the consolidated statements of operations. Additionally, the Company did not record any uncertain tax positions on the consolidated balance sheets as management concluded that no such positions existed as of December 31, 2025.</w:t>
      </w:r>
    </w:p>
    <w:p>
      <w:pPr>
        <w:spacing w:after="0" w:line="20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Company is subject to examination for the years ended December 31, 2025, 2024, 2023, and 2022. The Company is not currently subject to income tax audits in any U.S. or state jurisdictions for any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 likely than not that the tax benefit will be realized.</w:t>
      </w:r>
    </w:p>
    <w:p>
      <w:pPr>
        <w:spacing w:after="0" w:line="21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In addition, as part of the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The effect of subsequent changes in enacted tax rates will be included in net income. In connection with the Company concluding it was more likely than not that its deferred tax assets would not be realized and a full valuation allowance for its deferred tax assets was required, it was also determined a TRA liability was not probable at the current time. As a result, the Company reduced the TRA liability to zero and recognized a gain on TRA liability adjustment of $7.8 million in the Company's consolidated statement of operations for the year ended December 31,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27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In July, 2025, the “One Big Beautiful Bill Act” (the “Act”) was enacted into law. Among other provisions, the Act includes permanently extending and modifying certain expiring provisions of the 2017 Tax Cuts and Jobs Act and immediate expensing of domestic research and development expenses. The impacts of these provisions did not have a material impact on our consolidated financial statements or annual effective tax rate for 2025. However, we will continue to evaluate the effects of the Act on our consolidated financial statements and annual effective tax rate in the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56"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Company operates in one operating and reporting segment, which is the retail sale of diamonds, gemstones and jewelry. See Note 2, Summary of Significant Accounting Policies, for disclosure of total net sales by geography. The Company’s chief operating decision maker (“CODM”), the Chief Executive Officer (“CEO”), has chosen to review financial information presented on a consolidated basis for purposes of making operating decisions and assessing financial performance. The CODM utilizes net income to assess financial performance and allocate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is provided with and uses the consolidated balance sheet information as is presented in the audited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is provided with and uses the consolidated expenses as noted on the face of the income statement.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In addition, the Company is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2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The Company intends to vigorously defend the alleged individual and representative claims, and, at this time, any liability is not expected to be material to the Company's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Non-Income Related Taxes</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will enter into agreements with suppliers or service providers that exceed 12 months. As of December 31, 2025, unconditional future minimum payments under agreements to purchase services primarily related to information technology and software, as well as marketing and advertising spending. The aggregate value of purchases from these suppliers or service providers totaled $5.0 million and $4.2 million for the years ended December 31, 2025 and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in the table below represent the Company's unconditional future minimum commitments with a remaining term in excess of 12 months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19760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97600" cy="18034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jc w:val="right"/>
              <w:ind w:right="605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40"/>
        </w:trPr>
        <w:tc>
          <w:tcPr>
            <w:tcW w:w="67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jc w:val="right"/>
              <w:ind w:right="605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70"/>
        </w:trPr>
        <w:tc>
          <w:tcPr>
            <w:tcW w:w="6740" w:type="dxa"/>
            <w:vAlign w:val="bottom"/>
          </w:tcPr>
          <w:p>
            <w:pPr>
              <w:jc w:val="right"/>
              <w:ind w:right="5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2,945</w:t>
            </w:r>
          </w:p>
        </w:tc>
      </w:tr>
      <w:tr>
        <w:trPr>
          <w:trHeight w:val="27"/>
        </w:trPr>
        <w:tc>
          <w:tcPr>
            <w:tcW w:w="67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7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may enter into commitments to expand various locations, which generally include design, store construction and improvements. As of December 31, 2025, these commitments totaled $0.8 million, related to new showroom construction and improvements to existing locations.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7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maintains a qualified defined contribution plan under Section 401(k) of the Internal Revenue Code, which provides for voluntary contributions from the Company and its employees and certain other service providers. Contributions from the Company were $2.0 million and $1.7 million, for the years ended December 31,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Exchange Act) as of the end of the period covered by this Annual Report on Form 10-K. The Company’s disclosure controls and procedures are designed to provide reasonable assurance that information required to be disclosed by the Company in the reports that it files or submits under the Exchange Act is recorded, processed, summarized, and reported within the time periods specified in the SEC’s rules and forms. Based on this evaluation, our principal executive officer and principal financial officer concluded that, as of December 31, 2025, our disclosure controls and procedures were effective.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7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GAAP.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internal control over financial reporting as of December 31, 2025, based on the criteria described in the Internal Control-Integrated Framework (2013) issued by the Committee of Sponsoring Organizations of the Treadway Commission. Based on the results of its evaluation, management concluded that our internal control over financial reporting was effective as of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w:t>
      </w:r>
    </w:p>
    <w:p>
      <w:pPr>
        <w:spacing w:after="0" w:line="25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As previously disclosed in Part II, Item 9A of our 2024 Form 10-K, we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automated and IT-dependent controls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journal entries. We believe that these control deficiencies were due to gaps in the sufficiency of IT resources and risk-assessment processes to identify and assess access in certain IT environments that could impact internal controls over financial reporting. A material weakness is a deficiency, or a combination of deficiencies in internal control over financial reporting.</w:t>
      </w:r>
    </w:p>
    <w:p>
      <w:pPr>
        <w:spacing w:after="0" w:line="209"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response to this material weakness, the Company has taken actions to remediate change management and access related control failures. As part of our remediation plan the Company: (i) hired a director of ITGC position to expand the management and governance over ITGCs, (ii) developed and implemented additional company-wide training addressing internal controls, (iii) enhanced processes around reviewing privileged access to key financial systems and ensuring appropriate segregation of duties, (iv) strengthened change management procedures, (v) enhanced access management procedures and ownership; and (vi) established monitoring detective controls and metrics to track adherence to access and change management policies and identify potential exceptions requiring investigation.</w:t>
      </w:r>
    </w:p>
    <w:p>
      <w:pPr>
        <w:spacing w:after="0" w:line="2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Based upon the above, we believe the steps taken have improved the effectiveness of our internal control over financial reporting and we have determined that these new or redesigned controls are operating effectively. Management has tested the new and redesigned controls and concluded that these controls have been operating effectively for a sufficient period of time to support our determination that the material weakness has been remediated as of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on Internal Control Over Financial Reporting</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internal controls from our independent registered public accounting firm due to our status as an emerging growth company under the JOBS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320"/>
        <w:spacing w:after="0" w:line="274" w:lineRule="auto"/>
        <w:rPr>
          <w:sz w:val="20"/>
          <w:szCs w:val="20"/>
          <w:color w:val="auto"/>
        </w:rPr>
      </w:pPr>
      <w:r>
        <w:rPr>
          <w:rFonts w:ascii="Times New Roman" w:cs="Times New Roman" w:eastAsia="Times New Roman" w:hAnsi="Times New Roman"/>
          <w:sz w:val="18"/>
          <w:szCs w:val="18"/>
          <w:color w:val="auto"/>
        </w:rPr>
        <w:t>Other than the actions to remediate the material weakness in our internal control over financial reporting as described above, there have been no other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w:t>
      </w:r>
    </w:p>
    <w:p>
      <w:pPr>
        <w:spacing w:after="0" w:line="23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242424"/>
        </w:rPr>
        <w:t>On March 10, 2026, the Company approved a revised form of indemnification and advancement agreement (the “Indemnification Agreement”) governed by Nevada law, which the Company plans to enter into with its directors, officers and certain of its employees. The Indemnification Agreement supersedes the Company’s prior form of indemnification agreement. The full text of the form of Indemnification Agreement is attached hereto as Exhibit 10.16 to this Annual Report on Form 10-K.</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During the three months ended December 31, 2025, the following directors and “officers” (as defined in Rule 16a-1(f) under the Exchange Act) of the Company adopted, modified or terminated “Rule 10b5-1 trading arrangements” and/or “non-Rule 10b5-1 trading arrangements” (each as defined in Item 408 of Regulation 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24, 2025, Mainsail Partners III, L.P., Mainsail Co-Investors III, L.P. and Mainsail Incentive Program, LLC (together, the “Mainsail Entities”) adopted a Rule 10b5-1 trading arrangement (the “Mainsail Sales Plan”) that is intended to satisfy the affirmative defense of Rule 10b5-1(c) of the Exchange Act. Gavin Turner, a member of the Company’s Board of Directors, is the Managing Partner of Mainsail Management Company, LLC (“Mainsail Partners”) and may be deemed to have a pecuniary interest in the Class A common stock owned by the Mainsail Entities. The Mainsail Sales Plan provides for the sale of up to an aggregate of 1,000,000 shares of Class A common stock. The Mainsail Sales Plan will remain in effect until the earliest of (1) July 31, 2026, (2) the date on which an aggregate of 1,000,000 shares of Class A common stock have been sold under the Mainsail Sales Plan, or (3) such time as the Mainsail Sales Plan is otherwise terminated or expires according to its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www.brilliantearth.com in the “Investor Relations” section under “Governance – Governance Overview.” In addition, we intend to post on our website all disclosures that are required by law or listing rules of the Nasdaq Global Market concerning any amendments to, or waivers from, any provision of our Code of Business Conduct and Ethics. The information contained on our website is not incorporated by reference into this Annual Report on Form 10-K.</w:t>
      </w:r>
    </w:p>
    <w:p>
      <w:pPr>
        <w:spacing w:after="0" w:line="183"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under the captions “Election of Directors,” “Executive Officers,” and Corporate Governance” in our Proxy Statement for our 2026 Annual Meeting of Stockholders to be filed with the SEC within 120 days of the fiscal year ended December 31, 2025 (the “2026 Proxy Statement”) and is incorporated herein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“Board Compensation,” “Executive Compensation” and “Other Matters— Compensation Committee Interlocks and Insider Participation” in the 2026 Proxy Statement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97"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“Security Ownership of Certain Beneficial Owners and Management” and “Security Authorized For Issuance Under Equity Compensation Plans” in the 2026 Proxy Statement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“Certain Relationships and Related Person Transactions” and “Corporate Governance” in the 2026 Proxy Statement and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 “Independent Registered Public Accounting Firm Fees and Other Matters”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listed in Part II, Item 8 “Financial Statements and Supplementary Data”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52"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00" w:lineRule="exact"/>
        <w:rPr>
          <w:sz w:val="20"/>
          <w:szCs w:val="20"/>
          <w:color w:val="auto"/>
        </w:rPr>
      </w:pPr>
    </w:p>
    <w:p>
      <w:pPr>
        <w:spacing w:after="0" w:line="2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32385</wp:posOffset>
            </wp:positionV>
            <wp:extent cx="27946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40" w:type="dxa"/>
            <w:vAlign w:val="bottom"/>
            <w:gridSpan w:val="11"/>
          </w:tcPr>
          <w:p>
            <w:pPr>
              <w:ind w:left="60"/>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23"/>
        </w:trPr>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160" w:type="dxa"/>
            <w:vAlign w:val="bottom"/>
            <w:gridSpan w:val="6"/>
            <w:vMerge w:val="restart"/>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Articles of Incorporation of Brilliant Earth Group, Inc.</w:t>
              </w:r>
            </w:hyperlink>
          </w:p>
        </w:tc>
        <w:tc>
          <w:tcPr>
            <w:tcW w:w="760" w:type="dxa"/>
            <w:vAlign w:val="bottom"/>
            <w:gridSpan w:val="7"/>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3"/>
                <w:szCs w:val="13"/>
                <w:color w:val="auto"/>
              </w:rPr>
            </w:pPr>
          </w:p>
        </w:tc>
        <w:tc>
          <w:tcPr>
            <w:tcW w:w="3160" w:type="dxa"/>
            <w:vAlign w:val="bottom"/>
            <w:tcBorders>
              <w:bottom w:val="single" w:sz="8" w:color="0000FF"/>
            </w:tcBorders>
            <w:gridSpan w:val="6"/>
            <w:vMerge w:val="continue"/>
          </w:tcPr>
          <w:p>
            <w:pPr>
              <w:spacing w:after="0"/>
              <w:rPr>
                <w:sz w:val="13"/>
                <w:szCs w:val="13"/>
                <w:color w:val="auto"/>
              </w:rPr>
            </w:pPr>
          </w:p>
        </w:tc>
        <w:tc>
          <w:tcPr>
            <w:tcW w:w="7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9"/>
                <w:szCs w:val="19"/>
                <w:color w:val="auto"/>
              </w:rPr>
            </w:pPr>
          </w:p>
        </w:tc>
        <w:tc>
          <w:tcPr>
            <w:tcW w:w="21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Bylaws of Brilliant Earth Group, Inc.</w:t>
              </w:r>
            </w:hyperlink>
          </w:p>
        </w:tc>
        <w:tc>
          <w:tcPr>
            <w:tcW w:w="17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7"/>
                <w:szCs w:val="17"/>
                <w:color w:val="auto"/>
              </w:rPr>
            </w:pPr>
          </w:p>
        </w:tc>
        <w:tc>
          <w:tcPr>
            <w:tcW w:w="378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Amended and Restated Limited Liability Company Agreement of</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13"/>
          </w:tcPr>
          <w:p>
            <w:pPr>
              <w:spacing w:after="0" w:line="155"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Brilliant Earth, LLC, dated as of September 22, 2021</w:t>
              </w:r>
              <w:r>
                <w:rPr>
                  <w:rFonts w:ascii="Times New Roman" w:cs="Times New Roman" w:eastAsia="Times New Roman" w:hAnsi="Times New Roman"/>
                  <w:sz w:val="14"/>
                  <w:szCs w:val="14"/>
                  <w:color w:val="000000"/>
                </w:rPr>
                <w:t>.</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8"/>
                <w:szCs w:val="18"/>
                <w:color w:val="auto"/>
              </w:rPr>
            </w:pPr>
          </w:p>
        </w:tc>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First Amendment to Amended and Restated Limited Liability</w:t>
            </w:r>
          </w:p>
        </w:tc>
        <w:tc>
          <w:tcPr>
            <w:tcW w:w="3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Company Agreement of Brilliant Earth, LLC, dated as of December</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22, 2025</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7"/>
                <w:szCs w:val="17"/>
                <w:color w:val="auto"/>
              </w:rPr>
            </w:pPr>
          </w:p>
        </w:tc>
        <w:tc>
          <w:tcPr>
            <w:tcW w:w="392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Tax Receivable Agreement, dated as of September 22, 2021, by and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13"/>
          </w:tcPr>
          <w:p>
            <w:pPr>
              <w:spacing w:after="0" w:line="155"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among Brilliant Earth Group, Inc., Brilliant Earth LLC and its</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tcBorders>
            <w:gridSpan w:val="8"/>
          </w:tcPr>
          <w:p>
            <w:pPr>
              <w:spacing w:after="0" w:line="142"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Members</w:t>
              </w:r>
              <w:r>
                <w:rPr>
                  <w:rFonts w:ascii="Times New Roman" w:cs="Times New Roman" w:eastAsia="Times New Roman" w:hAnsi="Times New Roman"/>
                  <w:sz w:val="14"/>
                  <w:szCs w:val="14"/>
                  <w:color w:val="000000"/>
                </w:rPr>
                <w:t>.</w:t>
              </w:r>
            </w:hyperlink>
          </w:p>
        </w:tc>
        <w:tc>
          <w:tcPr>
            <w:tcW w:w="1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7"/>
                <w:szCs w:val="17"/>
                <w:color w:val="auto"/>
              </w:rPr>
            </w:pPr>
          </w:p>
        </w:tc>
        <w:tc>
          <w:tcPr>
            <w:tcW w:w="3920" w:type="dxa"/>
            <w:vAlign w:val="bottom"/>
            <w:gridSpan w:val="13"/>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Registration Rights Agreement, dated September 22, 2021, by and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11"/>
          </w:tcPr>
          <w:p>
            <w:pPr>
              <w:spacing w:after="0" w:line="155"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among Brilliant Earth Group, Inc., Brilliant Earth LLC and its</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tcBorders>
            <w:gridSpan w:val="8"/>
          </w:tcPr>
          <w:p>
            <w:pPr>
              <w:spacing w:after="0" w:line="142"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Original Equity Owners</w:t>
              </w:r>
              <w:r>
                <w:rPr>
                  <w:rFonts w:ascii="Times New Roman" w:cs="Times New Roman" w:eastAsia="Times New Roman" w:hAnsi="Times New Roman"/>
                  <w:sz w:val="14"/>
                  <w:szCs w:val="14"/>
                  <w:color w:val="000000"/>
                </w:rPr>
                <w:t>.</w:t>
              </w:r>
            </w:hyperlink>
          </w:p>
        </w:tc>
        <w:tc>
          <w:tcPr>
            <w:tcW w:w="12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Stockholders Agreement, dated September 22, 2021, by and among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13"/>
          </w:tcPr>
          <w:p>
            <w:pPr>
              <w:spacing w:after="0" w:line="155"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Brilliant Earth Group, Inc., Brilliant Earth LLC and the Original</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tcBorders>
            <w:gridSpan w:val="9"/>
          </w:tcPr>
          <w:p>
            <w:pPr>
              <w:spacing w:after="0" w:line="142"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Members</w:t>
              </w:r>
              <w:r>
                <w:rPr>
                  <w:rFonts w:ascii="Times New Roman" w:cs="Times New Roman" w:eastAsia="Times New Roman" w:hAnsi="Times New Roman"/>
                  <w:sz w:val="14"/>
                  <w:szCs w:val="14"/>
                  <w:color w:val="000000"/>
                </w:rPr>
                <w:t>.</w:t>
              </w:r>
            </w:hyperlink>
          </w:p>
        </w:tc>
        <w:tc>
          <w:tcPr>
            <w:tcW w:w="2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No.</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Exhibit</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Filing Date</w:t>
            </w:r>
          </w:p>
        </w:tc>
        <w:tc>
          <w:tcPr>
            <w:tcW w:w="1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Filed / Furnished Herewith</w:t>
            </w:r>
          </w:p>
        </w:tc>
      </w:tr>
      <w:tr>
        <w:trPr>
          <w:trHeight w:val="23"/>
        </w:trPr>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001-40836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12/22/2025</w:t>
            </w:r>
          </w:p>
        </w:tc>
        <w:tc>
          <w:tcPr>
            <w:tcW w:w="1820" w:type="dxa"/>
            <w:vAlign w:val="bottom"/>
          </w:tcPr>
          <w:p>
            <w:pPr>
              <w:spacing w:after="0"/>
              <w:rPr>
                <w:sz w:val="17"/>
                <w:szCs w:val="17"/>
                <w:color w:val="auto"/>
              </w:rPr>
            </w:pPr>
          </w:p>
        </w:tc>
      </w:tr>
      <w:tr>
        <w:trPr>
          <w:trHeight w:val="230"/>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001-40836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12/22/2025</w:t>
            </w:r>
          </w:p>
        </w:tc>
        <w:tc>
          <w:tcPr>
            <w:tcW w:w="1820" w:type="dxa"/>
            <w:vAlign w:val="bottom"/>
          </w:tcPr>
          <w:p>
            <w:pPr>
              <w:spacing w:after="0"/>
              <w:rPr>
                <w:sz w:val="19"/>
                <w:szCs w:val="19"/>
                <w:color w:val="auto"/>
              </w:rPr>
            </w:pPr>
          </w:p>
        </w:tc>
      </w:tr>
      <w:tr>
        <w:trPr>
          <w:trHeight w:val="229"/>
        </w:trPr>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001-40836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9/27/2021</w:t>
            </w:r>
          </w:p>
        </w:tc>
        <w:tc>
          <w:tcPr>
            <w:tcW w:w="1820" w:type="dxa"/>
            <w:vAlign w:val="bottom"/>
          </w:tcPr>
          <w:p>
            <w:pPr>
              <w:spacing w:after="0"/>
              <w:rPr>
                <w:sz w:val="19"/>
                <w:szCs w:val="19"/>
                <w:color w:val="auto"/>
              </w:rPr>
            </w:pPr>
          </w:p>
        </w:tc>
      </w:tr>
      <w:tr>
        <w:trPr>
          <w:trHeight w:val="392"/>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w:t>
            </w:r>
          </w:p>
        </w:tc>
      </w:tr>
      <w:tr>
        <w:trPr>
          <w:trHeight w:val="594"/>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001-40836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9/27/2021</w:t>
            </w:r>
          </w:p>
        </w:tc>
        <w:tc>
          <w:tcPr>
            <w:tcW w:w="1820" w:type="dxa"/>
            <w:vAlign w:val="bottom"/>
          </w:tcPr>
          <w:p>
            <w:pPr>
              <w:spacing w:after="0"/>
              <w:rPr>
                <w:sz w:val="24"/>
                <w:szCs w:val="24"/>
                <w:color w:val="auto"/>
              </w:rPr>
            </w:pPr>
          </w:p>
        </w:tc>
      </w:tr>
      <w:tr>
        <w:trPr>
          <w:trHeight w:val="554"/>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001-40836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9/27/2021</w:t>
            </w:r>
          </w:p>
        </w:tc>
        <w:tc>
          <w:tcPr>
            <w:tcW w:w="1820" w:type="dxa"/>
            <w:vAlign w:val="bottom"/>
          </w:tcPr>
          <w:p>
            <w:pPr>
              <w:spacing w:after="0"/>
              <w:rPr>
                <w:sz w:val="24"/>
                <w:szCs w:val="24"/>
                <w:color w:val="auto"/>
              </w:rPr>
            </w:pPr>
          </w:p>
        </w:tc>
      </w:tr>
      <w:tr>
        <w:trPr>
          <w:trHeight w:val="55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001-40836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9/27/2021</w:t>
            </w:r>
          </w:p>
        </w:tc>
        <w:tc>
          <w:tcPr>
            <w:tcW w:w="1820" w:type="dxa"/>
            <w:vAlign w:val="bottom"/>
          </w:tcPr>
          <w:p>
            <w:pPr>
              <w:spacing w:after="0"/>
              <w:rPr>
                <w:sz w:val="24"/>
                <w:szCs w:val="24"/>
                <w:color w:val="auto"/>
              </w:rPr>
            </w:pPr>
          </w:p>
        </w:tc>
      </w:tr>
    </w:tbl>
    <w:p>
      <w:pPr>
        <w:spacing w:after="0" w:line="361" w:lineRule="exact"/>
        <w:rPr>
          <w:sz w:val="20"/>
          <w:szCs w:val="20"/>
          <w:color w:val="auto"/>
        </w:rPr>
      </w:pPr>
    </w:p>
    <w:p>
      <w:pPr>
        <w:sectPr>
          <w:pgSz w:w="11900" w:h="16838" w:orient="portrait"/>
          <w:cols w:equalWidth="0" w:num="2">
            <w:col w:w="5060" w:space="100"/>
            <w:col w:w="6080"/>
          </w:cols>
          <w:pgMar w:left="320" w:top="135" w:right="339" w:bottom="1440" w:gutter="0" w:footer="0" w:header="0"/>
          <w:type w:val="continuous"/>
        </w:sectPr>
      </w:pPr>
    </w:p>
    <w:tbl>
      <w:tblPr>
        <w:tblLayout w:type="fixed"/>
        <w:tblInd w:w="380" w:type="dxa"/>
        <w:tblCellMar>
          <w:top w:w="0" w:type="dxa"/>
          <w:left w:w="0" w:type="dxa"/>
          <w:bottom w:w="0" w:type="dxa"/>
          <w:right w:w="0" w:type="dxa"/>
        </w:tblCellMar>
      </w:tblPr>
      <w:tr>
        <w:trPr>
          <w:trHeight w:val="161"/>
        </w:trPr>
        <w:tc>
          <w:tcPr>
            <w:tcW w:w="7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10.6#</w:t>
            </w:r>
          </w:p>
        </w:tc>
        <w:tc>
          <w:tcPr>
            <w:tcW w:w="4080" w:type="dxa"/>
            <w:vAlign w:val="bottom"/>
            <w:gridSpan w:val="9"/>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Employment Agreement dated as of May 10, 2023 by and between</w:t>
              </w:r>
            </w:hyperlink>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10.1</w:t>
            </w:r>
          </w:p>
        </w:tc>
        <w:tc>
          <w:tcPr>
            <w:tcW w:w="222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5/12/2023</w:t>
            </w:r>
          </w:p>
        </w:tc>
      </w:tr>
      <w:tr>
        <w:trPr>
          <w:trHeight w:val="169"/>
        </w:trPr>
        <w:tc>
          <w:tcPr>
            <w:tcW w:w="760" w:type="dxa"/>
            <w:vAlign w:val="bottom"/>
          </w:tcPr>
          <w:p>
            <w:pPr>
              <w:spacing w:after="0"/>
              <w:rPr>
                <w:sz w:val="14"/>
                <w:szCs w:val="14"/>
                <w:color w:val="auto"/>
              </w:rPr>
            </w:pPr>
          </w:p>
        </w:tc>
        <w:tc>
          <w:tcPr>
            <w:tcW w:w="386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Beth Gerstein and Brilliant Earth Group, Inc.</w:t>
              </w:r>
            </w:hyperlink>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10.7#</w:t>
            </w:r>
          </w:p>
        </w:tc>
        <w:tc>
          <w:tcPr>
            <w:tcW w:w="4080" w:type="dxa"/>
            <w:vAlign w:val="bottom"/>
            <w:gridSpan w:val="9"/>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Employment Agreement dated as of May 10, 2023 by and between</w:t>
              </w:r>
            </w:hyperlink>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10.2</w:t>
            </w:r>
          </w:p>
        </w:tc>
        <w:tc>
          <w:tcPr>
            <w:tcW w:w="222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5/12/2023</w:t>
            </w:r>
          </w:p>
        </w:tc>
      </w:tr>
      <w:tr>
        <w:trPr>
          <w:trHeight w:val="169"/>
        </w:trPr>
        <w:tc>
          <w:tcPr>
            <w:tcW w:w="76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Eric Grossberg and Brilliant Earth Group, Inc.</w:t>
              </w:r>
            </w:hyperlink>
          </w:p>
        </w:tc>
        <w:tc>
          <w:tcPr>
            <w:tcW w:w="1180" w:type="dxa"/>
            <w:vAlign w:val="bottom"/>
            <w:tcBorders>
              <w:top w:val="single" w:sz="8" w:color="0000FF"/>
            </w:tcBorders>
            <w:gridSpan w:val="5"/>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10"/>
        </w:trPr>
        <w:tc>
          <w:tcPr>
            <w:tcW w:w="7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10.8#</w:t>
            </w:r>
          </w:p>
        </w:tc>
        <w:tc>
          <w:tcPr>
            <w:tcW w:w="4080" w:type="dxa"/>
            <w:vAlign w:val="bottom"/>
            <w:gridSpan w:val="9"/>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Employment Agreement dated as of May 10, 2023 by and between</w:t>
              </w:r>
            </w:hyperlink>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10.3</w:t>
            </w:r>
          </w:p>
        </w:tc>
        <w:tc>
          <w:tcPr>
            <w:tcW w:w="222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5/12/2023</w:t>
            </w:r>
          </w:p>
        </w:tc>
      </w:tr>
      <w:tr>
        <w:trPr>
          <w:trHeight w:val="169"/>
        </w:trPr>
        <w:tc>
          <w:tcPr>
            <w:tcW w:w="760" w:type="dxa"/>
            <w:vAlign w:val="bottom"/>
          </w:tcPr>
          <w:p>
            <w:pPr>
              <w:spacing w:after="0"/>
              <w:rPr>
                <w:sz w:val="14"/>
                <w:szCs w:val="14"/>
                <w:color w:val="auto"/>
              </w:rPr>
            </w:pPr>
          </w:p>
        </w:tc>
        <w:tc>
          <w:tcPr>
            <w:tcW w:w="386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Jeffrey Kuo and Brilliant Earth Group, Inc.</w:t>
              </w:r>
            </w:hyperlink>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9"/>
        </w:trPr>
        <w:tc>
          <w:tcPr>
            <w:tcW w:w="7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10.9#</w:t>
            </w:r>
          </w:p>
        </w:tc>
        <w:tc>
          <w:tcPr>
            <w:tcW w:w="35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Employment Agreement dated as of August 25, 2024 by and</w:t>
              </w:r>
            </w:hyperlink>
          </w:p>
        </w:tc>
        <w:tc>
          <w:tcPr>
            <w:tcW w:w="580" w:type="dxa"/>
            <w:vAlign w:val="bottom"/>
            <w:gridSpan w:val="3"/>
          </w:tcPr>
          <w:p>
            <w:pPr>
              <w:spacing w:after="0"/>
              <w:rPr>
                <w:sz w:val="18"/>
                <w:szCs w:val="18"/>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10.1</w:t>
            </w:r>
          </w:p>
        </w:tc>
        <w:tc>
          <w:tcPr>
            <w:tcW w:w="2220" w:type="dxa"/>
            <w:vAlign w:val="bottom"/>
          </w:tcPr>
          <w:p>
            <w:pPr>
              <w:jc w:val="center"/>
              <w:ind w:right="828"/>
              <w:spacing w:after="0"/>
              <w:rPr>
                <w:sz w:val="20"/>
                <w:szCs w:val="20"/>
                <w:color w:val="auto"/>
              </w:rPr>
            </w:pPr>
            <w:r>
              <w:rPr>
                <w:rFonts w:ascii="Times New Roman" w:cs="Times New Roman" w:eastAsia="Times New Roman" w:hAnsi="Times New Roman"/>
                <w:sz w:val="14"/>
                <w:szCs w:val="14"/>
                <w:color w:val="auto"/>
              </w:rPr>
              <w:t>11/08/2024</w:t>
            </w:r>
          </w:p>
        </w:tc>
      </w:tr>
      <w:tr>
        <w:trPr>
          <w:trHeight w:val="169"/>
        </w:trPr>
        <w:tc>
          <w:tcPr>
            <w:tcW w:w="760" w:type="dxa"/>
            <w:vAlign w:val="bottom"/>
          </w:tcPr>
          <w:p>
            <w:pPr>
              <w:spacing w:after="0"/>
              <w:rPr>
                <w:sz w:val="14"/>
                <w:szCs w:val="14"/>
                <w:color w:val="auto"/>
              </w:rPr>
            </w:pPr>
          </w:p>
        </w:tc>
        <w:tc>
          <w:tcPr>
            <w:tcW w:w="4080" w:type="dxa"/>
            <w:vAlign w:val="bottom"/>
            <w:gridSpan w:val="9"/>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between Sharon Dziesietnik and Brilliant Earth Group, Inc.</w:t>
              </w:r>
            </w:hyperlink>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10"/>
        </w:trPr>
        <w:tc>
          <w:tcPr>
            <w:tcW w:w="7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w w:val="98"/>
              </w:rPr>
              <w:t>10.10#</w:t>
            </w:r>
          </w:p>
        </w:tc>
        <w:tc>
          <w:tcPr>
            <w:tcW w:w="34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Brilliant Earth Group, Inc. 2021 Incentive Award Plan.</w:t>
            </w:r>
          </w:p>
        </w:tc>
        <w:tc>
          <w:tcPr>
            <w:tcW w:w="6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60" w:type="dxa"/>
            <w:vAlign w:val="bottom"/>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w w:val="98"/>
              </w:rPr>
              <w:t>10.11#</w:t>
            </w:r>
          </w:p>
        </w:tc>
        <w:tc>
          <w:tcPr>
            <w:tcW w:w="3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Brilliant Earth Group, Inc. 2021 Employee Stock Purchase Plan.</w:t>
            </w:r>
          </w:p>
        </w:tc>
        <w:tc>
          <w:tcPr>
            <w:tcW w:w="3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3"/>
              </w:rPr>
              <w:t>10.12#</w:t>
            </w:r>
          </w:p>
        </w:tc>
        <w:tc>
          <w:tcPr>
            <w:tcW w:w="3920" w:type="dxa"/>
            <w:vAlign w:val="bottom"/>
            <w:gridSpan w:val="6"/>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Brilliant Earth, LLC Unit Restriction Agreement (Class M</w:t>
              </w:r>
            </w:hyperlink>
          </w:p>
        </w:tc>
        <w:tc>
          <w:tcPr>
            <w:tcW w:w="10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S-1/A</w:t>
            </w: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333-259164</w:t>
            </w: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10.9</w:t>
            </w:r>
          </w:p>
        </w:tc>
        <w:tc>
          <w:tcPr>
            <w:tcW w:w="220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9/14/2021</w:t>
            </w:r>
          </w:p>
        </w:tc>
      </w:tr>
      <w:tr>
        <w:trPr>
          <w:trHeight w:val="142"/>
        </w:trPr>
        <w:tc>
          <w:tcPr>
            <w:tcW w:w="760" w:type="dxa"/>
            <w:vAlign w:val="bottom"/>
          </w:tcPr>
          <w:p>
            <w:pPr>
              <w:spacing w:after="0"/>
              <w:rPr>
                <w:sz w:val="12"/>
                <w:szCs w:val="12"/>
                <w:color w:val="auto"/>
              </w:rPr>
            </w:pPr>
          </w:p>
        </w:tc>
        <w:tc>
          <w:tcPr>
            <w:tcW w:w="3880" w:type="dxa"/>
            <w:vAlign w:val="bottom"/>
            <w:tcBorders>
              <w:top w:val="single" w:sz="8" w:color="0000FF"/>
            </w:tcBorders>
            <w:gridSpan w:val="5"/>
          </w:tcPr>
          <w:p>
            <w:pPr>
              <w:spacing w:after="0" w:line="142"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Units).</w:t>
              </w:r>
            </w:hyperlink>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3"/>
              </w:rPr>
              <w:t>10.13#</w:t>
            </w:r>
          </w:p>
        </w:tc>
        <w:tc>
          <w:tcPr>
            <w:tcW w:w="3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Form of Stock Option Grant Notice and Stock Option Agreement</w:t>
            </w:r>
          </w:p>
        </w:tc>
        <w:tc>
          <w:tcPr>
            <w:tcW w:w="140" w:type="dxa"/>
            <w:vAlign w:val="bottom"/>
            <w:gridSpan w:val="3"/>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760" w:type="dxa"/>
            <w:vAlign w:val="bottom"/>
          </w:tcPr>
          <w:p>
            <w:pPr>
              <w:spacing w:after="0"/>
              <w:rPr>
                <w:sz w:val="13"/>
                <w:szCs w:val="13"/>
                <w:color w:val="auto"/>
              </w:rPr>
            </w:pPr>
          </w:p>
        </w:tc>
        <w:tc>
          <w:tcPr>
            <w:tcW w:w="392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0000FF"/>
              </w:rPr>
              <w:t>under the 2021 Incentive Award Plan.</w:t>
            </w: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3"/>
              </w:rPr>
              <w:t>10.14#</w:t>
            </w:r>
          </w:p>
        </w:tc>
        <w:tc>
          <w:tcPr>
            <w:tcW w:w="39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Form of Restricted Stock Unit Award Grant Notice and Restricted</w:t>
            </w: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6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55"/>
        </w:trPr>
        <w:tc>
          <w:tcPr>
            <w:tcW w:w="760" w:type="dxa"/>
            <w:vAlign w:val="bottom"/>
          </w:tcPr>
          <w:p>
            <w:pPr>
              <w:spacing w:after="0"/>
              <w:rPr>
                <w:sz w:val="13"/>
                <w:szCs w:val="13"/>
                <w:color w:val="auto"/>
              </w:rPr>
            </w:pPr>
          </w:p>
        </w:tc>
        <w:tc>
          <w:tcPr>
            <w:tcW w:w="3920" w:type="dxa"/>
            <w:vAlign w:val="bottom"/>
            <w:tcBorders>
              <w:bottom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4"/>
                <w:szCs w:val="14"/>
                <w:color w:val="0000FF"/>
              </w:rPr>
              <w:t>Stock Unit Award Agreement under the 2021 Incentive Award Plan.</w:t>
            </w: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0" w:type="dxa"/>
            <w:vAlign w:val="bottom"/>
          </w:tcPr>
          <w:p>
            <w:pPr>
              <w:spacing w:after="0"/>
              <w:rPr>
                <w:sz w:val="13"/>
                <w:szCs w:val="13"/>
                <w:color w:val="auto"/>
              </w:rPr>
            </w:pPr>
          </w:p>
        </w:tc>
      </w:tr>
    </w:tbl>
    <w:p>
      <w:pPr>
        <w:spacing w:after="0" w:line="58" w:lineRule="exact"/>
        <w:rPr>
          <w:sz w:val="20"/>
          <w:szCs w:val="20"/>
          <w:color w:val="auto"/>
        </w:rPr>
      </w:pPr>
    </w:p>
    <w:p>
      <w:pPr>
        <w:sectPr>
          <w:pgSz w:w="11900" w:h="16838" w:orient="portrait"/>
          <w:cols w:equalWidth="0" w:num="1">
            <w:col w:w="10460"/>
          </w:cols>
          <w:pgMar w:left="320" w:top="135" w:right="1119" w:bottom="1440" w:gutter="0" w:footer="0" w:header="0"/>
        </w:sectPr>
      </w:pPr>
    </w:p>
    <w:p>
      <w:pPr>
        <w:ind w:left="380"/>
        <w:spacing w:after="0"/>
        <w:tabs>
          <w:tab w:leader="none" w:pos="11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w:t>
      </w:r>
      <w:r>
        <w:rPr>
          <w:sz w:val="20"/>
          <w:szCs w:val="20"/>
          <w:color w:val="auto"/>
        </w:rPr>
        <w:tab/>
      </w:r>
      <w:hyperlink r:id="rId148">
        <w:r>
          <w:rPr>
            <w:rFonts w:ascii="Times New Roman" w:cs="Times New Roman" w:eastAsia="Times New Roman" w:hAnsi="Times New Roman"/>
            <w:sz w:val="14"/>
            <w:szCs w:val="14"/>
            <w:u w:val="single" w:color="auto"/>
            <w:color w:val="0000FF"/>
          </w:rPr>
          <w:t>Non-Employee Director Compensation Program.</w:t>
        </w:r>
      </w:hyperlink>
    </w:p>
    <w:p>
      <w:pPr>
        <w:spacing w:after="0" w:line="82"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4"/>
          <w:szCs w:val="14"/>
          <w:color w:val="auto"/>
        </w:rPr>
        <w:t>10.16</w:t>
      </w:r>
      <w:r>
        <w:rPr>
          <w:sz w:val="20"/>
          <w:szCs w:val="20"/>
          <w:color w:val="auto"/>
        </w:rPr>
        <w:tab/>
      </w:r>
      <w:r>
        <w:rPr>
          <w:rFonts w:ascii="Times New Roman" w:cs="Times New Roman" w:eastAsia="Times New Roman" w:hAnsi="Times New Roman"/>
          <w:sz w:val="14"/>
          <w:szCs w:val="14"/>
          <w:u w:val="single" w:color="auto"/>
          <w:color w:val="0000FF"/>
        </w:rPr>
        <w:t>Form of Indemnification Agreement.</w:t>
      </w:r>
    </w:p>
    <w:p>
      <w:pPr>
        <w:spacing w:after="0" w:line="69" w:lineRule="exact"/>
        <w:rPr>
          <w:sz w:val="20"/>
          <w:szCs w:val="20"/>
          <w:color w:val="auto"/>
        </w:rPr>
      </w:pPr>
    </w:p>
    <w:p>
      <w:pPr>
        <w:jc w:val="both"/>
        <w:ind w:left="1140" w:hanging="739"/>
        <w:spacing w:after="0" w:line="292" w:lineRule="auto"/>
        <w:tabs>
          <w:tab w:leader="none" w:pos="11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149">
        <w:r>
          <w:rPr>
            <w:rFonts w:ascii="Times New Roman" w:cs="Times New Roman" w:eastAsia="Times New Roman" w:hAnsi="Times New Roman"/>
            <w:sz w:val="14"/>
            <w:szCs w:val="14"/>
            <w:u w:val="single" w:color="auto"/>
            <w:color w:val="0000FF"/>
          </w:rPr>
          <w:t>Amendment No. 1 dated as of March 12, 2025 to the Tax Receivable</w:t>
        </w:r>
      </w:hyperlink>
      <w:r>
        <w:rPr>
          <w:rFonts w:ascii="Times New Roman" w:cs="Times New Roman" w:eastAsia="Times New Roman" w:hAnsi="Times New Roman"/>
          <w:sz w:val="14"/>
          <w:szCs w:val="14"/>
          <w:u w:val="single" w:color="auto"/>
          <w:color w:val="0000FF"/>
        </w:rPr>
        <w:t xml:space="preserve"> </w:t>
      </w:r>
      <w:hyperlink r:id="rId149">
        <w:r>
          <w:rPr>
            <w:rFonts w:ascii="Times New Roman" w:cs="Times New Roman" w:eastAsia="Times New Roman" w:hAnsi="Times New Roman"/>
            <w:sz w:val="14"/>
            <w:szCs w:val="14"/>
            <w:u w:val="single" w:color="auto"/>
            <w:color w:val="0000FF"/>
          </w:rPr>
          <w:t>Agreement, dated as of September 22, 2021, by and among Brilliant</w:t>
        </w:r>
      </w:hyperlink>
      <w:r>
        <w:rPr>
          <w:rFonts w:ascii="Times New Roman" w:cs="Times New Roman" w:eastAsia="Times New Roman" w:hAnsi="Times New Roman"/>
          <w:sz w:val="14"/>
          <w:szCs w:val="14"/>
          <w:u w:val="single" w:color="auto"/>
          <w:color w:val="0000FF"/>
        </w:rPr>
        <w:t xml:space="preserve"> </w:t>
      </w:r>
      <w:hyperlink r:id="rId149">
        <w:r>
          <w:rPr>
            <w:rFonts w:ascii="Times New Roman" w:cs="Times New Roman" w:eastAsia="Times New Roman" w:hAnsi="Times New Roman"/>
            <w:sz w:val="14"/>
            <w:szCs w:val="14"/>
            <w:u w:val="single" w:color="auto"/>
            <w:color w:val="0000FF"/>
          </w:rPr>
          <w:t>Earth Group, Inc., Brilliant Earth LLC and its Members</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333-259164</w:t>
            </w: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10.14</w:t>
            </w:r>
          </w:p>
        </w:tc>
        <w:tc>
          <w:tcPr>
            <w:tcW w:w="220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9/14/2021</w:t>
            </w:r>
          </w:p>
        </w:tc>
      </w:tr>
      <w:tr>
        <w:trPr>
          <w:trHeight w:val="229"/>
        </w:trPr>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10.17</w:t>
            </w:r>
          </w:p>
        </w:tc>
        <w:tc>
          <w:tcPr>
            <w:tcW w:w="220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3/13/2025</w:t>
            </w:r>
          </w:p>
        </w:tc>
      </w:tr>
    </w:tbl>
    <w:p>
      <w:pPr>
        <w:spacing w:after="0" w:line="402" w:lineRule="exact"/>
        <w:rPr>
          <w:rFonts w:ascii="Times New Roman" w:cs="Times New Roman" w:eastAsia="Times New Roman" w:hAnsi="Times New Roman"/>
          <w:sz w:val="14"/>
          <w:szCs w:val="14"/>
          <w:u w:val="single" w:color="auto"/>
          <w:color w:val="0000FF"/>
        </w:rPr>
      </w:pPr>
    </w:p>
    <w:p>
      <w:pPr>
        <w:sectPr>
          <w:pgSz w:w="11900" w:h="16838" w:orient="portrait"/>
          <w:cols w:equalWidth="0" w:num="2">
            <w:col w:w="5100" w:space="340"/>
            <w:col w:w="5020"/>
          </w:cols>
          <w:pgMar w:left="320" w:top="135" w:right="1119" w:bottom="1440" w:gutter="0" w:footer="0" w:header="0"/>
          <w:type w:val="continuous"/>
        </w:sectPr>
      </w:pPr>
    </w:p>
    <w:tbl>
      <w:tblPr>
        <w:tblLayout w:type="fixed"/>
        <w:tblInd w:w="300" w:type="dxa"/>
        <w:tblCellMar>
          <w:top w:w="0" w:type="dxa"/>
          <w:left w:w="0" w:type="dxa"/>
          <w:bottom w:w="0" w:type="dxa"/>
          <w:right w:w="0" w:type="dxa"/>
        </w:tblCellMar>
      </w:tblPr>
      <w:tr>
        <w:trPr>
          <w:trHeight w:val="161"/>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19.1</w:t>
            </w:r>
          </w:p>
        </w:tc>
        <w:tc>
          <w:tcPr>
            <w:tcW w:w="4140" w:type="dxa"/>
            <w:vAlign w:val="bottom"/>
            <w:gridSpan w:val="9"/>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Brilliant Earth Group, Inc. Insider Trading Compliance Policy</w:t>
              </w:r>
            </w:hyperlink>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19.1</w:t>
            </w:r>
          </w:p>
        </w:tc>
        <w:tc>
          <w:tcPr>
            <w:tcW w:w="222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3/13/2025</w:t>
            </w:r>
          </w:p>
        </w:tc>
      </w:tr>
      <w:tr>
        <w:trPr>
          <w:trHeight w:val="209"/>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21.1</w:t>
            </w:r>
          </w:p>
        </w:tc>
        <w:tc>
          <w:tcPr>
            <w:tcW w:w="3580" w:type="dxa"/>
            <w:vAlign w:val="bottom"/>
            <w:tcBorders>
              <w:top w:val="single" w:sz="8" w:color="0000FF"/>
            </w:tcBorders>
            <w:gridSpan w:val="7"/>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Subsidiaries of Brilliant Earth Group, Inc.</w:t>
              </w:r>
            </w:hyperlink>
          </w:p>
        </w:tc>
        <w:tc>
          <w:tcPr>
            <w:tcW w:w="560" w:type="dxa"/>
            <w:vAlign w:val="bottom"/>
            <w:gridSpan w:val="2"/>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21.1</w:t>
            </w:r>
          </w:p>
        </w:tc>
        <w:tc>
          <w:tcPr>
            <w:tcW w:w="222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3/22/2022</w:t>
            </w: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9"/>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23.1</w:t>
            </w:r>
          </w:p>
        </w:tc>
        <w:tc>
          <w:tcPr>
            <w:tcW w:w="3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6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31.1</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84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4"/>
                <w:szCs w:val="14"/>
                <w:color w:val="0000FF"/>
              </w:rPr>
              <w:t>14(a)/15d-14(a).</w:t>
            </w:r>
          </w:p>
        </w:tc>
        <w:tc>
          <w:tcPr>
            <w:tcW w:w="2600" w:type="dxa"/>
            <w:vAlign w:val="bottom"/>
            <w:tcBorders>
              <w:top w:val="single" w:sz="8" w:color="0000FF"/>
            </w:tcBorders>
            <w:gridSpan w:val="4"/>
          </w:tcPr>
          <w:p>
            <w:pPr>
              <w:spacing w:after="0"/>
              <w:rPr>
                <w:sz w:val="13"/>
                <w:szCs w:val="13"/>
                <w:color w:val="auto"/>
              </w:rPr>
            </w:pPr>
          </w:p>
        </w:tc>
        <w:tc>
          <w:tcPr>
            <w:tcW w:w="5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23"/>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31.2</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84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rPr>
              <w:t>14(a)/15d-14(a).</w:t>
            </w:r>
          </w:p>
        </w:tc>
        <w:tc>
          <w:tcPr>
            <w:tcW w:w="2580" w:type="dxa"/>
            <w:vAlign w:val="bottom"/>
            <w:tcBorders>
              <w:top w:val="single" w:sz="8" w:color="0000FF"/>
            </w:tcBorders>
            <w:gridSpan w:val="4"/>
          </w:tcPr>
          <w:p>
            <w:pPr>
              <w:spacing w:after="0"/>
              <w:rPr>
                <w:sz w:val="13"/>
                <w:szCs w:val="13"/>
                <w:color w:val="auto"/>
              </w:rPr>
            </w:pPr>
          </w:p>
        </w:tc>
        <w:tc>
          <w:tcPr>
            <w:tcW w:w="6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23"/>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32.1</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08"/>
              <w:spacing w:after="0"/>
              <w:rPr>
                <w:sz w:val="20"/>
                <w:szCs w:val="20"/>
                <w:color w:val="auto"/>
              </w:rPr>
            </w:pPr>
            <w:r>
              <w:rPr>
                <w:rFonts w:ascii="Times New Roman" w:cs="Times New Roman" w:eastAsia="Times New Roman" w:hAnsi="Times New Roman"/>
                <w:sz w:val="14"/>
                <w:szCs w:val="14"/>
                <w:color w:val="auto"/>
                <w:w w:val="99"/>
              </w:rPr>
              <w:t>**</w:t>
            </w:r>
          </w:p>
        </w:tc>
      </w:tr>
      <w:tr>
        <w:trPr>
          <w:trHeight w:val="156"/>
        </w:trPr>
        <w:tc>
          <w:tcPr>
            <w:tcW w:w="84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Section 1350.</w:t>
            </w:r>
          </w:p>
        </w:tc>
        <w:tc>
          <w:tcPr>
            <w:tcW w:w="2780" w:type="dxa"/>
            <w:vAlign w:val="bottom"/>
            <w:tcBorders>
              <w:top w:val="single" w:sz="8" w:color="0000FF"/>
            </w:tcBorders>
            <w:gridSpan w:val="6"/>
          </w:tcPr>
          <w:p>
            <w:pPr>
              <w:spacing w:after="0"/>
              <w:rPr>
                <w:sz w:val="13"/>
                <w:szCs w:val="13"/>
                <w:color w:val="auto"/>
              </w:rPr>
            </w:pPr>
          </w:p>
        </w:tc>
        <w:tc>
          <w:tcPr>
            <w:tcW w:w="5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23"/>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32.2</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08"/>
              <w:spacing w:after="0"/>
              <w:rPr>
                <w:sz w:val="20"/>
                <w:szCs w:val="20"/>
                <w:color w:val="auto"/>
              </w:rPr>
            </w:pPr>
            <w:r>
              <w:rPr>
                <w:rFonts w:ascii="Times New Roman" w:cs="Times New Roman" w:eastAsia="Times New Roman" w:hAnsi="Times New Roman"/>
                <w:sz w:val="14"/>
                <w:szCs w:val="14"/>
                <w:color w:val="auto"/>
                <w:w w:val="99"/>
              </w:rPr>
              <w:t>**</w:t>
            </w:r>
          </w:p>
        </w:tc>
      </w:tr>
      <w:tr>
        <w:trPr>
          <w:trHeight w:val="156"/>
        </w:trPr>
        <w:tc>
          <w:tcPr>
            <w:tcW w:w="84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Section 1350.</w:t>
            </w:r>
          </w:p>
        </w:tc>
        <w:tc>
          <w:tcPr>
            <w:tcW w:w="2740" w:type="dxa"/>
            <w:vAlign w:val="bottom"/>
            <w:tcBorders>
              <w:top w:val="single" w:sz="8" w:color="0000FF"/>
            </w:tcBorders>
            <w:gridSpan w:val="5"/>
          </w:tcPr>
          <w:p>
            <w:pPr>
              <w:spacing w:after="0"/>
              <w:rPr>
                <w:sz w:val="13"/>
                <w:szCs w:val="13"/>
                <w:color w:val="auto"/>
              </w:rPr>
            </w:pPr>
          </w:p>
        </w:tc>
        <w:tc>
          <w:tcPr>
            <w:tcW w:w="6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23"/>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97.1#</w:t>
            </w:r>
          </w:p>
        </w:tc>
        <w:tc>
          <w:tcPr>
            <w:tcW w:w="4140" w:type="dxa"/>
            <w:vAlign w:val="bottom"/>
            <w:gridSpan w:val="9"/>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Policy Relating to Recovery of Erroneously Awarded Compensation</w:t>
              </w:r>
            </w:hyperlink>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001-40836</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97.1</w:t>
            </w:r>
          </w:p>
        </w:tc>
        <w:tc>
          <w:tcPr>
            <w:tcW w:w="222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3/28/2024</w:t>
            </w:r>
          </w:p>
        </w:tc>
      </w:tr>
      <w:tr>
        <w:trPr>
          <w:trHeight w:val="227"/>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101.INS</w:t>
            </w:r>
          </w:p>
        </w:tc>
        <w:tc>
          <w:tcPr>
            <w:tcW w:w="39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40" w:type="dxa"/>
            <w:vAlign w:val="bottom"/>
          </w:tcPr>
          <w:p>
            <w:pPr>
              <w:spacing w:after="0"/>
              <w:rPr>
                <w:sz w:val="16"/>
                <w:szCs w:val="16"/>
                <w:color w:val="auto"/>
              </w:rPr>
            </w:pP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appear in the Interactive Data File because its XBRL tags are</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840" w:type="dxa"/>
            <w:vAlign w:val="bottom"/>
          </w:tcPr>
          <w:p>
            <w:pPr>
              <w:spacing w:after="0"/>
              <w:rPr>
                <w:sz w:val="16"/>
                <w:szCs w:val="16"/>
                <w:color w:val="auto"/>
              </w:rPr>
            </w:pP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29"/>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101.SCH</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101.CAL</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101.DEF</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101.LAB</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w w:val="99"/>
              </w:rPr>
              <w:t>101.PRE</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104</w:t>
            </w: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40" w:type="dxa"/>
            <w:vAlign w:val="bottom"/>
          </w:tcPr>
          <w:p>
            <w:pPr>
              <w:spacing w:after="0"/>
              <w:rPr>
                <w:sz w:val="16"/>
                <w:szCs w:val="16"/>
                <w:color w:val="auto"/>
              </w:rPr>
            </w:pPr>
          </w:p>
        </w:tc>
        <w:tc>
          <w:tcPr>
            <w:tcW w:w="4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contained in Exhibit 101)</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2658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59" w:lineRule="exact"/>
        <w:rPr>
          <w:sz w:val="20"/>
          <w:szCs w:val="20"/>
          <w:color w:val="auto"/>
        </w:rPr>
      </w:pPr>
    </w:p>
    <w:p>
      <w:pPr>
        <w:ind w:left="1140" w:hanging="608"/>
        <w:spacing w:after="0"/>
        <w:tabs>
          <w:tab w:leader="none" w:pos="1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69" w:lineRule="exact"/>
        <w:rPr>
          <w:sz w:val="20"/>
          <w:szCs w:val="20"/>
          <w:color w:val="auto"/>
        </w:rPr>
      </w:pPr>
    </w:p>
    <w:p>
      <w:pPr>
        <w:ind w:left="1140" w:hanging="6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69" w:lineRule="exact"/>
        <w:rPr>
          <w:sz w:val="20"/>
          <w:szCs w:val="20"/>
          <w:color w:val="auto"/>
        </w:rPr>
      </w:pPr>
    </w:p>
    <w:p>
      <w:pPr>
        <w:ind w:left="1140" w:hanging="608"/>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or compensatory plan.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35" w:right="111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2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43180</wp:posOffset>
            </wp:positionV>
            <wp:extent cx="50234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70" w:lineRule="exact"/>
        <w:rPr>
          <w:sz w:val="20"/>
          <w:szCs w:val="20"/>
          <w:color w:val="auto"/>
        </w:rPr>
      </w:pPr>
    </w:p>
    <w:tbl>
      <w:tblPr>
        <w:tblLayout w:type="fixed"/>
        <w:tblInd w:w="3320" w:type="dxa"/>
        <w:tblCellMar>
          <w:top w:w="0" w:type="dxa"/>
          <w:left w:w="0" w:type="dxa"/>
          <w:bottom w:w="0" w:type="dxa"/>
          <w:right w:w="0" w:type="dxa"/>
        </w:tblCellMar>
      </w:tblPr>
      <w:tr>
        <w:trPr>
          <w:trHeight w:val="2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Beth Gerstein</w:t>
            </w:r>
          </w:p>
        </w:tc>
      </w:tr>
      <w:tr>
        <w:trPr>
          <w:trHeight w:val="28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r>
      <w:tr>
        <w:trPr>
          <w:trHeight w:val="55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Kuo</w:t>
            </w:r>
          </w:p>
        </w:tc>
        <w:tc>
          <w:tcPr>
            <w:tcW w:w="6760" w:type="dxa"/>
            <w:vAlign w:val="bottom"/>
          </w:tcPr>
          <w:p>
            <w:pPr>
              <w:spacing w:after="0"/>
              <w:rPr>
                <w:sz w:val="24"/>
                <w:szCs w:val="24"/>
                <w:color w:val="auto"/>
              </w:rPr>
            </w:pPr>
          </w:p>
        </w:tc>
      </w:tr>
      <w:tr>
        <w:trPr>
          <w:trHeight w:val="40"/>
        </w:trPr>
        <w:tc>
          <w:tcPr>
            <w:tcW w:w="116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r>
      <w:tr>
        <w:trPr>
          <w:trHeight w:val="23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Kuo</w:t>
            </w:r>
          </w:p>
        </w:tc>
      </w:tr>
      <w:tr>
        <w:trPr>
          <w:trHeight w:val="28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56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45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47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Beth Gerstein</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1"/>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Gerstein</w:t>
            </w:r>
          </w:p>
        </w:tc>
        <w:tc>
          <w:tcPr>
            <w:tcW w:w="10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Kuo</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Kuo</w:t>
            </w:r>
          </w:p>
        </w:tc>
        <w:tc>
          <w:tcPr>
            <w:tcW w:w="10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Eric Grossberg</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1"/>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Grossberg</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Ian M. Bickley</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M. Bickley</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N. Harris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1"/>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N. Harris</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Attica A. Jaques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Attica A. Jaques</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Beth J. Kaplan</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J. Kaplan</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Gavin M. Turner</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Gavin M. Turner</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20"/>
          </w:cols>
          <w:pgMar w:left="320" w:top="135" w:right="65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The following description of the capital stock of Brilliant Earth Group, Inc. (the “Company,” “we,” “us,” and “our”) and certain provisions of our articles of incorporation (our “articles”) and bylaws (our “bylaws”) are summaries and are qualified in their entirety by reference to the full text of our articles and bylaws and applicable provisions of Chapter 78 of the Nevada Revised Statutes (the “NRS”).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articles authorize capital stock consisting of:</w:t>
      </w:r>
    </w:p>
    <w:p>
      <w:pPr>
        <w:spacing w:after="0" w:line="233"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1,200,000,000 shares of Class A common stock, par value $0.0001 per share;</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150,000,000 shares of Class B common stock, par value $0.0001 per share;</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150,000,000 shares of Class C common stock, par value $0.0001 per share;</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150,000,000 shares of Class D common stock, par value $0.0001 per share; and</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10,000,000 shares of preferred stock, par value $0.0001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Class A Common Stock</w:t>
      </w:r>
    </w:p>
    <w:p>
      <w:pPr>
        <w:spacing w:after="0" w:line="226"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Holders of shares of our Class A common stock are entitled to one vote for each share held of record on all matters submitted to a vote of stockholders.</w:t>
      </w:r>
    </w:p>
    <w:p>
      <w:pPr>
        <w:spacing w:after="0" w:line="158"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auto"/>
        </w:rPr>
        <w:t>Holders of shares of our Class A common stock are entitled to receive, on a pro rata basis with shares of Class D common stock,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Upon our dissolution or liquidation, after payment in full of all amounts required to be paid to creditors and to the holders of preferred stock having liquidation preferences, if any, the holders of shares of our Class A common stock and Class D common stock will be entitled to receive pro rata our remaining assets available for distribution.</w:t>
      </w:r>
    </w:p>
    <w:p>
      <w:pPr>
        <w:spacing w:after="0" w:line="186"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Holders of shares of our Class A common stock do not have preemptive, subscription, redemption or conversion rights. There are no redemption or sinking fund provisions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to the Class A common stock. All outstanding shares of our Class A common stock are fully paid and nonassessable.</w:t>
      </w:r>
    </w:p>
    <w:p>
      <w:pPr>
        <w:spacing w:after="0" w:line="2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Holders of shares of our Class A common stock vote together with holders of our Class B common stock, Class C common stock, and Class D common stock as a single class on all matters presented to our stockholders for their vote or approval, except for certain amendments to our articles or as otherwise required by applicable law or the articles. Any amendment to the articles that gives holders of the Class B Common Stock or Class C Common Stock (i) any rights to receive dividends (subject to certain exceptions) or any other kind of distribution, (ii) any right to convert into or be exchanged for shares of Class A Common Stock, or (iii) any other economic rights shall, in addition to the vote of the holders of shares of any class or series of capital stock of the Corporation required by law, also require the affirmative vote of the holders of a majority of the outstanding shares of Class A Common Stock voting separately as a class and the affirmative vote of the holders of a majority of the outstanding shares of Class D Common Stock voting separately as a class.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Class B Common Stock</w:t>
      </w:r>
    </w:p>
    <w:p>
      <w:pPr>
        <w:spacing w:after="0" w:line="226" w:lineRule="exact"/>
        <w:rPr>
          <w:sz w:val="20"/>
          <w:szCs w:val="20"/>
          <w:color w:val="auto"/>
        </w:rPr>
      </w:pPr>
    </w:p>
    <w:p>
      <w:pPr>
        <w:ind w:right="880" w:firstLine="648"/>
        <w:spacing w:after="0" w:line="271" w:lineRule="auto"/>
        <w:rPr>
          <w:sz w:val="20"/>
          <w:szCs w:val="20"/>
          <w:color w:val="auto"/>
        </w:rPr>
      </w:pPr>
      <w:r>
        <w:rPr>
          <w:rFonts w:ascii="Times New Roman" w:cs="Times New Roman" w:eastAsia="Times New Roman" w:hAnsi="Times New Roman"/>
          <w:sz w:val="22"/>
          <w:szCs w:val="22"/>
          <w:color w:val="auto"/>
        </w:rPr>
        <w:t>Each share of our Class B common stock entitles its holders to one vote per share on all matters presented to our stockholders generally.</w:t>
      </w:r>
    </w:p>
    <w:p>
      <w:pPr>
        <w:spacing w:after="0" w:line="158"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Shares of Class B common stock may be issued only to the extent necessary to maintain a one-to-one ratio between the number of common units of Brilliant Earth, LLC (the “LLC Interests”) held by the Continuing Equity Holders (as defined below) (other than the Founders (as defined below), except in certain circumstances) and the number of shares of Class B common stock issued to the Continuing Equity Holders (other than the Founders, except in certain circumstances). Shares of Class B common stock are transferable only together with an equal number of LLC Interests. Only permitted transferees of LLC Interests held by the Continuing Equity Holders will be permitted transferees of Class B common stock. The outstanding shares of Class B common stock are convertible at the option of the holder into shares of Class A common stock on a one-for-one basis. Once converted into Class A common stock, Class B common stock will not be reissued. “Continuing Equity Holders” means collectively, the holders of LLC Interests and our Class B common stock and Class C common stock, any successor entities thereto, as set forth on Schedule A of our articles. Their respective successors and assigns as well as their respective transferees. “Founders” refers to Beth Gerstein, our Co-Founder and Chief Executive Officer, Eric Grossberg, our Co-Founder and Executive Chairman, and Just Rocks Inc., a Delaware corporation.</w:t>
      </w:r>
    </w:p>
    <w:p>
      <w:pPr>
        <w:spacing w:after="0" w:line="18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1"/>
          <w:szCs w:val="21"/>
          <w:color w:val="auto"/>
        </w:rPr>
        <w:t>Holders of shares of our Class B common stock vote together with holders of our Class A common stock, Class C common stock, and Class D common stock as a single class on all matters presented to our stockholders for their vote or approval, except for certain amendments to our articles described below or as otherwise required by applicable law or the articles.</w:t>
      </w:r>
    </w:p>
    <w:p>
      <w:pPr>
        <w:spacing w:after="0" w:line="155"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Holders of our Class B common stock do not have any right to receive dividends or to receive a distribution upon dissolution or liquidation. Additionally, holders of shares of our Class B common stock do not have preemptive, subscription or redemption rights. There are no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4" w:name="page125"/>
    <w:bookmarkEnd w:id="124"/>
    <w:p>
      <w:pPr>
        <w:ind w:right="80"/>
        <w:spacing w:after="0" w:line="250" w:lineRule="auto"/>
        <w:rPr>
          <w:sz w:val="20"/>
          <w:szCs w:val="20"/>
          <w:color w:val="auto"/>
        </w:rPr>
      </w:pPr>
      <w:r>
        <w:rPr>
          <w:rFonts w:ascii="Times New Roman" w:cs="Times New Roman" w:eastAsia="Times New Roman" w:hAnsi="Times New Roman"/>
          <w:sz w:val="22"/>
          <w:szCs w:val="22"/>
          <w:color w:val="auto"/>
        </w:rPr>
        <w:t>redemption or sinking fund provisions applicable to the Class B common stock. Upon the exchange of an LLC Interest (together with a share of Class B common stock), the shares of Class B common stock will be automatically canceled with no consideration and no longer outstanding. Any amendment of our articles that gives holders of our Class B common stock (1) any rights to receive dividends or any other kind of distribution or (2) any other economic rights will require, in addition to stockholder approval required by law, the affirmative vote of holders of a majority of the outstanding shares of our Class A common stock voting separately as a class and the affirmative vote of the holders of a majority of the outstanding shares of Class D common stock voting separately as a class.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Class C Common Stock</w:t>
      </w:r>
    </w:p>
    <w:p>
      <w:pPr>
        <w:spacing w:after="0" w:line="239" w:lineRule="exact"/>
        <w:rPr>
          <w:sz w:val="20"/>
          <w:szCs w:val="20"/>
          <w:color w:val="auto"/>
        </w:rPr>
      </w:pPr>
    </w:p>
    <w:p>
      <w:pPr>
        <w:ind w:right="840" w:firstLine="648"/>
        <w:spacing w:after="0" w:line="271" w:lineRule="auto"/>
        <w:rPr>
          <w:sz w:val="20"/>
          <w:szCs w:val="20"/>
          <w:color w:val="auto"/>
        </w:rPr>
      </w:pPr>
      <w:r>
        <w:rPr>
          <w:rFonts w:ascii="Times New Roman" w:cs="Times New Roman" w:eastAsia="Times New Roman" w:hAnsi="Times New Roman"/>
          <w:sz w:val="22"/>
          <w:szCs w:val="22"/>
          <w:color w:val="auto"/>
        </w:rPr>
        <w:t>Each share of our Class C common stock entitles its holders to ten votes per share on all matters presented to our stockholders generally.</w:t>
      </w:r>
    </w:p>
    <w:p>
      <w:pPr>
        <w:spacing w:after="0" w:line="15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1"/>
          <w:szCs w:val="21"/>
          <w:color w:val="auto"/>
        </w:rPr>
        <w:t>Shares of Class C common stock may be held by our Founders and may be issued only to the extent necessary to maintain a one-to-one ratio between the number of LLC Interests held by our Founders and the number of shares of Class C common stock issued to our Founders. Shares of Class C common stock are transferable only together with an equal number of LLC Interests.</w:t>
      </w:r>
    </w:p>
    <w:p>
      <w:pPr>
        <w:spacing w:after="0" w:line="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2"/>
          <w:szCs w:val="22"/>
          <w:color w:val="auto"/>
        </w:rPr>
        <w:t>Only permitted transferees of LLC Interests held by our Founders are permitted transferees of Class C common stock. Upon the exchange of an LLC Interest (together with a share of Class C common stock) for Class D common stock, the shares of Class C common stock will be automatically canceled with no consideration and no longer outstanding. Each share of Class C common stock will also automatically convert into one validly issued, fully paid and nonassessable share of Class B common stock upon the earlier of (1) the 10-year anniversary of the date of the closing of our initial public offering and (2) the date on which the Founders cease to hold at least 8% of the aggregate number of shares of all classes of common stock then outstanding, assuming exchange of all LLC Interests. Once converted into Class B common stock or Class D common stock, Class C common stock will not be reissued.</w:t>
      </w:r>
    </w:p>
    <w:p>
      <w:pPr>
        <w:spacing w:after="0" w:line="18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1"/>
          <w:szCs w:val="21"/>
          <w:color w:val="auto"/>
        </w:rPr>
        <w:t>Holders of shares of our Class C common stock vote together with holders of our Class A common stock, Class B common stock, and Class D common stock as a single class on all matters presented to our stockholders for their vote or approval, except for certain amendments to our articles described below or as otherwise required by applicable law or the articles.</w:t>
      </w:r>
    </w:p>
    <w:p>
      <w:pPr>
        <w:spacing w:after="0" w:line="16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Holders of shares of our Class C common stock do not have any right to receive dividends or to receive a distribution upon dissolution or liquidation. Additionally, holders of shares of our Class C common stock do not have preemptive, subscription or redemption rights. There are no redemption or sinking fund provisions applicable to the Class C common stock. Upon the exchange of an LLC Interest (together with a share of Class C common stock), the shares of Class C common stock will be automatically canceled with no consideration and no longer outstanding. Any amendment of our articles that gives holders of our Class C common stock (1) any rights to receive dividends or any other kind of distribution or (2) any other economic rights will require, in addition to stockholder approval required by law, the affirmative vote of holders of a majority of the outstanding shares of our Class A common stock voting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5" w:name="page126"/>
    <w:bookmarkEnd w:id="125"/>
    <w:p>
      <w:pPr>
        <w:ind w:right="480"/>
        <w:spacing w:after="0" w:line="271" w:lineRule="auto"/>
        <w:rPr>
          <w:sz w:val="20"/>
          <w:szCs w:val="20"/>
          <w:color w:val="auto"/>
        </w:rPr>
      </w:pPr>
      <w:r>
        <w:rPr>
          <w:rFonts w:ascii="Times New Roman" w:cs="Times New Roman" w:eastAsia="Times New Roman" w:hAnsi="Times New Roman"/>
          <w:sz w:val="22"/>
          <w:szCs w:val="22"/>
          <w:color w:val="auto"/>
        </w:rPr>
        <w:t>separately as a class and the affirmative vote of the holders of a majority of the outstanding shares of Class D common stock voting separately as a class.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Class D Common Stock</w:t>
      </w:r>
    </w:p>
    <w:p>
      <w:pPr>
        <w:spacing w:after="0" w:line="23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Each share of our Class D common stock entitles its holders to ten votes per share on all matters presented to our stockholders generally. Shares of Class D common stock may be held by our Founders upon the exchange of an LLC Interest (together with a share of Class C common stock) for Class D common stock, along with the cancellation of the Class C common stock.</w:t>
      </w:r>
    </w:p>
    <w:p>
      <w:pPr>
        <w:spacing w:after="0" w:line="17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auto"/>
        </w:rPr>
        <w:t>Holders of shares of our Class D common stock are entitled to receive, on a pro rata basis with shares of Class A common stock,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Upon our dissolution or liquidation, after payment in full of all amounts required to be paid to creditors and to the holders of preferred stock having liquidation preferences, if any, the holders of shares of our Class D common stock and Class A common stock will be entitled to receive pro rata our remaining assets available for distribution.</w:t>
      </w:r>
    </w:p>
    <w:p>
      <w:pPr>
        <w:spacing w:after="0" w:line="18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Shares of Class D common stock can only be held by our Founders or their permitted transferees. The outstanding shares of Class D common stock are convertible at the option of the holder into shares of Class A common stock on a one-for-one basis. In addition, each share of Class D common stock will convert automatically into one validly issued, fully paid and nonassessable share of Class A common stock upon any transfer, whether or not for value, except for certain affiliate transfers described in our articles among the Founders, and their respective affiliates. Each share of Class D common stock will also automatically convert into one share of Class A common stock upon the earlier of (1) the 10-year anniversary of the date of the closing of our initial public offering and (2) the date on which the Founders cease to hold at least 8% of the aggregate number of shares of all classes of common stock then outstanding, assuming exchange of all LLC Interests. Once converted into Class A common stock, Class D common stock will not be reissued.</w:t>
      </w:r>
    </w:p>
    <w:p>
      <w:pPr>
        <w:spacing w:after="0" w:line="18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22"/>
          <w:szCs w:val="22"/>
          <w:color w:val="auto"/>
        </w:rPr>
        <w:t>Holders of shares of our Class D common stock do not have preemptive, subscription or redemption rights. There are no redemption or sinking fund provisions applicable to the Class D common stock.</w:t>
      </w:r>
    </w:p>
    <w:p>
      <w:pPr>
        <w:spacing w:after="0" w:line="144"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Holders of shares of our Class D common stock vote together with holders of our Class A common stock, Class B common stock, and Class C common stock as a single class on all matters presented to our stockholders for their vote or approval, except for certain amendments to our articles or as otherwise required by applicable law or the articles. Any amendment to the articles that gives holders of the Class B common stock or Class C common stock (i) any rights to receive dividends (subject to certain exceptions) or any other kind of distribution or (ii) any other economic rights shall, in addition to the vote of the holders of shares of any class or series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26" w:name="page127"/>
    <w:bookmarkEnd w:id="126"/>
    <w:p>
      <w:pPr>
        <w:ind w:right="180"/>
        <w:spacing w:after="0" w:line="257" w:lineRule="auto"/>
        <w:rPr>
          <w:sz w:val="20"/>
          <w:szCs w:val="20"/>
          <w:color w:val="auto"/>
        </w:rPr>
      </w:pPr>
      <w:r>
        <w:rPr>
          <w:rFonts w:ascii="Times New Roman" w:cs="Times New Roman" w:eastAsia="Times New Roman" w:hAnsi="Times New Roman"/>
          <w:sz w:val="22"/>
          <w:szCs w:val="22"/>
          <w:color w:val="auto"/>
        </w:rPr>
        <w:t>of capital stock of the Company required by law, also require the affirmative vote of the holders of a majority of the outstanding shares of Class A common stock voting separately as a class and the affirmative vote of the holders of a majority of the outstanding shares of Class D common stock voting separately as a class.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Preferred Stock</w:t>
      </w:r>
    </w:p>
    <w:p>
      <w:pPr>
        <w:spacing w:after="0" w:line="226" w:lineRule="exact"/>
        <w:rPr>
          <w:sz w:val="20"/>
          <w:szCs w:val="20"/>
          <w:color w:val="auto"/>
        </w:rPr>
      </w:pPr>
    </w:p>
    <w:p>
      <w:pPr>
        <w:ind w:right="960" w:firstLine="648"/>
        <w:spacing w:after="0" w:line="271" w:lineRule="auto"/>
        <w:rPr>
          <w:sz w:val="20"/>
          <w:szCs w:val="20"/>
          <w:color w:val="auto"/>
        </w:rPr>
      </w:pPr>
      <w:r>
        <w:rPr>
          <w:rFonts w:ascii="Times New Roman" w:cs="Times New Roman" w:eastAsia="Times New Roman" w:hAnsi="Times New Roman"/>
          <w:sz w:val="22"/>
          <w:szCs w:val="22"/>
          <w:color w:val="auto"/>
        </w:rPr>
        <w:t>The total of our authorized shares of preferred stock is 10,000,000 shares. We have no shares of preferred stock outstanding.</w:t>
      </w:r>
    </w:p>
    <w:p>
      <w:pPr>
        <w:spacing w:after="0" w:line="15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Under the terms of our articles, our board of directors is authorized to direct us to issue shares of preferred stock in one or more series without stockholder approval. Our board of directors has the discretion to determine the number and designation of such series and the powers,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connection with our initial public offering, we entered into a Registration Rights Agreement with certain of the</w:t>
      </w:r>
    </w:p>
    <w:p>
      <w:pPr>
        <w:spacing w:after="0" w:line="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color w:val="auto"/>
        </w:rPr>
        <w:t>Continuing Equity Holders granting such parties specified rights to require us to register all or a portion of their shares under the Securities Act of 1933, as amended (the “Securities Act”).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Forum Selection; Jury Waiver</w:t>
      </w:r>
    </w:p>
    <w:p>
      <w:pPr>
        <w:spacing w:after="0" w:line="22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Our articles provide that, unless the Company consents in writing to the selection of an alternative forum, the Eighth Judicial District Court of the State of Nevada, Clark County, Nevada (the “Eighth Judicial District Court”), shall, to the fullest extent permitted by law, including the applicable laws or jurisdictional requirements of the United States, be the exclusive forum for any and all actions, suits and proceedings, whether civil, administrative or investigative or that asserts any claim or counterclaim (each, an “Action”), that are internal actions (as such term is defined in NRS 78.046 or any successor statute). In the event that the Eighth Judicial District Court does not have jurisdiction over any such Action, then any other state district court located in the State of Nevada shall be the exclusive forum for such Action. In the event that no state district court in the State of Nevada has jurisdiction over any such Action,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7" w:name="page128"/>
    <w:bookmarkEnd w:id="127"/>
    <w:p>
      <w:pPr>
        <w:ind w:right="80"/>
        <w:spacing w:after="0" w:line="251" w:lineRule="auto"/>
        <w:rPr>
          <w:sz w:val="20"/>
          <w:szCs w:val="20"/>
          <w:color w:val="auto"/>
        </w:rPr>
      </w:pPr>
      <w:r>
        <w:rPr>
          <w:rFonts w:ascii="Times New Roman" w:cs="Times New Roman" w:eastAsia="Times New Roman" w:hAnsi="Times New Roman"/>
          <w:sz w:val="22"/>
          <w:szCs w:val="22"/>
          <w:color w:val="auto"/>
        </w:rPr>
        <w:t>then a federal court located within the State of Nevada shall be the exclusive forum for such Action. Notwithstanding the foregoing, this provision shall not apply to claims seeking to enforce any liability or duty created by the Securities Exchange Act of 1934, as amended. Our articles also provide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1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Our articles also provide that to the fullest extent permitted by applicable law, all internal actions (as such term is defined in NRS 78.046 or any successor statute) to be tried in any court of the State of Nevada must be tried before the presiding judge as the trier of fact, and not before a jury. This requirement conclusively operates as a waiver of the right to trial by jury by each party to any internal action to which this requirement applies.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24" w:lineRule="exact"/>
        <w:rPr>
          <w:sz w:val="20"/>
          <w:szCs w:val="20"/>
          <w:color w:val="auto"/>
        </w:rPr>
      </w:pPr>
    </w:p>
    <w:p>
      <w:pPr>
        <w:ind w:right="320" w:firstLine="648"/>
        <w:spacing w:after="0" w:line="253" w:lineRule="auto"/>
        <w:rPr>
          <w:sz w:val="20"/>
          <w:szCs w:val="20"/>
          <w:color w:val="auto"/>
        </w:rPr>
      </w:pPr>
      <w:r>
        <w:rPr>
          <w:rFonts w:ascii="Times New Roman" w:cs="Times New Roman" w:eastAsia="Times New Roman" w:hAnsi="Times New Roman"/>
          <w:sz w:val="22"/>
          <w:szCs w:val="22"/>
          <w:color w:val="auto"/>
        </w:rPr>
        <w:t>Declaration and payment of any dividend is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Nevada law affecting the payment of distributions to stockholders and any other factors our board of directors may consider relevant.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Anti-Takeover Provisions</w:t>
      </w:r>
    </w:p>
    <w:p>
      <w:pPr>
        <w:spacing w:after="0" w:line="224"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Our articles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22" w:right="35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of Directors</w:t>
      </w:r>
    </w:p>
    <w:p>
      <w:pPr>
        <w:spacing w:after="0" w:line="21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Our articles provide that our board of directors is divided into three classes, with the classes as nearly equal in number as possible and each class serving three-year staggered terms. Our directors may only be removed from our board of directors at any time with or without cause upon the affirmative vote of at least 66 2/3% of the holders of capital stock representing the voting power of our outstanding shares of capital stock entitled to vote thereon and otherwise in accordance with the NRS. These provisions may have the effect of deferring, delaying or discouraging hostile takeovers, or changes in control of us or our management.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Board of Directors Vacancies; Size of the Board</w:t>
      </w:r>
    </w:p>
    <w:p>
      <w:pPr>
        <w:spacing w:after="0" w:line="22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Our articles provide that, subject to the rights of the holders of any series of preferred stock to elect directors and the rights granted pursuant to the Stockholders Agreement, vacant directorships, including newly created seats, shall be filled solely by the affirmative vote of a majority of the total number of directors then in office, even if less than a quorum, or by a sole remaining director. Our articles provide that, subject to the rights of the holders of any series of preferred stock to elect directors and the rights granted pursuant to the Stockholders Agreement, the number of directors constituting our board of directors is permitted to be set only by a resolution adopted by our board of directors. These provisions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Stockholder Action; Special Meetings of Stockholders</w:t>
      </w:r>
    </w:p>
    <w:p>
      <w:pPr>
        <w:spacing w:after="0" w:line="226"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1"/>
          <w:szCs w:val="21"/>
          <w:color w:val="auto"/>
        </w:rPr>
        <w:t>Our articles provide that, at any time when Mainsail (as defined below)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 “Mainsail” refers to Mainsail Partners III, L.P., a Delaware limited partnership, and certain funds affiliated with Mainsail Partners III, L.P., including Mainsail Incentive Program, LLC, and Mainsail Co-Investors III, L.P. Our articles further provide that special meetings of our stockholders may be called only by a majority of our board of directors, the Executive Chairman of our board of directors, or our Chief Executive Officer,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Advance Notice Requirements for Stockholder Proposals and Director Nominations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In addition, our bylaws provide for an advance notice procedure for stockholder proposals to be brought before an annual meeting of stockholders, including proposed nominations of candidates for election to our board of directors. These provisions do not apply to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89" w:right="339" w:bottom="1440" w:gutter="0" w:footer="0" w:header="0"/>
        </w:sectPr>
      </w:pPr>
    </w:p>
    <w:bookmarkStart w:id="129" w:name="page130"/>
    <w:bookmarkEnd w:id="129"/>
    <w:p>
      <w:pPr>
        <w:spacing w:after="0" w:line="250" w:lineRule="auto"/>
        <w:rPr>
          <w:sz w:val="20"/>
          <w:szCs w:val="20"/>
          <w:color w:val="auto"/>
        </w:rPr>
      </w:pPr>
      <w:r>
        <w:rPr>
          <w:rFonts w:ascii="Times New Roman" w:cs="Times New Roman" w:eastAsia="Times New Roman" w:hAnsi="Times New Roman"/>
          <w:sz w:val="22"/>
          <w:szCs w:val="22"/>
          <w:color w:val="auto"/>
        </w:rPr>
        <w:t>the parties to our Stockholders Agreement so long as such party is entitled to nominate a director or directors pursuant to the Stockholders Agreement. In order for any matter to be “properly brought” before a meeting, a stockholder will have to comply with advance notice and requirements and provide us with certain information in the timeframe set forth in the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No Cumulative Voting</w:t>
      </w:r>
    </w:p>
    <w:p>
      <w:pPr>
        <w:spacing w:after="0" w:line="226" w:lineRule="exact"/>
        <w:rPr>
          <w:sz w:val="20"/>
          <w:szCs w:val="20"/>
          <w:color w:val="auto"/>
        </w:rPr>
      </w:pPr>
    </w:p>
    <w:p>
      <w:pPr>
        <w:ind w:right="780" w:firstLine="648"/>
        <w:spacing w:after="0" w:line="271" w:lineRule="auto"/>
        <w:rPr>
          <w:sz w:val="20"/>
          <w:szCs w:val="20"/>
          <w:color w:val="auto"/>
        </w:rPr>
      </w:pPr>
      <w:r>
        <w:rPr>
          <w:rFonts w:ascii="Times New Roman" w:cs="Times New Roman" w:eastAsia="Times New Roman" w:hAnsi="Times New Roman"/>
          <w:sz w:val="22"/>
          <w:szCs w:val="22"/>
          <w:color w:val="auto"/>
        </w:rPr>
        <w:t>The NRS provides that stockholders may cumulate votes in the election of directors if a corporation’s articles of incorporation so provide. Our articles do not provide for cumulative voting.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Amendment of Articles of Incorporation or Bylaws</w:t>
      </w:r>
    </w:p>
    <w:p>
      <w:pPr>
        <w:spacing w:after="0" w:line="22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NRS provides generally that the affirmative vote of the holders of a majority of the voting power of the shares entitled to vote on the matter is required to amend a corporation’s articles of incorporation, unless a corporation’s articles of incorporation require a greater percentage. Our articles provide that the affirmative vote of holders of at least 66 2/3% of the voting power of all of the then-outstanding shares of capital stock, voting as a single class, is required to amend certain provisions of our articles, including provisions relating to amending our bylaws, the classified board, the size of our board, removal of directors, director liability, vacancies on our board, special meetings, stockholder notices, actions by written consent and exclusive forum. The articles provide that our board of directors may adopt, amend, alter or repeal the bylaws. In addition, the articles provide that the stockholders may also adopt, amend, alter or repeal the bylaws by the affirmative vote of the holders of at least 66 2/3% of the voting power of the then-outstanding shares of capital stock entitled to vote generally in the election of directors.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Nevada Anti-Takeover Statutes</w:t>
      </w:r>
    </w:p>
    <w:p>
      <w:pPr>
        <w:spacing w:after="0" w:line="23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Business Combinations</w:t>
      </w:r>
      <w:r>
        <w:rPr>
          <w:rFonts w:ascii="Times New Roman" w:cs="Times New Roman" w:eastAsia="Times New Roman" w:hAnsi="Times New Roman"/>
          <w:sz w:val="22"/>
          <w:szCs w:val="22"/>
          <w:color w:val="auto"/>
        </w:rPr>
        <w:t>: Sections 78.411 through 78.444 of the NRS (the “Nevada Combinations Statute”) generally prohibit “combinations” including mergers, consolidations, sales and leases of assets, issuances of securities and similar transactions by a Nevada corporation having a requisite number (which the Company expects to have) of stockholders of record, with any person who beneficially owns (or any affiliate or associate of the corporation who within the previous two years owned), directly or indirectly, 10% or more of the voting power of the outstanding voting shares of the corporation (an “interested stockholder”), within two years after such person first became an interested stockholder unless (i) the board of directors of the corporation approved the combination or transaction by which the person first became an interested stockholder before the person first become an interested stockholder or (ii)</w:t>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20"/>
          </w:cols>
          <w:pgMar w:left="320" w:top="1422" w:right="459" w:bottom="1440" w:gutter="0" w:footer="0" w:header="0"/>
        </w:sectPr>
      </w:pPr>
    </w:p>
    <w:bookmarkStart w:id="130" w:name="page131"/>
    <w:bookmarkEnd w:id="130"/>
    <w:p>
      <w:pPr>
        <w:ind w:right="140"/>
        <w:spacing w:after="0" w:line="256" w:lineRule="auto"/>
        <w:rPr>
          <w:sz w:val="20"/>
          <w:szCs w:val="20"/>
          <w:color w:val="auto"/>
        </w:rPr>
      </w:pPr>
      <w:r>
        <w:rPr>
          <w:rFonts w:ascii="Times New Roman" w:cs="Times New Roman" w:eastAsia="Times New Roman" w:hAnsi="Times New Roman"/>
          <w:sz w:val="22"/>
          <w:szCs w:val="22"/>
          <w:color w:val="auto"/>
        </w:rPr>
        <w:t>the board of directors of the corporation has approved the combination in question and, at or after that time, such combination is approved at an annual or special meeting of the stockholders of the target corporation, and not by written consent, by the affirmative vote of holders of stock representing at least 60% of the outstanding voting power of the target corporation not beneficially owned by the interested stockholder or the affiliates or associates of the interested stockholder.</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Beginning two years after the date the person first became an interested stockholder, a combination may also be permitted if the interested stockholder satisfies certain requirements with respect to the aggregate consideration to be received by holders of outstanding shares in the combination. The Nevada Combinations Statute does not apply to combinations with an interested stockholder after the expiration of four years from when the person first became an interested stockholder.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has elected not to be governed by the Nevada Combination Statute in its articles.</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Our articles do contain provisions that are similar to some of the provisions of the Nevada Combination Statute. Specifically, our articles provide that, subject to certain exceptions, the Company is not able to engage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For the purposes of the articles, a “business combination” includes, among other actions, a merger or consolidation involving us and the “interested stockholder,” the sale of more than 5% of our assets, or the issuance to the Interested Stockholder or an affiliate of shares of the Company or an affiliate with an aggregate market value of 5% or more of all outstanding voting shares. Under the articles, in general, an “interested stockholder” is any entity or person beneficially owning 10% or more of our outstanding voting stock and any entity or person affiliated with or controlling or controlled by such entity or person; provided, that, the articles specify that certain stockholders are not considered an “interested stockholder” for purposes of these provisions.</w:t>
      </w:r>
    </w:p>
    <w:p>
      <w:pPr>
        <w:spacing w:after="0" w:line="18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Acquisitions of a Controlling Interest</w:t>
      </w:r>
      <w:r>
        <w:rPr>
          <w:rFonts w:ascii="Times New Roman" w:cs="Times New Roman" w:eastAsia="Times New Roman" w:hAnsi="Times New Roman"/>
          <w:sz w:val="22"/>
          <w:szCs w:val="22"/>
          <w:color w:val="auto"/>
        </w:rPr>
        <w:t>: Sections 78.378 through 78.3793, inclusive, of the NRS (the “Nevada Control Share Statute”), pertaining to the acquisition of controlling interests, apply to “issuing corporations” that are Nevada corporations doing business, directly or through an affiliate, in Nevada and having at least 200 stockholders of record, including at least 100 of whom have addresses in Nevada appearing on the stock ledger of the corporation. Under those provisions, any person who acquires a controlling interest in a corporation may not exercise voting rights of any “control shares” unless such voting rights are conferred by a majority vote of the disinterested stockholders of the issuing corporation at a special meeting of such stockholders held upon the request, and at the expense, of the acquiring person. The statute applies to acquisition of a “controlling interest” in ownership of outstanding voting shares of an issuing corporation sufficient to enable the acquiring person, individually or in association with others, directly or indirectly, to exercise (i) one-fifth or more but less than one-third, (ii) one-third or more but less than a majority or (iii) a majority or more of the voting power of the issuing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131" w:name="page132"/>
    <w:bookmarkEnd w:id="131"/>
    <w:p>
      <w:pPr>
        <w:spacing w:after="0" w:line="250" w:lineRule="auto"/>
        <w:rPr>
          <w:sz w:val="20"/>
          <w:szCs w:val="20"/>
          <w:color w:val="auto"/>
        </w:rPr>
      </w:pPr>
      <w:r>
        <w:rPr>
          <w:rFonts w:ascii="Times New Roman" w:cs="Times New Roman" w:eastAsia="Times New Roman" w:hAnsi="Times New Roman"/>
          <w:sz w:val="22"/>
          <w:szCs w:val="22"/>
          <w:color w:val="auto"/>
        </w:rPr>
        <w:t>corporation in the election of directors, and voting rights must be conferred by a majority of the disinterested stockholders as each threshold is reached and/or exceeded. “Control shares” also include shares acquired by persons acting in association with an acquiring person and those acquired within 90 days immediately preceding the date of the acquisition triggering the statute.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pursuant to the Nevada dissenter’s rights statute.</w:t>
      </w:r>
    </w:p>
    <w:p>
      <w:pPr>
        <w:spacing w:after="0" w:line="18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 Nevada Control Share Statute does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Therefore, the board of directors of a Nevada corporation usually may unilaterally avoid the imposition of burdens imposed by the Nevada Control Share Statute by promptly amending the bylaws of the corporation in connection with a transaction. A Nevada corporation may impose stricter requirements if it so desires.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has opted out of the provisions of the Nevada Control Share Statute in its articles.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Indemnification and Limitations on Liability of Officers and Directors</w:t>
      </w:r>
    </w:p>
    <w:p>
      <w:pPr>
        <w:spacing w:after="0" w:line="224" w:lineRule="exact"/>
        <w:rPr>
          <w:sz w:val="20"/>
          <w:szCs w:val="20"/>
          <w:color w:val="auto"/>
        </w:rPr>
      </w:pPr>
    </w:p>
    <w:p>
      <w:pPr>
        <w:jc w:val="both"/>
        <w:ind w:right="380" w:firstLine="648"/>
        <w:spacing w:after="0" w:line="257" w:lineRule="auto"/>
        <w:rPr>
          <w:sz w:val="20"/>
          <w:szCs w:val="20"/>
          <w:color w:val="auto"/>
        </w:rPr>
      </w:pPr>
      <w:r>
        <w:rPr>
          <w:rFonts w:ascii="Times New Roman" w:cs="Times New Roman" w:eastAsia="Times New Roman" w:hAnsi="Times New Roman"/>
          <w:sz w:val="22"/>
          <w:szCs w:val="22"/>
          <w:color w:val="auto"/>
        </w:rPr>
        <w:t>Our bylaws provide indemnification for our directors and officers to the fullest extent permitted by the NRS. We have entered into indemnification agreements with each of our directors and executive officers that may, in some cases, be broader than the specific indemnification provisions contained under Nevada law.</w:t>
      </w:r>
    </w:p>
    <w:p>
      <w:pPr>
        <w:spacing w:after="0" w:line="18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In addition, under Nevada law and our articles, the personal liability of our directors and officers for monetary damages resulting from breaches of certain fiduciary duties are eliminated except where (i) the presumption that such director or officer has acted in good faith, with a view to the interests of the corporation has been rebutted, and (ii) it is proven that such director’s or officer’s act or failure to act was a breach of his or her fiduciary duties and involved intentional misconduct, fraud or a knowing violation of law.</w:t>
      </w:r>
    </w:p>
    <w:p>
      <w:pPr>
        <w:spacing w:after="0" w:line="194"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The effect of both of these provisions is to restrict our rights and the rights of our stockholders in derivative suits or other legal proceedings to recover monetary damages against a director or officers for breach of fiduciary duties.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provisions may be held not to be enforceable for violations of the federal securities laws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22"/>
          <w:szCs w:val="22"/>
          <w:b w:val="1"/>
          <w:bCs w:val="1"/>
          <w:color w:val="auto"/>
        </w:rPr>
        <w:t>Corporate Opportunity Doctrine</w:t>
      </w:r>
    </w:p>
    <w:p>
      <w:pPr>
        <w:spacing w:after="0" w:line="21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Nevada law permits corporations to adopt provisions renouncing any interest or expectancy in certain opportunities that are presented to the corporation or one or more of its officers, directors or stockholders. Our articles, to the maximum extent permitted from time to time by Nevada law, renounce any and all interest or expectancy that we have in, or right to be offered an opportunity to participate in, specified business opportunities that are from time to time presented to Mainsail, any of our directors who are employees of or affiliated with Mainsail, or any director or stockholder who is not employed by us. Our articles provide that, to the fullest extent permitted by law, Mainsail, any of our directors who are employees of or affiliated with Mainsail, or any director or stockholder who is not employed by us or our affiliates does not have any duty to refrain from (1) engaging in a corporate opportunity in the same or similar lines of business in which we or our affiliates now engage or propose to engage or (2) otherwise competing, directly or indirectly with us or any of our subsidiaries. In addition, to the fullest extent permitted by law, if Mainsail, any of our directors who are employees of or affiliated with Mainsail, or any director or stockholder who is not employed by us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our subsidiaries and they may take any such opportunity for themselves or offer it to another person or entity, unless such opportunity was expressly offered to them solely in their capacity as a director, executive officer or employee of us or our affiliates. To the fullest extent permitted by Nevada law, no potential transaction or business opportunity may be deemed to be a corporate opportunity of the corporation unless (1) we would be permitted to undertake such transaction or opportunity in accordance with the articles, (2) we, at such time have sufficient financial resources to undertake such transaction or opportunity, (3) we or a subsidiary have an interest or expectancy in such transaction or opportunity and (4) such transaction or opportunity would be in the same or similar line of our business in which we or our subsidiaries are engaged or a line of business that is reasonably related to, or a reasonable extension of, such line of business. Our articles do not renounce our interest in any business opportunity that is expressly offered to a director, executive officer or employee in his or her capacity as a director, executive officer or employee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Dissenters’ (Appraisal) Rights</w:t>
      </w:r>
    </w:p>
    <w:p>
      <w:pPr>
        <w:spacing w:after="0" w:line="22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A stockholder of a Nevada corporation may be entitled to dissent from, and obtain payment of the fair value of his or her shares in connection with, certain transactions involving the Nevada corporation, including, among others, most mergers, conversions in which the stockholder’s interests will be converted, and exchanges in which the stockholder’s shares are to be acquired.</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However, there is no right of dissent in favor of stockholders of: (i) any class or series which is a “covered security” under section 18(b)(1)(A) or (B) of the Securities Act; (ii) any class or series which is traded in an organized market, has at least 2,000 stockholders and has a market value of at least $20,000,000, exclusive of the value of such shares held by the corporation’s subsidiaries, senior executives, directors and beneficial stockholders owning more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390" w:right="359" w:bottom="1440" w:gutter="0" w:footer="0" w:header="0"/>
        </w:sectPr>
      </w:pPr>
    </w:p>
    <w:bookmarkStart w:id="133" w:name="page134"/>
    <w:bookmarkEnd w:id="133"/>
    <w:p>
      <w:pPr>
        <w:ind w:right="20"/>
        <w:spacing w:after="0" w:line="257" w:lineRule="auto"/>
        <w:rPr>
          <w:sz w:val="20"/>
          <w:szCs w:val="20"/>
          <w:color w:val="auto"/>
        </w:rPr>
      </w:pPr>
      <w:r>
        <w:rPr>
          <w:rFonts w:ascii="Times New Roman" w:cs="Times New Roman" w:eastAsia="Times New Roman" w:hAnsi="Times New Roman"/>
          <w:sz w:val="22"/>
          <w:szCs w:val="22"/>
          <w:color w:val="auto"/>
        </w:rPr>
        <w:t>than 10% of such shares; or (iii) certain securities issued by an open end management investment company registered with the SEC. The Company’s Class A Common Stock would qualify as such a security and therefore holders thereof would generally not be entitled to dissenters’ rights under the NRS.</w:t>
      </w:r>
    </w:p>
    <w:p>
      <w:pPr>
        <w:spacing w:after="0" w:line="18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Notwithstanding the limitations on rights of dissent in the foregoing paragraph, dissenter’s rights are available if stockholders are required by the terms of the corporate action to accept for their shares anything other than (i) cash, (ii) securities or other proprietary interests of any other entity that will satisfy the marketability standards set forth in the prior paragraph, or (iii) any combination of clauses (i) and (ii).</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A stockholder who wishes to assert dissenter’s rights, to the extent available, must comply with all of the requirements for asserting and preserving their dissenter’s rights under the NRS Sections 92A.300 - 92A.500, including, under certain circumstances, delivering a statement of intent with respect to the corporate action prior to the taking of the vote at a meeting (or the date set in an advance notice statement given by the company in the case of an action to be taken by written consent of the stockholders for which the corporation gives an advance notice statement), and delivering a written demand for payment by the date set in a dissenter’s notice given by the corporation.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Stockholders’ Derivative Actions</w:t>
      </w:r>
    </w:p>
    <w:p>
      <w:pPr>
        <w:spacing w:after="0" w:line="23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Under the NRS and the Nevada Rules of Civil Procedure, any of our stockholders may bring an action in our name to procure a judgment in our favor, also known as a derivative action, subject to certain conditions, including that the stockholder bringing the action was a holder of our shares at the time of the transaction to which the action relates or such stockholder’s stock thereafter devolved by operation of law. In effect, then, a stockholder cannot purchase a derivative suit along with his or her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transfer agent and registrar for our Class A common stock is Equiniti Trust Company, LLC.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Trading Symbol and Market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Class A common stock is listed on The Nasdaq Global Market under the symbol “BRLT.”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21" w:right="35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FIRST AMENDMENT TO</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LIABILITY COMPANY AGREEMENT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BRILLIANT EARTH, LLC</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FIRST AMENDMENT TO AMENDED AND RESTATED LIMITED LIABILITY COMPANY AGREEMENT (this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of Brilliant Earth, LLC, a Delaware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dated as December 22, 2025, by the Company and the Manager. Capitalized terms that are used herein but not defined shall have the meanings given such terms in the LLC Agreement (as defined below).</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the Company is governed by that certain Amended and Restated Limited Liability Company Agreement of the Company, dated as of September 22, 2021 (as amended, restated, amended and restated, supplemented or otherwise modified from time to time, together with all schedules, exhibits and annexes thereto, the “</w:t>
      </w:r>
      <w:r>
        <w:rPr>
          <w:rFonts w:ascii="Times New Roman" w:cs="Times New Roman" w:eastAsia="Times New Roman" w:hAnsi="Times New Roman"/>
          <w:sz w:val="20"/>
          <w:szCs w:val="20"/>
          <w:b w:val="1"/>
          <w:bCs w:val="1"/>
          <w:i w:val="1"/>
          <w:iCs w:val="1"/>
          <w:color w:val="auto"/>
        </w:rPr>
        <w:t>LLC Agreement</w:t>
      </w:r>
      <w:r>
        <w:rPr>
          <w:rFonts w:ascii="Times New Roman" w:cs="Times New Roman" w:eastAsia="Times New Roman" w:hAnsi="Times New Roman"/>
          <w:sz w:val="20"/>
          <w:szCs w:val="20"/>
          <w:color w:val="auto"/>
        </w:rPr>
        <w:t>”);</w:t>
      </w:r>
    </w:p>
    <w:p>
      <w:pPr>
        <w:spacing w:after="0" w:line="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WHEREAS, the managing member and Manager of the Company is Brilliant Earth Group, Inc.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which was previously incorporated as a Delaware corporation and has converted to a Nevada corporation (the “</w:t>
      </w:r>
      <w:r>
        <w:rPr>
          <w:rFonts w:ascii="Times New Roman" w:cs="Times New Roman" w:eastAsia="Times New Roman" w:hAnsi="Times New Roman"/>
          <w:sz w:val="20"/>
          <w:szCs w:val="20"/>
          <w:b w:val="1"/>
          <w:bCs w:val="1"/>
          <w:i w:val="1"/>
          <w:iCs w:val="1"/>
          <w:color w:val="auto"/>
        </w:rPr>
        <w:t>Conversion</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Section 15.03 of the LLC Agreement, the Manager may make any amendment to the LLC Agreement of an administrative nature that is necessary in order to implement the substantive provisions of the LLC Agreement, without the consent of any other Member; provided, that any such amendment does not adversely change the rights of the Members in any respect; and</w:t>
      </w:r>
    </w:p>
    <w:p>
      <w:pPr>
        <w:spacing w:after="0" w:line="1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Manager now desires to amend the LLC Agreement in order to accurately reflect the state of incorporation of the Corporation following the Conversion.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15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for and in consideration of the mutual agreements contained herein and other good and valuable consideration, the receipt, adequacy and sufficiency of which are hereby acknowledged, the parties hereby agree as follows:</w:t>
      </w:r>
    </w:p>
    <w:p>
      <w:pPr>
        <w:spacing w:after="0" w:line="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The preamble of the LLC Agreement is hereby amended and restated in its entirety to read as follows:</w:t>
      </w:r>
    </w:p>
    <w:p>
      <w:pPr>
        <w:spacing w:after="0" w:line="25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This AMENDED AND RESTATED LIMITED LIABILITY COMPANY AGREEMENT (as the same may be amended, restated, amended and restated, supplemented or otherwise modified from time to time,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of Brilliant Earth, LLC a Delaware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dated as of September 22, 2021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is entered into by and among the Company, Brilliant Earth Group, Inc., a Nevada corporation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as the sole managing member of the Company, and each of the other Members (as defined herein).</w:t>
      </w:r>
    </w:p>
    <w:p>
      <w:pPr>
        <w:spacing w:after="0" w:line="219" w:lineRule="exact"/>
        <w:rPr>
          <w:sz w:val="20"/>
          <w:szCs w:val="20"/>
          <w:color w:val="auto"/>
        </w:rPr>
      </w:pPr>
    </w:p>
    <w:p>
      <w:pPr>
        <w:ind w:left="660" w:hanging="328"/>
        <w:spacing w:after="0" w:line="254"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Exhibit A attached to the LLC Agreement is hereby amended and restated in its entirety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 w:lineRule="exact"/>
        <w:rPr>
          <w:rFonts w:ascii="Times New Roman" w:cs="Times New Roman" w:eastAsia="Times New Roman" w:hAnsi="Times New Roman"/>
          <w:sz w:val="20"/>
          <w:szCs w:val="20"/>
          <w:color w:val="auto"/>
        </w:rPr>
      </w:pPr>
    </w:p>
    <w:p>
      <w:pPr>
        <w:ind w:left="660" w:hanging="328"/>
        <w:spacing w:after="0" w:line="253"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Exhibit B-1 attached to the LLC Agreement is hereby amended and restated in its entirety as set forth on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attached hereto.</w:t>
      </w:r>
    </w:p>
    <w:p>
      <w:pPr>
        <w:sectPr>
          <w:pgSz w:w="11900" w:h="16838" w:orient="portrait"/>
          <w:cols w:equalWidth="0" w:num="1">
            <w:col w:w="11240"/>
          </w:cols>
          <w:pgMar w:left="320" w:top="121" w:right="339" w:bottom="1440" w:gutter="0" w:footer="0" w:header="0"/>
        </w:sectPr>
      </w:pPr>
    </w:p>
    <w:bookmarkStart w:id="135" w:name="page136"/>
    <w:bookmarkEnd w:id="135"/>
    <w:p>
      <w:pPr>
        <w:spacing w:after="0" w:line="216" w:lineRule="exact"/>
        <w:rPr>
          <w:sz w:val="20"/>
          <w:szCs w:val="20"/>
          <w:color w:val="auto"/>
        </w:rPr>
      </w:pPr>
    </w:p>
    <w:p>
      <w:pPr>
        <w:ind w:left="660" w:hanging="328"/>
        <w:spacing w:after="0" w:line="283"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Exhibit B-2 attached to the LLC Agreement is hereby amended and restated in its entirety as set forth on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attached hereto.</w:t>
      </w:r>
    </w:p>
    <w:p>
      <w:pPr>
        <w:spacing w:after="0" w:line="11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in this Amendment are inserted for convenience only and do not constitute a part of this Amendment.</w:t>
      </w:r>
    </w:p>
    <w:p>
      <w:pPr>
        <w:spacing w:after="0" w:line="64"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Continuation of Agreement Successors and Assigns; Counterparts</w:t>
      </w:r>
      <w:r>
        <w:rPr>
          <w:rFonts w:ascii="Times New Roman" w:cs="Times New Roman" w:eastAsia="Times New Roman" w:hAnsi="Times New Roman"/>
          <w:sz w:val="20"/>
          <w:szCs w:val="20"/>
          <w:color w:val="auto"/>
        </w:rPr>
        <w:t>. Except as specifically amended by this Amendment, all of the terms and conditions of the LLC Agreement are unmodified and shall continue in full force and effect and shall be binding upon the parties hereto and their respective successors and assigns in accordance with the terms thereof. This Amendment may be executed in one or more counterparts, each of which shall be deemed an original and all of which together shall constitute one and the same instrument.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36" w:name="page137"/>
    <w:bookmarkEnd w:id="136"/>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have executed or caused to be executed on their behalf this First Amendment to the Amended and Restated Limited Liability Company Agreement as of the date first written above.</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w:t>
      </w:r>
    </w:p>
    <w:p>
      <w:pPr>
        <w:spacing w:after="0" w:line="1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BRILLIANT EARTH, LLC</w:t>
      </w:r>
    </w:p>
    <w:p>
      <w:pPr>
        <w:spacing w:after="0" w:line="200" w:lineRule="exact"/>
        <w:rPr>
          <w:sz w:val="20"/>
          <w:szCs w:val="20"/>
          <w:color w:val="auto"/>
        </w:rPr>
      </w:pP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/s/ Alex Grab</w:t>
            </w:r>
          </w:p>
        </w:tc>
        <w:tc>
          <w:tcPr>
            <w:tcW w:w="180" w:type="dxa"/>
            <w:vAlign w:val="bottom"/>
          </w:tcPr>
          <w:p>
            <w:pPr>
              <w:spacing w:after="0"/>
              <w:rPr>
                <w:sz w:val="19"/>
                <w:szCs w:val="19"/>
                <w:color w:val="auto"/>
              </w:rPr>
            </w:pPr>
          </w:p>
        </w:tc>
      </w:tr>
      <w:tr>
        <w:trPr>
          <w:trHeight w:val="223"/>
        </w:trPr>
        <w:tc>
          <w:tcPr>
            <w:tcW w:w="6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Name:</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rPr>
              <w:t>Alex Grab</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6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Title:</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80"/>
              <w:spacing w:after="0" w:line="209" w:lineRule="exact"/>
              <w:rPr>
                <w:sz w:val="20"/>
                <w:szCs w:val="20"/>
                <w:color w:val="auto"/>
              </w:rPr>
            </w:pPr>
            <w:r>
              <w:rPr>
                <w:rFonts w:ascii="Times New Roman" w:cs="Times New Roman" w:eastAsia="Times New Roman" w:hAnsi="Times New Roman"/>
                <w:sz w:val="20"/>
                <w:szCs w:val="20"/>
                <w:color w:val="auto"/>
              </w:rPr>
              <w:t>General Counsel</w:t>
            </w:r>
          </w:p>
        </w:tc>
        <w:tc>
          <w:tcPr>
            <w:tcW w:w="1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u w:val="single" w:color="auto"/>
          <w:color w:val="auto"/>
        </w:rPr>
        <w:t>MANAGER</w:t>
      </w:r>
      <w:r>
        <w:rPr>
          <w:rFonts w:ascii="Times New Roman" w:cs="Times New Roman" w:eastAsia="Times New Roman" w:hAnsi="Times New Roman"/>
          <w:sz w:val="20"/>
          <w:szCs w:val="20"/>
          <w:b w:val="1"/>
          <w:bCs w:val="1"/>
          <w:color w:val="auto"/>
        </w:rPr>
        <w:t>:</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spacing w:after="0" w:line="200" w:lineRule="exact"/>
        <w:rPr>
          <w:sz w:val="20"/>
          <w:szCs w:val="20"/>
          <w:color w:val="auto"/>
        </w:rPr>
      </w:pP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/s/ Alex Grab</w:t>
            </w:r>
          </w:p>
        </w:tc>
        <w:tc>
          <w:tcPr>
            <w:tcW w:w="180" w:type="dxa"/>
            <w:vAlign w:val="bottom"/>
          </w:tcPr>
          <w:p>
            <w:pPr>
              <w:spacing w:after="0"/>
              <w:rPr>
                <w:sz w:val="19"/>
                <w:szCs w:val="19"/>
                <w:color w:val="auto"/>
              </w:rPr>
            </w:pPr>
          </w:p>
        </w:tc>
      </w:tr>
      <w:tr>
        <w:trPr>
          <w:trHeight w:val="223"/>
        </w:trPr>
        <w:tc>
          <w:tcPr>
            <w:tcW w:w="6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Name:</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rPr>
              <w:t>Alex Grab</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6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Title:</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80"/>
              <w:spacing w:after="0" w:line="209" w:lineRule="exact"/>
              <w:rPr>
                <w:sz w:val="20"/>
                <w:szCs w:val="20"/>
                <w:color w:val="auto"/>
              </w:rPr>
            </w:pPr>
            <w:r>
              <w:rPr>
                <w:rFonts w:ascii="Times New Roman" w:cs="Times New Roman" w:eastAsia="Times New Roman" w:hAnsi="Times New Roman"/>
                <w:sz w:val="20"/>
                <w:szCs w:val="20"/>
                <w:color w:val="auto"/>
              </w:rPr>
              <w:t>General Counsel</w:t>
            </w:r>
          </w:p>
        </w:tc>
        <w:tc>
          <w:tcPr>
            <w:tcW w:w="18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141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JOINDER AGREEMENT, dated as of _________________, 20___ (this “</w:t>
      </w:r>
      <w:r>
        <w:rPr>
          <w:rFonts w:ascii="Times New Roman" w:cs="Times New Roman" w:eastAsia="Times New Roman" w:hAnsi="Times New Roman"/>
          <w:sz w:val="19"/>
          <w:szCs w:val="19"/>
          <w:b w:val="1"/>
          <w:bCs w:val="1"/>
          <w:i w:val="1"/>
          <w:iCs w:val="1"/>
          <w:color w:val="auto"/>
        </w:rPr>
        <w:t>Joinder</w:t>
      </w:r>
      <w:r>
        <w:rPr>
          <w:rFonts w:ascii="Times New Roman" w:cs="Times New Roman" w:eastAsia="Times New Roman" w:hAnsi="Times New Roman"/>
          <w:sz w:val="19"/>
          <w:szCs w:val="19"/>
          <w:color w:val="auto"/>
        </w:rPr>
        <w:t>”), is delivered pursuant to that certain Amended and</w:t>
      </w:r>
    </w:p>
    <w:p>
      <w:pPr>
        <w:spacing w:after="0" w:line="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Restated Limited Liability Company Agreement of Brilliant Earth, LLC, a Delaware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dated as of September 22, 2021 (as amended, restated, amended and restated, supplemented or otherwise modified from time to time, the “</w:t>
      </w:r>
      <w:r>
        <w:rPr>
          <w:rFonts w:ascii="Times New Roman" w:cs="Times New Roman" w:eastAsia="Times New Roman" w:hAnsi="Times New Roman"/>
          <w:sz w:val="20"/>
          <w:szCs w:val="20"/>
          <w:b w:val="1"/>
          <w:bCs w:val="1"/>
          <w:i w:val="1"/>
          <w:iCs w:val="1"/>
          <w:color w:val="auto"/>
        </w:rPr>
        <w:t>LLC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by and among the Company, Brilliant Earth Group, Inc., a Nevada corporation and the sole managing member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and each of the Members from time to time party thereto. Capitalized terms used but not otherwise defined herein have the respective meanings set forth in the LLC Agreement.</w:t>
      </w:r>
    </w:p>
    <w:p>
      <w:pPr>
        <w:spacing w:after="0" w:line="277" w:lineRule="exact"/>
        <w:rPr>
          <w:sz w:val="20"/>
          <w:szCs w:val="20"/>
          <w:color w:val="auto"/>
        </w:rPr>
      </w:pPr>
    </w:p>
    <w:p>
      <w:pPr>
        <w:jc w:val="both"/>
        <w:ind w:left="1060" w:right="20" w:hanging="589"/>
        <w:spacing w:after="0" w:line="253" w:lineRule="auto"/>
        <w:tabs>
          <w:tab w:leader="none" w:pos="10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Joinder to the LLC Agreement</w:t>
      </w:r>
      <w:r>
        <w:rPr>
          <w:rFonts w:ascii="Times New Roman" w:cs="Times New Roman" w:eastAsia="Times New Roman" w:hAnsi="Times New Roman"/>
          <w:sz w:val="20"/>
          <w:szCs w:val="20"/>
          <w:color w:val="auto"/>
        </w:rPr>
        <w:t>. Upon the execution of this Joinder by the undersigned and delivery hereof to the Corporation, the undersigned hereby is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 The undersigned hereby acknowledges, agrees and confirms that it has received a copy of the LLC Agreement and has reviewed the same and understands its contents.</w:t>
      </w:r>
    </w:p>
    <w:p>
      <w:pPr>
        <w:spacing w:after="0" w:line="381" w:lineRule="exact"/>
        <w:rPr>
          <w:rFonts w:ascii="Times New Roman" w:cs="Times New Roman" w:eastAsia="Times New Roman" w:hAnsi="Times New Roman"/>
          <w:sz w:val="20"/>
          <w:szCs w:val="20"/>
          <w:color w:val="auto"/>
        </w:rPr>
      </w:pPr>
    </w:p>
    <w:p>
      <w:pPr>
        <w:ind w:left="1060" w:right="20" w:hanging="589"/>
        <w:spacing w:after="0" w:line="283" w:lineRule="auto"/>
        <w:tabs>
          <w:tab w:leader="none" w:pos="10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All terms and conditions of the LLC Agreement are hereby incorporated by reference in this Joinder as if set forth herein in full.</w:t>
      </w:r>
    </w:p>
    <w:p>
      <w:pPr>
        <w:spacing w:after="0" w:line="348" w:lineRule="exact"/>
        <w:rPr>
          <w:rFonts w:ascii="Times New Roman" w:cs="Times New Roman" w:eastAsia="Times New Roman" w:hAnsi="Times New Roman"/>
          <w:sz w:val="20"/>
          <w:szCs w:val="20"/>
          <w:color w:val="auto"/>
        </w:rPr>
      </w:pPr>
    </w:p>
    <w:p>
      <w:pPr>
        <w:ind w:left="1060" w:hanging="589"/>
        <w:spacing w:after="0"/>
        <w:tabs>
          <w:tab w:leader="none" w:pos="10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w:t>
      </w:r>
      <w:r>
        <w:rPr>
          <w:rFonts w:ascii="Times New Roman" w:cs="Times New Roman" w:eastAsia="Times New Roman" w:hAnsi="Times New Roman"/>
          <w:sz w:val="20"/>
          <w:szCs w:val="20"/>
          <w:color w:val="auto"/>
        </w:rPr>
        <w:t>. All notices under the LLC Agreement to the undersigned shall be direct to: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[City, State, Zip Code]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Facsimile: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240"/>
          </w:cols>
          <w:pgMar w:left="320" w:top="1409" w:right="339" w:bottom="1440" w:gutter="0" w:footer="0" w:header="0"/>
        </w:sectPr>
      </w:pPr>
    </w:p>
    <w:bookmarkStart w:id="138" w:name="page139"/>
    <w:bookmarkEnd w:id="138"/>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undersigned has duly executed and delivered this Joinder as of the day and year first above written.</w:t>
      </w:r>
    </w:p>
    <w:p>
      <w:pPr>
        <w:spacing w:after="0" w:line="3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[NAME OF NEW</w:t>
      </w:r>
    </w:p>
    <w:p>
      <w:pPr>
        <w:ind w:left="506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By:</w:t>
      </w:r>
    </w:p>
    <w:p>
      <w:pPr>
        <w:spacing w:after="0" w:line="2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Name:</w:t>
      </w: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and agreed as of the date first set forth</w:t>
      </w: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BRILLIANT EARTH, LLC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BRILLIANT EARTH GROUP, INC., its Managing</w:t>
      </w:r>
    </w:p>
    <w:p>
      <w:pPr>
        <w:spacing w:after="0"/>
        <w:rPr>
          <w:sz w:val="20"/>
          <w:szCs w:val="20"/>
          <w:color w:val="auto"/>
        </w:rPr>
      </w:pPr>
      <w:r>
        <w:rPr>
          <w:rFonts w:ascii="Times New Roman" w:cs="Times New Roman" w:eastAsia="Times New Roman" w:hAnsi="Times New Roman"/>
          <w:sz w:val="20"/>
          <w:szCs w:val="20"/>
          <w:color w:val="auto"/>
        </w:rPr>
        <w:t>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980"/>
          </w:cols>
          <w:pgMar w:left="340" w:top="1440" w:right="57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AGREEMENT AND CONSENT OF SPOUSE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spouse of _____________________________ (the “</w:t>
      </w:r>
      <w:r>
        <w:rPr>
          <w:rFonts w:ascii="Times New Roman" w:cs="Times New Roman" w:eastAsia="Times New Roman" w:hAnsi="Times New Roman"/>
          <w:sz w:val="20"/>
          <w:szCs w:val="20"/>
          <w:b w:val="1"/>
          <w:bCs w:val="1"/>
          <w:i w:val="1"/>
          <w:iCs w:val="1"/>
          <w:color w:val="auto"/>
        </w:rPr>
        <w:t>Member</w:t>
      </w:r>
      <w:r>
        <w:rPr>
          <w:rFonts w:ascii="Times New Roman" w:cs="Times New Roman" w:eastAsia="Times New Roman" w:hAnsi="Times New Roman"/>
          <w:sz w:val="20"/>
          <w:szCs w:val="20"/>
          <w:color w:val="auto"/>
        </w:rPr>
        <w:t>”), a party to that certain Amended and Restated Limited</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Liability Company Agreement of Brilliant Earth, LLC, a Delaware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dated as of September 22, 2021 (as amended, restated, amended and restated, supplemented or otherwise modified from time to time,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by and among the Company, Brilliant Earth Group, Inc., a Nevada corporation and the sole managing member of the Company, and each of the Members from time to time party thereto (capitalized terms used but not otherwise defined herein have the respective meanings set forth in the Agreement), acknowledges on his or her own behalf that: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 have read the Agreement and understand its contents. I acknowledge and understand that under the Agreement, any interest I may have, community property or otherwise, in the Units owned by the Member is subject to the terms of the Agreement, which include certain restrictions on Transfer.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 hereby consent to and approve the Agreement. I agree that said Units and any interest I may have, community property or otherwise, in such Units are subject to the provisions of the Agreement and that I will take no action at any time to hinder operation of the Agreement on said Units or any interest I may have, community property or otherwise, in said Units.</w:t>
      </w:r>
    </w:p>
    <w:p>
      <w:pPr>
        <w:spacing w:after="0" w:line="16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 hereby acknowledge that the meaning and legal consequences of the Agreement have been explained fully to me and are understood by me, and that I am signing this Agreement and consent without any duress and of free 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_____________________________</w:t>
      </w:r>
    </w:p>
    <w:p>
      <w:pPr>
        <w:spacing w:after="0" w:line="3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[NAME OF SPOUSE]</w:t>
      </w:r>
    </w:p>
    <w:p>
      <w:pPr>
        <w:spacing w:after="0" w:line="200" w:lineRule="exact"/>
        <w:rPr>
          <w:sz w:val="20"/>
          <w:szCs w:val="20"/>
          <w:color w:val="auto"/>
        </w:rPr>
      </w:pPr>
    </w:p>
    <w:p>
      <w:pPr>
        <w:spacing w:after="0" w:line="2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w:t>
      </w:r>
    </w:p>
    <w:p>
      <w:pPr>
        <w:spacing w:after="0" w:line="24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409"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SPOUSE’S CONFIRMATION OF SEPARATE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the undersigned, the spouse of _____________________________ (the “</w:t>
      </w:r>
      <w:r>
        <w:rPr>
          <w:rFonts w:ascii="Times New Roman" w:cs="Times New Roman" w:eastAsia="Times New Roman" w:hAnsi="Times New Roman"/>
          <w:sz w:val="20"/>
          <w:szCs w:val="20"/>
          <w:b w:val="1"/>
          <w:bCs w:val="1"/>
          <w:i w:val="1"/>
          <w:iCs w:val="1"/>
          <w:color w:val="auto"/>
        </w:rPr>
        <w:t>Member</w:t>
      </w:r>
      <w:r>
        <w:rPr>
          <w:rFonts w:ascii="Times New Roman" w:cs="Times New Roman" w:eastAsia="Times New Roman" w:hAnsi="Times New Roman"/>
          <w:sz w:val="20"/>
          <w:szCs w:val="20"/>
          <w:color w:val="auto"/>
        </w:rPr>
        <w:t>”), who is a party to that certain Amended and Restated</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Limited Liability Company Agreement of Brilliant Earth, LLC, a Delaware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dated as of September 22, 2021 (as amended, restated, amended and restated, supplemented or otherwise modified from time to time,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by and among the Company, Brilliant Earth Group, Inc., a Nevada corporation and the sole managing member of the Company, and each of the Members from time to time party thereto (capitalized terms used but not otherwise defined herein have the respective meanings set forth in the Agreement), acknowledge and confirm that the Units owned by said Member are the sole and separate property of said Member, and I hereby disclaim any interest in same.</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 hereby acknowledge that the meaning and legal consequences of this Member’s spouse’s confirmation of separate property have been fully explained to me and are understood by me, and that I am signing this Member’s spouse’s confirmation of separate property without any duress and of free will.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_____________________________</w:t>
      </w:r>
    </w:p>
    <w:p>
      <w:pPr>
        <w:spacing w:after="0" w:line="3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[NAME OF SPOUSE]</w:t>
      </w:r>
    </w:p>
    <w:p>
      <w:pPr>
        <w:spacing w:after="0" w:line="200" w:lineRule="exact"/>
        <w:rPr>
          <w:sz w:val="20"/>
          <w:szCs w:val="20"/>
          <w:color w:val="auto"/>
        </w:rPr>
      </w:pPr>
    </w:p>
    <w:p>
      <w:pPr>
        <w:spacing w:after="0" w:line="2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w:t>
      </w:r>
    </w:p>
    <w:p>
      <w:pPr>
        <w:spacing w:after="0" w:line="24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409"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10.10</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BRILLIANT EARTH GROUP, INC.</w:t>
      </w:r>
    </w:p>
    <w:p>
      <w:pPr>
        <w:spacing w:after="0" w:line="2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175"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0"/>
          <w:szCs w:val="20"/>
          <w:b w:val="1"/>
          <w:bCs w:val="1"/>
          <w:color w:val="auto"/>
        </w:rPr>
        <w:t>ARTICLE I.</w:t>
      </w:r>
    </w:p>
    <w:p>
      <w:pPr>
        <w:jc w:val="right"/>
        <w:ind w:right="516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8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As used in the Plan, the following words and phrases have the meanings specified below, unless the context clearly indicates otherwise:</w:t>
      </w:r>
    </w:p>
    <w:p>
      <w:pPr>
        <w:spacing w:after="0" w:line="15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 With reference to the Board’s or a Committee’s powers or authority under the Plan that have been</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delegated to one or more officers pursuant to Section 4.2, the term “Administrator” shall refer to such officer(s) unless and until such delegation has been revoked.</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2.2 “</w:t>
      </w:r>
      <w:r>
        <w:rPr>
          <w:rFonts w:ascii="Times New Roman" w:cs="Times New Roman" w:eastAsia="Times New Roman" w:hAnsi="Times New Roman"/>
          <w:sz w:val="19"/>
          <w:szCs w:val="19"/>
          <w:b w:val="1"/>
          <w:bCs w:val="1"/>
          <w:i w:val="1"/>
          <w:iCs w:val="1"/>
          <w:color w:val="auto"/>
        </w:rPr>
        <w:t>Applicable Law</w:t>
      </w:r>
      <w:r>
        <w:rPr>
          <w:rFonts w:ascii="Times New Roman" w:cs="Times New Roman" w:eastAsia="Times New Roman" w:hAnsi="Times New Roman"/>
          <w:sz w:val="19"/>
          <w:szCs w:val="19"/>
          <w:color w:val="auto"/>
        </w:rPr>
        <w:t>” means any applicable law, including without limitation: (a) provisions of the Code, the Securities Act, the Exchange Act and any rules or regulations thereunder; (b) corporate, securities, tax or other laws, statutes, rules, requirements or regulations,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whether federal, state, local or foreign; and (c) rules of any securities exchange or automated quotation system on which the Shares are listed, quoted or traded.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Automatic Exercise Right</w:t>
      </w:r>
      <w:r>
        <w:rPr>
          <w:rFonts w:ascii="Times New Roman" w:cs="Times New Roman" w:eastAsia="Times New Roman" w:hAnsi="Times New Roman"/>
          <w:sz w:val="20"/>
          <w:szCs w:val="20"/>
          <w:color w:val="auto"/>
        </w:rPr>
        <w:t>” means, with respect to an Option or a Stock Appreciation Right, the last business day of the</w:t>
      </w:r>
    </w:p>
    <w:p>
      <w:pPr>
        <w:spacing w:after="0" w:line="215" w:lineRule="auto"/>
        <w:rPr>
          <w:sz w:val="20"/>
          <w:szCs w:val="20"/>
          <w:color w:val="auto"/>
        </w:rPr>
      </w:pPr>
      <w:r>
        <w:rPr>
          <w:rFonts w:ascii="Times New Roman" w:cs="Times New Roman" w:eastAsia="Times New Roman" w:hAnsi="Times New Roman"/>
          <w:sz w:val="19"/>
          <w:szCs w:val="19"/>
          <w:color w:val="auto"/>
        </w:rPr>
        <w:t>applicable Option term or Stock Appreciation Right term that was initially established by the Administrator for such Option or Stock Appreciation Right (e.g., the last business day prior to the tenth anniversary of the date of grant of such Option or Stock Appreciation Right if</w:t>
      </w:r>
    </w:p>
    <w:p>
      <w:pPr>
        <w:spacing w:after="0"/>
        <w:rPr>
          <w:sz w:val="20"/>
          <w:szCs w:val="20"/>
          <w:color w:val="auto"/>
        </w:rPr>
      </w:pPr>
      <w:r>
        <w:rPr>
          <w:rFonts w:ascii="Times New Roman" w:cs="Times New Roman" w:eastAsia="Times New Roman" w:hAnsi="Times New Roman"/>
          <w:sz w:val="20"/>
          <w:szCs w:val="20"/>
          <w:color w:val="auto"/>
        </w:rPr>
        <w:t>the Option or Stock Appreciation Right initially had a ten-year Option term or Stock Appreciation Right term, as applicable).</w:t>
      </w:r>
    </w:p>
    <w:p>
      <w:pPr>
        <w:spacing w:after="0" w:line="16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 Option award, Stock Appreciation Right award, Restricted Stock award, Restricted Stock Unit award, Performance Bonus Award, Performance Stock Unit award, Dividend Equivalents award or Other Stock or Cash Based Award granted to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under the Plan.</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an agreement evidencing an Award, which may be written or electronic, that contains such terms and conditions as the Administrator determines, consistent with and subject to the terms and conditions of the Plan.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have the meaning ascribed to such term, or term of similar effect, in any offer letter, employment, severance or similar agreement, including any Award Agreement, between the Participant and the Company or any Subsidiary; provided, that in the</w:t>
      </w:r>
    </w:p>
    <w:p>
      <w:pPr>
        <w:spacing w:after="0" w:line="213" w:lineRule="auto"/>
        <w:rPr>
          <w:sz w:val="20"/>
          <w:szCs w:val="20"/>
          <w:color w:val="auto"/>
        </w:rPr>
      </w:pPr>
      <w:r>
        <w:rPr>
          <w:rFonts w:ascii="Times New Roman" w:cs="Times New Roman" w:eastAsia="Times New Roman" w:hAnsi="Times New Roman"/>
          <w:sz w:val="20"/>
          <w:szCs w:val="20"/>
          <w:color w:val="auto"/>
        </w:rPr>
        <w:t>absence of an offer letter, employment, severance or similar agreement containing such definition, “Cause” means (i) any willful, material</w:t>
      </w:r>
    </w:p>
    <w:p>
      <w:pPr>
        <w:spacing w:after="0" w:line="204" w:lineRule="auto"/>
        <w:rPr>
          <w:sz w:val="20"/>
          <w:szCs w:val="20"/>
          <w:color w:val="auto"/>
        </w:rPr>
      </w:pPr>
      <w:r>
        <w:rPr>
          <w:rFonts w:ascii="Times New Roman" w:cs="Times New Roman" w:eastAsia="Times New Roman" w:hAnsi="Times New Roman"/>
          <w:sz w:val="20"/>
          <w:szCs w:val="20"/>
          <w:color w:val="auto"/>
        </w:rPr>
        <w:t>violation by the Participant of any law or regulation applicable to the business of the Company or a Subsidiary or other affiliate of the Company, (ii) the Participant’s conviction for, or guilty plea to, a felony (or crime of similar magnitude under Applicable Law outside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United States) or a crime involving moral turpitude, or any willful perpetration by the Participant of a common law fraud, act of material dishonesty or misappropriation or similar conduct against the Company, (iii)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02-04-2026|</w:t>
      </w:r>
    </w:p>
    <w:p>
      <w:pPr>
        <w:sectPr>
          <w:pgSz w:w="11900" w:h="16838" w:orient="portrait"/>
          <w:cols w:equalWidth="0" w:num="1">
            <w:col w:w="11240"/>
          </w:cols>
          <w:pgMar w:left="320" w:top="1412"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commission of an act of personal dishonesty which involves personal profit in connection with the Company or any other entity having a</w:t>
      </w:r>
    </w:p>
    <w:p>
      <w:pPr>
        <w:spacing w:after="0" w:line="204" w:lineRule="auto"/>
        <w:rPr>
          <w:sz w:val="20"/>
          <w:szCs w:val="20"/>
          <w:color w:val="auto"/>
        </w:rPr>
      </w:pPr>
      <w:r>
        <w:rPr>
          <w:rFonts w:ascii="Times New Roman" w:cs="Times New Roman" w:eastAsia="Times New Roman" w:hAnsi="Times New Roman"/>
          <w:sz w:val="20"/>
          <w:szCs w:val="20"/>
          <w:color w:val="auto"/>
        </w:rPr>
        <w:t>business relationship with the Company, (iv) any material breach or violation by the Participant of any provision of any agreement or understanding between the Company or any Subsidiary or other affiliate of the Company and the Participant regarding the terms of the</w:t>
      </w:r>
    </w:p>
    <w:p>
      <w:pPr>
        <w:spacing w:after="0" w:line="211" w:lineRule="auto"/>
        <w:rPr>
          <w:sz w:val="20"/>
          <w:szCs w:val="20"/>
          <w:color w:val="auto"/>
        </w:rPr>
      </w:pPr>
      <w:r>
        <w:rPr>
          <w:rFonts w:ascii="Times New Roman" w:cs="Times New Roman" w:eastAsia="Times New Roman" w:hAnsi="Times New Roman"/>
          <w:sz w:val="20"/>
          <w:szCs w:val="20"/>
          <w:color w:val="auto"/>
        </w:rPr>
        <w:t>Participant’s service as an employee, officer, director or consultant to the Company or a Subsidiary or other affiliate of the Company,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without limitation, the willful and continued failure or refusal of the Participant to perform the material duties required of such Participant as an employee, officer, director or consultant of the Company or a Subsidiary or other affiliate of the Company, other than as a</w:t>
      </w:r>
    </w:p>
    <w:p>
      <w:pPr>
        <w:spacing w:after="0" w:line="223" w:lineRule="auto"/>
        <w:rPr>
          <w:sz w:val="20"/>
          <w:szCs w:val="20"/>
          <w:color w:val="auto"/>
        </w:rPr>
      </w:pPr>
      <w:r>
        <w:rPr>
          <w:rFonts w:ascii="Times New Roman" w:cs="Times New Roman" w:eastAsia="Times New Roman" w:hAnsi="Times New Roman"/>
          <w:sz w:val="19"/>
          <w:szCs w:val="19"/>
          <w:color w:val="auto"/>
        </w:rPr>
        <w:t>result of having a Disability, or a breach of any applicable invention assignment and confidentiality agreement or similar agreement between</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Company or a Subsidiary or other affiliate of the Company and the Participant, (v) the Participant’s violation of the Company’s code of ethics, (vi) the Participant’s disregard of the policies of the Company or any Subsidiary or other affiliate of the Company so as to cause loss,</w:t>
      </w:r>
    </w:p>
    <w:p>
      <w:pPr>
        <w:spacing w:after="0" w:line="211" w:lineRule="auto"/>
        <w:rPr>
          <w:sz w:val="20"/>
          <w:szCs w:val="20"/>
          <w:color w:val="auto"/>
        </w:rPr>
      </w:pPr>
      <w:r>
        <w:rPr>
          <w:rFonts w:ascii="Times New Roman" w:cs="Times New Roman" w:eastAsia="Times New Roman" w:hAnsi="Times New Roman"/>
          <w:sz w:val="20"/>
          <w:szCs w:val="20"/>
          <w:color w:val="auto"/>
        </w:rPr>
        <w:t>harm, damage or injury to the property, reputation or employees of the Company or a Subsidiary or other affiliate of the Company, or (vii)</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other misconduct by the Participant which is injurious to the financial condition or business reputation of, or is otherwise injurious to, the Company or a Subsidiary or other affiliate of the Company.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any of the following:</w:t>
      </w:r>
    </w:p>
    <w:p>
      <w:pPr>
        <w:spacing w:after="0" w:line="193" w:lineRule="exact"/>
        <w:rPr>
          <w:sz w:val="20"/>
          <w:szCs w:val="20"/>
          <w:color w:val="auto"/>
        </w:rPr>
      </w:pPr>
    </w:p>
    <w:p>
      <w:pPr>
        <w:jc w:val="both"/>
        <w:ind w:firstLine="1304"/>
        <w:spacing w:after="0" w:line="213"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Subsidiary; (ii) any acquisition by an employee benefit plan maintained by the Company or any Subsidiary, (iii) any acquisition which complies with Sections 2.8(c)(i), 2.8(c)(ii) and 2.8(c)(iii);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Incumbent Directors cease for any reason to constitute a majority of the Board;</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1" w:lineRule="exact"/>
        <w:rPr>
          <w:rFonts w:ascii="Times New Roman" w:cs="Times New Roman" w:eastAsia="Times New Roman" w:hAnsi="Times New Roman"/>
          <w:sz w:val="20"/>
          <w:szCs w:val="20"/>
          <w:color w:val="auto"/>
        </w:rPr>
      </w:pPr>
    </w:p>
    <w:p>
      <w:pPr>
        <w:jc w:val="both"/>
        <w:ind w:firstLine="1952"/>
        <w:spacing w:after="0" w:line="217" w:lineRule="auto"/>
        <w:tabs>
          <w:tab w:leader="none" w:pos="259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w:t>
      </w:r>
    </w:p>
    <w:p>
      <w:pPr>
        <w:spacing w:after="0" w:line="161"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91"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which no person or group beneficially owns voting securities representing 50% or more of the combined voting power of the Successor Entity; 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however,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161"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9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43" w:name="page144"/>
    <w:bookmarkEnd w:id="143"/>
    <w:p>
      <w:pPr>
        <w:ind w:left="1940" w:hanging="636"/>
        <w:spacing w:after="0"/>
        <w:tabs>
          <w:tab w:leader="none" w:pos="1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of a liquidation or dissolution of the Company.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2.8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all regulations, guidance, compliance programs and other interpretative authority issued thereunder.</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Directors or executive officers of the Company, to the extent permitted by Applicable Law. To the extent required to comply with the provisions of Rule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16b-3, it is intended that each member of the Committee will be, at the time the Committee takes any action with respect to an Award that is subject to Rule 16b-3, a “non-employee director” within the meaning of Rule 16b-3; however, a Committee member’s failure to qualify as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“non-employee director” within the meaning of Rule 16b-3 will not invalidate any Award granted by the Committee that is otherwise validly granted under the Plan.</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Class A common stock of the Company. class in a capital-raising transaction and does not directly or indirectly promote or maintain a market for the Company’s securities; and (iii) is a natural person.</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if permitted by the Company, the beneficiary or beneficiaries the Participant designates, in a manner the Company determines, to receive amounts due or exercise the Participant’s rights if the Participant dies. Without a Participant’s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designation, “Designated Beneficiary” will mean the Participant’s estate or legal heirs.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Board member.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permanent and total disability under Section 22(e)(3) of the Code.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tab/>
        <w:t>“</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to receive the equivalent value (in cash or Shares) of</w:t>
      </w:r>
    </w:p>
    <w:p>
      <w:pPr>
        <w:jc w:val="both"/>
        <w:spacing w:after="0" w:line="221" w:lineRule="auto"/>
        <w:rPr>
          <w:sz w:val="20"/>
          <w:szCs w:val="20"/>
          <w:color w:val="auto"/>
        </w:rPr>
      </w:pPr>
      <w:r>
        <w:rPr>
          <w:rFonts w:ascii="Times New Roman" w:cs="Times New Roman" w:eastAsia="Times New Roman" w:hAnsi="Times New Roman"/>
          <w:sz w:val="20"/>
          <w:szCs w:val="20"/>
          <w:color w:val="auto"/>
        </w:rPr>
        <w:t>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i w:val="1"/>
          <w:iCs w:val="1"/>
          <w:color w:val="auto"/>
        </w:rPr>
        <w:t>DRO</w:t>
      </w:r>
      <w:r>
        <w:rPr>
          <w:rFonts w:ascii="Times New Roman" w:cs="Times New Roman" w:eastAsia="Times New Roman" w:hAnsi="Times New Roman"/>
          <w:sz w:val="20"/>
          <w:szCs w:val="20"/>
          <w:color w:val="auto"/>
        </w:rPr>
        <w:t>” means a “domestic relations order” as defined by the Code or Title I of the Employee Retirement Income Security Act of 1974, as amended, or the rules thereunder.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has the meaning set forth in Section 11.3.</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employee of the Company or any of its Subsidiaries.</w:t>
      </w:r>
    </w:p>
    <w:p>
      <w:pPr>
        <w:spacing w:after="0" w:line="17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 nonreciprocal transaction between the Company and its stockholders, such as a stock dividend, stock split (including a reverse stock split), spin-off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auto"/>
        </w:rPr>
        <w:t>recapitalization through a large, nonrecurring cash dividend, that affects the number or kind of Shares (or other Company securities) or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share price of Common Stock (or other Company securities) and causes a change in the per share value of the Common Stock underlying outstanding Awards.</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 and all regulations, guidance and other interpretative authority issued thereunder.</w:t>
      </w:r>
    </w:p>
    <w:p>
      <w:pPr>
        <w:spacing w:after="0" w:line="1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2.21 “</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means, as of any date, the value of a Share determined as follows: (i) if the Common Stock is listed on any established stock exchange, the value of a Share will be the closing sales price for a Share as quoted on such exchange for such date, or if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(ii) if the Common Stock is not listed on an established stock exchange but is quoted on a</w:t>
      </w:r>
    </w:p>
    <w:p>
      <w:pPr>
        <w:spacing w:after="0" w:line="223" w:lineRule="auto"/>
        <w:rPr>
          <w:sz w:val="20"/>
          <w:szCs w:val="20"/>
          <w:color w:val="auto"/>
        </w:rPr>
      </w:pPr>
      <w:r>
        <w:rPr>
          <w:rFonts w:ascii="Times New Roman" w:cs="Times New Roman" w:eastAsia="Times New Roman" w:hAnsi="Times New Roman"/>
          <w:sz w:val="19"/>
          <w:szCs w:val="19"/>
          <w:color w:val="auto"/>
        </w:rPr>
        <w:t>national market or other quotation system, the value of a Share will be the closing sales price for a Share on such date, or if no sales occurred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on such date, then on the last date preceding such date during which a sale occurred, as reported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another source the Administrator deems reliable; or (iii) if the Common Stock is not listed on any established stock exchange or quoted on a national market</w:t>
      </w:r>
    </w:p>
    <w:p>
      <w:pPr>
        <w:spacing w:after="0" w:line="222" w:lineRule="auto"/>
        <w:rPr>
          <w:sz w:val="20"/>
          <w:szCs w:val="20"/>
          <w:color w:val="auto"/>
        </w:rPr>
      </w:pPr>
      <w:r>
        <w:rPr>
          <w:rFonts w:ascii="Times New Roman" w:cs="Times New Roman" w:eastAsia="Times New Roman" w:hAnsi="Times New Roman"/>
          <w:sz w:val="19"/>
          <w:szCs w:val="19"/>
          <w:color w:val="auto"/>
        </w:rPr>
        <w:t>or other quotation system, the value established by the Administrator in its sole discretion. Notwithstanding the foregoing, with respect to any</w:t>
      </w:r>
    </w:p>
    <w:p>
      <w:pPr>
        <w:spacing w:after="0" w:line="215" w:lineRule="auto"/>
        <w:rPr>
          <w:sz w:val="20"/>
          <w:szCs w:val="20"/>
          <w:color w:val="auto"/>
        </w:rPr>
      </w:pPr>
      <w:r>
        <w:rPr>
          <w:rFonts w:ascii="Times New Roman" w:cs="Times New Roman" w:eastAsia="Times New Roman" w:hAnsi="Times New Roman"/>
          <w:sz w:val="19"/>
          <w:szCs w:val="19"/>
          <w:color w:val="auto"/>
        </w:rPr>
        <w:t>Award granted after the effectiveness of the Company’s registration statement relating to its initial public offering but prior to the Public Trading Date, the Fair Market Value means the initial public offering price of a Share as set forth in the Company’s final prospectus relating</w:t>
      </w:r>
    </w:p>
    <w:p>
      <w:pPr>
        <w:spacing w:after="0"/>
        <w:rPr>
          <w:sz w:val="20"/>
          <w:szCs w:val="20"/>
          <w:color w:val="auto"/>
        </w:rPr>
      </w:pPr>
      <w:r>
        <w:rPr>
          <w:rFonts w:ascii="Times New Roman" w:cs="Times New Roman" w:eastAsia="Times New Roman" w:hAnsi="Times New Roman"/>
          <w:sz w:val="20"/>
          <w:szCs w:val="20"/>
          <w:color w:val="auto"/>
        </w:rPr>
        <w:t>to its initial public offering filed with the Securities and Exchange Commission.</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2.22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shall have the meaning ascribed to such term, or term of similar effect, in any offer letter, employment, severance or similar agreement, including any Award Agreement, between the Participant and the Company or any Subsidiary; provided, that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 the absence of an offer letter, employment, severance or similar agreement containing such definition, Good Reason means the occurrence of one or more of the following without the Participant’s consent: (i) a material reduction in the Participant’s base compensation or (ii) a</w:t>
      </w:r>
    </w:p>
    <w:p>
      <w:pPr>
        <w:spacing w:after="0" w:line="211" w:lineRule="auto"/>
        <w:rPr>
          <w:sz w:val="20"/>
          <w:szCs w:val="20"/>
          <w:color w:val="auto"/>
        </w:rPr>
      </w:pPr>
      <w:r>
        <w:rPr>
          <w:rFonts w:ascii="Times New Roman" w:cs="Times New Roman" w:eastAsia="Times New Roman" w:hAnsi="Times New Roman"/>
          <w:sz w:val="20"/>
          <w:szCs w:val="20"/>
          <w:color w:val="auto"/>
        </w:rPr>
        <w:t>relocation of the principal place at which the Participant must perform services that increases the Participant’s one way commute by more</w:t>
      </w:r>
    </w:p>
    <w:p>
      <w:pPr>
        <w:spacing w:after="0" w:line="215" w:lineRule="auto"/>
        <w:rPr>
          <w:sz w:val="20"/>
          <w:szCs w:val="20"/>
          <w:color w:val="auto"/>
        </w:rPr>
      </w:pPr>
      <w:r>
        <w:rPr>
          <w:rFonts w:ascii="Times New Roman" w:cs="Times New Roman" w:eastAsia="Times New Roman" w:hAnsi="Times New Roman"/>
          <w:sz w:val="19"/>
          <w:szCs w:val="19"/>
          <w:color w:val="auto"/>
        </w:rPr>
        <w:t>than 35 miles. In order to establish Good Reason, the Participant must provide the Administrator with notice of the event giving rise to Good Reason within 30 days of the occurrence of such event, the event shall remain uncured 30 days thereafter and the Participant must actually</w:t>
      </w:r>
    </w:p>
    <w:p>
      <w:pPr>
        <w:spacing w:after="0"/>
        <w:rPr>
          <w:sz w:val="20"/>
          <w:szCs w:val="20"/>
          <w:color w:val="auto"/>
        </w:rPr>
      </w:pPr>
      <w:r>
        <w:rPr>
          <w:rFonts w:ascii="Times New Roman" w:cs="Times New Roman" w:eastAsia="Times New Roman" w:hAnsi="Times New Roman"/>
          <w:sz w:val="20"/>
          <w:szCs w:val="20"/>
          <w:color w:val="auto"/>
        </w:rPr>
        <w:t>terminate services with the Company within 30 days following the end of such cure period.</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any parent corporation or subsidiary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Company, as determined in accordance with Section 424(e) and (f) of the Code, respectively.</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that meets the requirements to qualify as an “incentive stock option” as defined in Section 422 of the Code.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2.25</w:t>
        <w:tab/>
        <w:t>“</w:t>
      </w:r>
      <w:r>
        <w:rPr>
          <w:rFonts w:ascii="Times New Roman" w:cs="Times New Roman" w:eastAsia="Times New Roman" w:hAnsi="Times New Roman"/>
          <w:sz w:val="20"/>
          <w:szCs w:val="20"/>
          <w:b w:val="1"/>
          <w:bCs w:val="1"/>
          <w:i w:val="1"/>
          <w:iCs w:val="1"/>
          <w:color w:val="auto"/>
        </w:rPr>
        <w:t>Incumbent Directors”</w:t>
      </w:r>
      <w:r>
        <w:rPr>
          <w:rFonts w:ascii="Times New Roman" w:cs="Times New Roman" w:eastAsia="Times New Roman" w:hAnsi="Times New Roman"/>
          <w:sz w:val="20"/>
          <w:szCs w:val="20"/>
          <w:color w:val="auto"/>
        </w:rPr>
        <w:t xml:space="preserve"> means, for any period of 12 consecutive months, individuals who, at the beginning of such period,</w:t>
      </w:r>
    </w:p>
    <w:p>
      <w:pPr>
        <w:spacing w:after="0" w:line="204" w:lineRule="auto"/>
        <w:rPr>
          <w:sz w:val="20"/>
          <w:szCs w:val="20"/>
          <w:color w:val="auto"/>
        </w:rPr>
      </w:pPr>
      <w:r>
        <w:rPr>
          <w:rFonts w:ascii="Times New Roman" w:cs="Times New Roman" w:eastAsia="Times New Roman" w:hAnsi="Times New Roman"/>
          <w:sz w:val="20"/>
          <w:szCs w:val="20"/>
          <w:color w:val="auto"/>
        </w:rPr>
        <w:t>constitute the Board together with any new Director(s) (other than a Director designated by a person who shall have entered into an agreement with the Company to effect a transaction described in clause (a) or (c) of the Change in Control definition) whose election or</w:t>
      </w:r>
    </w:p>
    <w:p>
      <w:pPr>
        <w:spacing w:after="0" w:line="211" w:lineRule="auto"/>
        <w:rPr>
          <w:sz w:val="20"/>
          <w:szCs w:val="20"/>
          <w:color w:val="auto"/>
        </w:rPr>
      </w:pPr>
      <w:r>
        <w:rPr>
          <w:rFonts w:ascii="Times New Roman" w:cs="Times New Roman" w:eastAsia="Times New Roman" w:hAnsi="Times New Roman"/>
          <w:sz w:val="20"/>
          <w:szCs w:val="20"/>
          <w:color w:val="auto"/>
        </w:rPr>
        <w:t>nomination for election to the Board was approved by a vote of at least a majority (either by a specific vote or by approval of the proxy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statement of the Company in which such person is named as a nominee for Director without objection to such nomination) of the Directors then still in office who either were Directors at the beginning of the 12-month period or whose election or nomination for election was</w:t>
      </w:r>
    </w:p>
    <w:p>
      <w:pPr>
        <w:spacing w:after="0" w:line="211" w:lineRule="auto"/>
        <w:rPr>
          <w:sz w:val="20"/>
          <w:szCs w:val="20"/>
          <w:color w:val="auto"/>
        </w:rPr>
      </w:pPr>
      <w:r>
        <w:rPr>
          <w:rFonts w:ascii="Times New Roman" w:cs="Times New Roman" w:eastAsia="Times New Roman" w:hAnsi="Times New Roman"/>
          <w:sz w:val="20"/>
          <w:szCs w:val="20"/>
          <w:color w:val="auto"/>
        </w:rPr>
        <w:t>previously so approved. No individual initially elected or nominated as a director of the Company as a result of an actual or threatened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election contest with respect to Directors or as a result of any other actual or threatened solicitation of proxies by or on behalf of any person other than the Board shall be an Incumbent Director.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Non-Employee Directo</w:t>
      </w:r>
      <w:r>
        <w:rPr>
          <w:rFonts w:ascii="Times New Roman" w:cs="Times New Roman" w:eastAsia="Times New Roman" w:hAnsi="Times New Roman"/>
          <w:sz w:val="19"/>
          <w:szCs w:val="19"/>
          <w:i w:val="1"/>
          <w:iCs w:val="1"/>
          <w:color w:val="auto"/>
        </w:rPr>
        <w:t>r</w:t>
      </w:r>
      <w:r>
        <w:rPr>
          <w:rFonts w:ascii="Times New Roman" w:cs="Times New Roman" w:eastAsia="Times New Roman" w:hAnsi="Times New Roman"/>
          <w:sz w:val="19"/>
          <w:szCs w:val="19"/>
          <w:color w:val="auto"/>
        </w:rPr>
        <w:t>” means a Director who is not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45" w:name="page146"/>
    <w:bookmarkEnd w:id="14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means an Option that is not an Incentive Stock Option.</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57"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(i) 10,904,698 plus (ii) an increase commencing on January 1, 2022 and continuing annually on the anniversary thereof through (and including) January 1, 2031, equal to the lesser of (A) 5% of the Shares outstanding on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last day of the immediately preceding calendar year (calculated on an as-converted basis) and (B) such smaller number of Shares as determined by the Board or the Committee.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Service Provider who has been granted an Award.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Bonus Award</w:t>
      </w:r>
      <w:r>
        <w:rPr>
          <w:rFonts w:ascii="Times New Roman" w:cs="Times New Roman" w:eastAsia="Times New Roman" w:hAnsi="Times New Roman"/>
          <w:sz w:val="19"/>
          <w:szCs w:val="19"/>
          <w:color w:val="auto"/>
        </w:rPr>
        <w:t>” has the meaning set forth in Section 8.3.</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2.33 “</w:t>
      </w:r>
      <w:r>
        <w:rPr>
          <w:rFonts w:ascii="Times New Roman" w:cs="Times New Roman" w:eastAsia="Times New Roman" w:hAnsi="Times New Roman"/>
          <w:sz w:val="20"/>
          <w:szCs w:val="20"/>
          <w:b w:val="1"/>
          <w:bCs w:val="1"/>
          <w:i w:val="1"/>
          <w:iCs w:val="1"/>
          <w:color w:val="auto"/>
        </w:rPr>
        <w:t>Performance Stock Unit</w:t>
      </w:r>
      <w:r>
        <w:rPr>
          <w:rFonts w:ascii="Times New Roman" w:cs="Times New Roman" w:eastAsia="Times New Roman" w:hAnsi="Times New Roman"/>
          <w:sz w:val="20"/>
          <w:szCs w:val="20"/>
          <w:color w:val="auto"/>
        </w:rPr>
        <w:t>” means a right granted to a Participant pursuant to Section 8.1 and subject to Section 8.2, to receive cash or Shares, the payment of which is contingent upon achieving certain performance goals or other performance-based targets established by the Administrator.</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b w:val="1"/>
          <w:bCs w:val="1"/>
          <w:i w:val="1"/>
          <w:iCs w:val="1"/>
          <w:color w:val="auto"/>
        </w:rPr>
        <w:t>Permitted Transferee</w:t>
      </w:r>
      <w:r>
        <w:rPr>
          <w:rFonts w:ascii="Times New Roman" w:cs="Times New Roman" w:eastAsia="Times New Roman" w:hAnsi="Times New Roman"/>
          <w:sz w:val="20"/>
          <w:szCs w:val="20"/>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2021 Incentive Award Plan.</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b w:val="1"/>
          <w:bCs w:val="1"/>
          <w:i w:val="1"/>
          <w:iCs w:val="1"/>
          <w:color w:val="auto"/>
        </w:rPr>
        <w:t>Public Trading Date</w:t>
      </w:r>
      <w:r>
        <w:rPr>
          <w:rFonts w:ascii="Times New Roman" w:cs="Times New Roman" w:eastAsia="Times New Roman" w:hAnsi="Times New Roman"/>
          <w:sz w:val="20"/>
          <w:szCs w:val="20"/>
          <w:color w:val="auto"/>
        </w:rPr>
        <w:t>” means the first date upon which Common Stock is listed (or approved for listing) upon notice of issuance on any securities exchange or designated (or approved for designation) upon notice of issuance as a national market security on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interdealer quotation system.</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2.37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Article VII, subject to certain vesting conditions and other restrictions.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2.38</w:t>
        <w:tab/>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amount in cash or other consideration determined by the Administrator to be equal to the Fair Market Value as of such settlement date, subject to certain vesting conditions and other restrictions.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 including any amendments thereto.</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the regulations promulgated thereunder by the United States Treasury Department, as amended or as may be amended from time to time.</w:t>
      </w:r>
    </w:p>
    <w:p>
      <w:pPr>
        <w:spacing w:after="0" w:line="157"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 and all regulations, guidance and other interpretative authority issued thereunder.</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Service Provider</w:t>
      </w:r>
      <w:r>
        <w:rPr>
          <w:rFonts w:ascii="Times New Roman" w:cs="Times New Roman" w:eastAsia="Times New Roman" w:hAnsi="Times New Roman"/>
          <w:sz w:val="19"/>
          <w:szCs w:val="19"/>
          <w:color w:val="auto"/>
        </w:rPr>
        <w:t>” means an Employee, Consultant or Director.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146" w:name="page147"/>
    <w:bookmarkEnd w:id="146"/>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SAR</w:t>
      </w:r>
      <w:r>
        <w:rPr>
          <w:rFonts w:ascii="Times New Roman" w:cs="Times New Roman" w:eastAsia="Times New Roman" w:hAnsi="Times New Roman"/>
          <w:sz w:val="19"/>
          <w:szCs w:val="19"/>
          <w:color w:val="auto"/>
        </w:rPr>
        <w:t>” means a right granted under Article VI to receive a payment equal to the excess of the</w:t>
      </w:r>
    </w:p>
    <w:p>
      <w:pPr>
        <w:spacing w:after="0" w:line="4"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Fair Market Value of a specified number of Shares on the date the right is exercised over the exercise price set forth in the applicable Award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2.45</w:t>
        <w:tab/>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U.S. or non-U.S., in an unbroken chain of entities</w:t>
      </w:r>
    </w:p>
    <w:p>
      <w:pPr>
        <w:spacing w:after="0" w:line="204" w:lineRule="auto"/>
        <w:rPr>
          <w:sz w:val="20"/>
          <w:szCs w:val="20"/>
          <w:color w:val="auto"/>
        </w:rPr>
      </w:pPr>
      <w:r>
        <w:rPr>
          <w:rFonts w:ascii="Times New Roman" w:cs="Times New Roman" w:eastAsia="Times New Roman" w:hAnsi="Times New Roman"/>
          <w:sz w:val="20"/>
          <w:szCs w:val="20"/>
          <w:color w:val="auto"/>
        </w:rPr>
        <w:t>beginning with the Company if each of the entities other than the last entity in the unbroken chain beneficially owns, at the time of the determination, securities or interests representing at least 50% of the total combined voting power of all classes of securities or interests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of the other entities in such chain.</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2.46 “</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means Awards granted or Shares issued by the Company in assumption of, or in substitution or exchange for, awards previously granted, or the right or obligation to make future awards, in each case by a company or other entity acquired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Company or any Subsidiary or with which the Company or any Subsidiary combines.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2.47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means any U.S. and non-U.S. federal, state and/or local taxes (including, without limitation, income tax, social insurance contributions, fringe benefit tax, employment tax, stamp tax and any employer tax liability which has been transferred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Participant) for which a Participant is liable in connection with Awards and/or Shares.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of Service</w:t>
      </w:r>
      <w:r>
        <w:rPr>
          <w:rFonts w:ascii="Times New Roman" w:cs="Times New Roman" w:eastAsia="Times New Roman" w:hAnsi="Times New Roman"/>
          <w:sz w:val="19"/>
          <w:szCs w:val="19"/>
          <w:color w:val="auto"/>
        </w:rPr>
        <w:t>” means:</w:t>
      </w:r>
    </w:p>
    <w:p>
      <w:pPr>
        <w:spacing w:after="0" w:line="179" w:lineRule="exact"/>
        <w:rPr>
          <w:sz w:val="20"/>
          <w:szCs w:val="20"/>
          <w:color w:val="auto"/>
        </w:rPr>
      </w:pPr>
    </w:p>
    <w:p>
      <w:pPr>
        <w:jc w:val="both"/>
        <w:ind w:firstLine="1304"/>
        <w:spacing w:after="0" w:line="244" w:lineRule="auto"/>
        <w:tabs>
          <w:tab w:leader="none" w:pos="193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43"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u w:val="single" w:color="auto"/>
          <w:color w:val="auto"/>
        </w:rPr>
        <w:t>2.49</w:t>
      </w:r>
      <w:r>
        <w:rPr>
          <w:rFonts w:ascii="Times New Roman" w:cs="Times New Roman" w:eastAsia="Times New Roman" w:hAnsi="Times New Roman"/>
          <w:sz w:val="20"/>
          <w:szCs w:val="20"/>
          <w:color w:val="auto"/>
        </w:rPr>
        <w:t xml:space="preserve"> 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1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ind w:left="500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6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 No Service Provider shall have any right to be granted an Award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and neither the Company nor the Administrator is obligated to treat Service Providers, Participants or any other persons uniformly.</w:t>
      </w:r>
    </w:p>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w:t>
      </w:r>
    </w:p>
    <w:p>
      <w:pPr>
        <w:jc w:val="both"/>
        <w:ind w:firstLine="1304"/>
        <w:spacing w:after="0" w:line="209"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62"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Delegation of Authority</w:t>
      </w:r>
      <w:r>
        <w:rPr>
          <w:rFonts w:ascii="Times New Roman" w:cs="Times New Roman" w:eastAsia="Times New Roman" w:hAnsi="Times New Roman"/>
          <w:sz w:val="19"/>
          <w:szCs w:val="19"/>
          <w:color w:val="auto"/>
        </w:rPr>
        <w:t>. To the extent permitted by Applicable Law, the Board or any Committee may delegate any or all of</w:t>
      </w:r>
    </w:p>
    <w:p>
      <w:pPr>
        <w:spacing w:after="0" w:line="204" w:lineRule="auto"/>
        <w:rPr>
          <w:sz w:val="20"/>
          <w:szCs w:val="20"/>
          <w:color w:val="auto"/>
        </w:rPr>
      </w:pPr>
      <w:r>
        <w:rPr>
          <w:rFonts w:ascii="Times New Roman" w:cs="Times New Roman" w:eastAsia="Times New Roman" w:hAnsi="Times New Roman"/>
          <w:sz w:val="20"/>
          <w:szCs w:val="20"/>
          <w:color w:val="auto"/>
        </w:rPr>
        <w:t>its powers under the Plan to one or more Committees or officers of the Company or any of its Subsidiaries; provided, however, that in no event shall an officer of the Company or any of its Subsidiaries be delegated the authority to grant Awards to, or amend Awards held by, the</w:t>
      </w:r>
    </w:p>
    <w:p>
      <w:pPr>
        <w:spacing w:after="0" w:line="211" w:lineRule="auto"/>
        <w:rPr>
          <w:sz w:val="20"/>
          <w:szCs w:val="20"/>
          <w:color w:val="auto"/>
        </w:rPr>
      </w:pPr>
      <w:r>
        <w:rPr>
          <w:rFonts w:ascii="Times New Roman" w:cs="Times New Roman" w:eastAsia="Times New Roman" w:hAnsi="Times New Roman"/>
          <w:sz w:val="20"/>
          <w:szCs w:val="20"/>
          <w:color w:val="auto"/>
        </w:rPr>
        <w:t>following individuals: (a) individuals who are subject to Section 16 of the Exchange Act, or (b) officers of the Company or any of its</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Subsidiaries or Directors to whom authority to grant or amend Awards has been delegated hereunder. Any delegation hereunder shall be subject to the restrictions and limits that the Board or Committee specifies at the time of such delegation or that are otherwise included in the</w:t>
      </w:r>
    </w:p>
    <w:p>
      <w:pPr>
        <w:spacing w:after="0" w:line="211" w:lineRule="auto"/>
        <w:rPr>
          <w:sz w:val="20"/>
          <w:szCs w:val="20"/>
          <w:color w:val="auto"/>
        </w:rPr>
      </w:pPr>
      <w:r>
        <w:rPr>
          <w:rFonts w:ascii="Times New Roman" w:cs="Times New Roman" w:eastAsia="Times New Roman" w:hAnsi="Times New Roman"/>
          <w:sz w:val="20"/>
          <w:szCs w:val="20"/>
          <w:color w:val="auto"/>
        </w:rPr>
        <w:t>applicable organizational documents, and the Board or Committee, as applicable, may at any time rescind the authority so delegated or</w:t>
      </w:r>
    </w:p>
    <w:p>
      <w:pPr>
        <w:spacing w:after="0" w:line="204" w:lineRule="auto"/>
        <w:rPr>
          <w:sz w:val="20"/>
          <w:szCs w:val="20"/>
          <w:color w:val="auto"/>
        </w:rPr>
      </w:pPr>
      <w:r>
        <w:rPr>
          <w:rFonts w:ascii="Times New Roman" w:cs="Times New Roman" w:eastAsia="Times New Roman" w:hAnsi="Times New Roman"/>
          <w:sz w:val="20"/>
          <w:szCs w:val="20"/>
          <w:color w:val="auto"/>
        </w:rPr>
        <w:t>appoint a new delegatee. At all times, the delegatee appointed under this Section 4.2 shall serve in such capacity at the pleasure of the Board or the Committee, as applicable, and the Board or the Committee may abolish any committee at any time and re-vest in itself any previously</w:t>
      </w:r>
    </w:p>
    <w:p>
      <w:pPr>
        <w:spacing w:after="0" w:line="211" w:lineRule="auto"/>
        <w:rPr>
          <w:sz w:val="20"/>
          <w:szCs w:val="20"/>
          <w:color w:val="auto"/>
        </w:rPr>
      </w:pPr>
      <w:r>
        <w:rPr>
          <w:rFonts w:ascii="Times New Roman" w:cs="Times New Roman" w:eastAsia="Times New Roman" w:hAnsi="Times New Roman"/>
          <w:sz w:val="20"/>
          <w:szCs w:val="20"/>
          <w:color w:val="auto"/>
        </w:rPr>
        <w:t>delegated authority. Further, regardless of any delegation, the Board or a Committee may, in its discretion, exercise any and all rights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duties as the Administrator under the Plan delegated thereby, except with respect to Awards that are required to be determined in the sole discretion of the Board or Committee under the rules of any securities exchange or automated quotation system on which the Shares are</w:t>
      </w:r>
    </w:p>
    <w:p>
      <w:pPr>
        <w:spacing w:after="0" w:line="211" w:lineRule="auto"/>
        <w:rPr>
          <w:sz w:val="20"/>
          <w:szCs w:val="20"/>
          <w:color w:val="auto"/>
        </w:rPr>
      </w:pPr>
      <w:r>
        <w:rPr>
          <w:rFonts w:ascii="Times New Roman" w:cs="Times New Roman" w:eastAsia="Times New Roman" w:hAnsi="Times New Roman"/>
          <w:sz w:val="20"/>
          <w:szCs w:val="20"/>
          <w:color w:val="auto"/>
        </w:rPr>
        <w:t>listed, quoted or traded.</w:t>
      </w:r>
    </w:p>
    <w:p>
      <w:pPr>
        <w:ind w:left="5000"/>
        <w:spacing w:after="0" w:line="198" w:lineRule="auto"/>
        <w:rPr>
          <w:sz w:val="20"/>
          <w:szCs w:val="20"/>
          <w:color w:val="auto"/>
        </w:rPr>
      </w:pPr>
      <w:r>
        <w:rPr>
          <w:rFonts w:ascii="Times New Roman" w:cs="Times New Roman" w:eastAsia="Times New Roman" w:hAnsi="Times New Roman"/>
          <w:sz w:val="20"/>
          <w:szCs w:val="20"/>
          <w:b w:val="1"/>
          <w:bCs w:val="1"/>
          <w:color w:val="auto"/>
        </w:rPr>
        <w:t>ARTICLE V.</w:t>
      </w:r>
    </w:p>
    <w:p>
      <w:pPr>
        <w:ind w:left="4020"/>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adjustment under Article IX and the terms of this Article V, Awards may be made under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Plan covering up to the Overall Share Limit. Shares issued or delivered under the Plan may consist of authorized but unissued Shares, Shares purchased on the open market or treasury Shares.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48" w:name="page149"/>
    <w:bookmarkEnd w:id="14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Share Recycling</w:t>
      </w:r>
      <w:r>
        <w:rPr>
          <w:rFonts w:ascii="Times New Roman" w:cs="Times New Roman" w:eastAsia="Times New Roman" w:hAnsi="Times New Roman"/>
          <w:sz w:val="19"/>
          <w:szCs w:val="19"/>
          <w:color w:val="auto"/>
        </w:rPr>
        <w:t>.</w:t>
      </w:r>
    </w:p>
    <w:p>
      <w:pPr>
        <w:jc w:val="both"/>
        <w:ind w:firstLine="1304"/>
        <w:spacing w:after="0" w:line="212"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part of 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shares or not issuing any Shares covered by the Award, the unused Shares covered by the Award will, as applicable, become or again be available, in each case, as Common Stock for Awards under the Plan. The payment of Dividend Equivalents in cash in conjunction with any outstanding Awards shall not count against the Overall Share Limit.</w:t>
      </w:r>
    </w:p>
    <w:p>
      <w:pPr>
        <w:spacing w:after="0" w:line="14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following shall be available as Shares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15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81,883,874 Shares (as adjusted to reflect any Equity Restructuring) may be issued pursuant to the exercise of Incentive Stock Options.</w:t>
      </w:r>
    </w:p>
    <w:p>
      <w:pPr>
        <w:spacing w:after="0" w:line="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Substitute Awards</w:t>
      </w:r>
      <w:r>
        <w:rPr>
          <w:rFonts w:ascii="Times New Roman" w:cs="Times New Roman" w:eastAsia="Times New Roman" w:hAnsi="Times New Roman"/>
          <w:sz w:val="19"/>
          <w:szCs w:val="19"/>
          <w:color w:val="auto"/>
        </w:rPr>
        <w:t>. In connection with an entity’s merger or consolidation with the Company or any Subsidiary or the Company’s or any Subsidiary’s acquisition of an entity’s property or stock, the Administrator may grant Substitute Awards in respect of any</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options or other stock or stock-based awards granted before such merger or consolidation by such entity or its affiliate. Substitute Awards may be granted on such terms and conditions as the Administrator deems appropriate, notwithstanding limitations on Awards in the Plan.</w:t>
      </w:r>
    </w:p>
    <w:p>
      <w:pPr>
        <w:spacing w:after="0" w:line="211" w:lineRule="auto"/>
        <w:rPr>
          <w:sz w:val="20"/>
          <w:szCs w:val="20"/>
          <w:color w:val="auto"/>
        </w:rPr>
      </w:pPr>
      <w:r>
        <w:rPr>
          <w:rFonts w:ascii="Times New Roman" w:cs="Times New Roman" w:eastAsia="Times New Roman" w:hAnsi="Times New Roman"/>
          <w:sz w:val="20"/>
          <w:szCs w:val="20"/>
          <w:color w:val="auto"/>
        </w:rPr>
        <w:t>Substitute Awards will not count against the Overall Share Limit (nor shall Shares subject to a Substitute Award be added to the Shares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available for Awards under the Plan as provided under Section 5.2 above), except that Shares acquired by exercise of substitute Incentive Stock Options will count against the maximum number of Shares that may be issued pursuant to the exercise of Incentive Stock Options</w:t>
      </w:r>
    </w:p>
    <w:p>
      <w:pPr>
        <w:spacing w:after="0" w:line="211" w:lineRule="auto"/>
        <w:rPr>
          <w:sz w:val="20"/>
          <w:szCs w:val="20"/>
          <w:color w:val="auto"/>
        </w:rPr>
      </w:pPr>
      <w:r>
        <w:rPr>
          <w:rFonts w:ascii="Times New Roman" w:cs="Times New Roman" w:eastAsia="Times New Roman" w:hAnsi="Times New Roman"/>
          <w:sz w:val="20"/>
          <w:szCs w:val="20"/>
          <w:color w:val="auto"/>
        </w:rPr>
        <w:t>under the Plan. Additionally, in the event that a company acquired by the Company or any Subsidiary or with which the Company 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combines has shares available under a pre-existing plan approved by stockholders and not adopted in contemplation of such acquisition or combination, the shares available for grant pursuant to the terms of such pre-existing plan (as appropriately adjusted to reflect</w:t>
      </w:r>
    </w:p>
    <w:p>
      <w:pPr>
        <w:spacing w:after="0" w:line="211" w:lineRule="auto"/>
        <w:rPr>
          <w:sz w:val="20"/>
          <w:szCs w:val="20"/>
          <w:color w:val="auto"/>
        </w:rPr>
      </w:pPr>
      <w:r>
        <w:rPr>
          <w:rFonts w:ascii="Times New Roman" w:cs="Times New Roman" w:eastAsia="Times New Roman" w:hAnsi="Times New Roman"/>
          <w:sz w:val="20"/>
          <w:szCs w:val="20"/>
          <w:color w:val="auto"/>
        </w:rPr>
        <w:t>the transaction) may be used for Awards under the Plan and shall not count against the Overall Share Limit (and Shares subject to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Awards may again become available for Awards under the Plan as provided under Section 5.2 above); provided that Awards using such available shares shall not be made after the date awards or grants could have been made under the terms of the pre-existing plan, absent the</w:t>
      </w:r>
    </w:p>
    <w:p>
      <w:pPr>
        <w:spacing w:after="0" w:line="211" w:lineRule="auto"/>
        <w:rPr>
          <w:sz w:val="20"/>
          <w:szCs w:val="20"/>
          <w:color w:val="auto"/>
        </w:rPr>
      </w:pPr>
      <w:r>
        <w:rPr>
          <w:rFonts w:ascii="Times New Roman" w:cs="Times New Roman" w:eastAsia="Times New Roman" w:hAnsi="Times New Roman"/>
          <w:sz w:val="20"/>
          <w:szCs w:val="20"/>
          <w:color w:val="auto"/>
        </w:rPr>
        <w:t>acquisition or combination, and shall only be made to individuals who were not Service Providers prior to such acquisition or combination.</w:t>
      </w:r>
    </w:p>
    <w:p>
      <w:pPr>
        <w:spacing w:after="0" w:line="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5.5 </w:t>
      </w:r>
      <w:r>
        <w:rPr>
          <w:rFonts w:ascii="Times New Roman" w:cs="Times New Roman" w:eastAsia="Times New Roman" w:hAnsi="Times New Roman"/>
          <w:sz w:val="19"/>
          <w:szCs w:val="19"/>
          <w:u w:val="single" w:color="auto"/>
          <w:color w:val="auto"/>
        </w:rPr>
        <w:t>Non-Employee Director Award Limit</w:t>
      </w:r>
      <w:r>
        <w:rPr>
          <w:rFonts w:ascii="Times New Roman" w:cs="Times New Roman" w:eastAsia="Times New Roman" w:hAnsi="Times New Roman"/>
          <w:sz w:val="19"/>
          <w:szCs w:val="19"/>
          <w:color w:val="auto"/>
        </w:rPr>
        <w:t>. Notwithstanding any provision to the contrary in the Plan or in any policy of the Company regarding non-employee director compensation, the sum of the grant date fair value (determined as of the grant date in accordance</w:t>
      </w:r>
    </w:p>
    <w:p>
      <w:pPr>
        <w:spacing w:after="0" w:line="211" w:lineRule="auto"/>
        <w:rPr>
          <w:sz w:val="20"/>
          <w:szCs w:val="20"/>
          <w:color w:val="auto"/>
        </w:rPr>
      </w:pPr>
      <w:r>
        <w:rPr>
          <w:rFonts w:ascii="Times New Roman" w:cs="Times New Roman" w:eastAsia="Times New Roman" w:hAnsi="Times New Roman"/>
          <w:sz w:val="20"/>
          <w:szCs w:val="20"/>
          <w:color w:val="auto"/>
        </w:rPr>
        <w:t>with Financial Accounting Standards Board Accounting Standards Codification Topic 718, or any successor thereto) of all equity-based</w:t>
      </w:r>
    </w:p>
    <w:p>
      <w:pPr>
        <w:spacing w:after="0" w:line="215" w:lineRule="auto"/>
        <w:rPr>
          <w:sz w:val="20"/>
          <w:szCs w:val="20"/>
          <w:color w:val="auto"/>
        </w:rPr>
      </w:pPr>
      <w:r>
        <w:rPr>
          <w:rFonts w:ascii="Times New Roman" w:cs="Times New Roman" w:eastAsia="Times New Roman" w:hAnsi="Times New Roman"/>
          <w:sz w:val="19"/>
          <w:szCs w:val="19"/>
          <w:color w:val="auto"/>
        </w:rPr>
        <w:t>Awards and the maximum amount that may become payable pursuant to all cash-based Awards that may be granted to a Service Provider as compensation for services as a Non-Employee Director during any calendar year shall not exceed $1,000,000 for such Service Provider’s first</w:t>
      </w:r>
    </w:p>
    <w:p>
      <w:pPr>
        <w:spacing w:after="0"/>
        <w:rPr>
          <w:sz w:val="20"/>
          <w:szCs w:val="20"/>
          <w:color w:val="auto"/>
        </w:rPr>
      </w:pPr>
      <w:r>
        <w:rPr>
          <w:rFonts w:ascii="Times New Roman" w:cs="Times New Roman" w:eastAsia="Times New Roman" w:hAnsi="Times New Roman"/>
          <w:sz w:val="20"/>
          <w:szCs w:val="20"/>
          <w:color w:val="auto"/>
        </w:rPr>
        <w:t>year of service as a Non-Employee Director and $750,000 for each year thereafter.</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VI.</w:t>
      </w: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Options or Stock Appreciation Rights to one or more Service Providers, subject to</w:t>
      </w:r>
    </w:p>
    <w:p>
      <w:pPr>
        <w:spacing w:after="0" w:line="221" w:lineRule="auto"/>
        <w:rPr>
          <w:sz w:val="20"/>
          <w:szCs w:val="20"/>
          <w:color w:val="auto"/>
        </w:rPr>
      </w:pPr>
      <w:r>
        <w:rPr>
          <w:rFonts w:ascii="Times New Roman" w:cs="Times New Roman" w:eastAsia="Times New Roman" w:hAnsi="Times New Roman"/>
          <w:sz w:val="20"/>
          <w:szCs w:val="20"/>
          <w:color w:val="auto"/>
        </w:rPr>
        <w:t>such terms and conditions not inconsistent with the Plan as the Administrator shall determine. The Administrator will determine the number of Shares covered by each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Option and Stock Appreciation Right, the exercise price of each Option and Stock Appreciation Right and the conditions and limitations</w:t>
      </w:r>
    </w:p>
    <w:p>
      <w:pPr>
        <w:spacing w:after="0" w:line="204" w:lineRule="auto"/>
        <w:rPr>
          <w:sz w:val="20"/>
          <w:szCs w:val="20"/>
          <w:color w:val="auto"/>
        </w:rPr>
      </w:pPr>
      <w:r>
        <w:rPr>
          <w:rFonts w:ascii="Times New Roman" w:cs="Times New Roman" w:eastAsia="Times New Roman" w:hAnsi="Times New Roman"/>
          <w:sz w:val="20"/>
          <w:szCs w:val="20"/>
          <w:color w:val="auto"/>
        </w:rPr>
        <w:t>applicable to the exercise of each Option and Stock Appreciation Right. A Stock Appreciation Right will entitle the Participant (or other person entitled to exercise the Stock Appreciation Right) to receive from the Company upon exercise of the exercisable portion of the Stock</w:t>
      </w:r>
    </w:p>
    <w:p>
      <w:pPr>
        <w:spacing w:after="0" w:line="223" w:lineRule="auto"/>
        <w:rPr>
          <w:sz w:val="20"/>
          <w:szCs w:val="20"/>
          <w:color w:val="auto"/>
        </w:rPr>
      </w:pPr>
      <w:r>
        <w:rPr>
          <w:rFonts w:ascii="Times New Roman" w:cs="Times New Roman" w:eastAsia="Times New Roman" w:hAnsi="Times New Roman"/>
          <w:sz w:val="19"/>
          <w:szCs w:val="19"/>
          <w:color w:val="auto"/>
        </w:rPr>
        <w:t>Appreciation Right an amount determined by multiplying (x) the excess, if any, of the Fair Market Value of one Share on the date of exercise</w:t>
      </w:r>
    </w:p>
    <w:p>
      <w:pPr>
        <w:spacing w:after="0" w:line="204" w:lineRule="auto"/>
        <w:rPr>
          <w:sz w:val="20"/>
          <w:szCs w:val="20"/>
          <w:color w:val="auto"/>
        </w:rPr>
      </w:pPr>
      <w:r>
        <w:rPr>
          <w:rFonts w:ascii="Times New Roman" w:cs="Times New Roman" w:eastAsia="Times New Roman" w:hAnsi="Times New Roman"/>
          <w:sz w:val="20"/>
          <w:szCs w:val="20"/>
          <w:color w:val="auto"/>
        </w:rPr>
        <w:t>over the exercise price per Share of the Stock Appreciation Right by (y) the number of Shares with respect to which the Stock Appreciation Right is exercised, subject to any limitations of the Plan or that the Administrator may impose, and payable in cash, Shares valued at Fair</w:t>
      </w:r>
    </w:p>
    <w:p>
      <w:pPr>
        <w:spacing w:after="0" w:line="211" w:lineRule="auto"/>
        <w:rPr>
          <w:sz w:val="20"/>
          <w:szCs w:val="20"/>
          <w:color w:val="auto"/>
        </w:rPr>
      </w:pPr>
      <w:r>
        <w:rPr>
          <w:rFonts w:ascii="Times New Roman" w:cs="Times New Roman" w:eastAsia="Times New Roman" w:hAnsi="Times New Roman"/>
          <w:sz w:val="20"/>
          <w:szCs w:val="20"/>
          <w:color w:val="auto"/>
        </w:rPr>
        <w:t>Market Value on the date of exercise or a combination of the two as the Administrator may determine or provide in the Award Agreement.</w:t>
      </w:r>
    </w:p>
    <w:p>
      <w:pPr>
        <w:spacing w:after="0" w:line="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Administrator will establish each Option’s and Stock Appreciation Right’s exercise price and specify the exercise price in the Award Agreement. Subject to Section 6.7, the exercise price will not be less than 100% of the Fair Market Value on the</w:t>
      </w:r>
    </w:p>
    <w:p>
      <w:pPr>
        <w:spacing w:after="0" w:line="211" w:lineRule="auto"/>
        <w:rPr>
          <w:sz w:val="20"/>
          <w:szCs w:val="20"/>
          <w:color w:val="auto"/>
        </w:rPr>
      </w:pPr>
      <w:r>
        <w:rPr>
          <w:rFonts w:ascii="Times New Roman" w:cs="Times New Roman" w:eastAsia="Times New Roman" w:hAnsi="Times New Roman"/>
          <w:sz w:val="20"/>
          <w:szCs w:val="20"/>
          <w:color w:val="auto"/>
        </w:rPr>
        <w:t>grant date of the Option or Stock Appreciation Right. Notwithstanding the foregoing, in the case of an Option or Stock Appreciation Right</w:t>
      </w:r>
    </w:p>
    <w:p>
      <w:pPr>
        <w:spacing w:after="0" w:line="204" w:lineRule="auto"/>
        <w:rPr>
          <w:sz w:val="20"/>
          <w:szCs w:val="20"/>
          <w:color w:val="auto"/>
        </w:rPr>
      </w:pPr>
      <w:r>
        <w:rPr>
          <w:rFonts w:ascii="Times New Roman" w:cs="Times New Roman" w:eastAsia="Times New Roman" w:hAnsi="Times New Roman"/>
          <w:sz w:val="20"/>
          <w:szCs w:val="20"/>
          <w:color w:val="auto"/>
        </w:rPr>
        <w:t>that is a Substitute Award, the exercise price per share of the Shares subject to such Option or Stock Appreciation Right, as applicable, may be less than the Fair Market Value on the date of grant; provided that the exercise price of any Substitute Award shall be determined in</w:t>
      </w:r>
    </w:p>
    <w:p>
      <w:pPr>
        <w:spacing w:after="0" w:line="211" w:lineRule="auto"/>
        <w:rPr>
          <w:sz w:val="20"/>
          <w:szCs w:val="20"/>
          <w:color w:val="auto"/>
        </w:rPr>
      </w:pPr>
      <w:r>
        <w:rPr>
          <w:rFonts w:ascii="Times New Roman" w:cs="Times New Roman" w:eastAsia="Times New Roman" w:hAnsi="Times New Roman"/>
          <w:sz w:val="20"/>
          <w:szCs w:val="20"/>
          <w:color w:val="auto"/>
        </w:rPr>
        <w:t>accordance with the applicable requirements of Sections 424 and 409A of the Code.</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color w:val="auto"/>
        </w:rPr>
        <w:t>. Subject to Section 6.7, each Option or Stock Appreciation Right will be exercisable at such times and as specified in the Award Agreement, provided that the term of an Option or Stock Appreciation Right will not exceed ten years; provided,</w:t>
      </w:r>
    </w:p>
    <w:p>
      <w:pPr>
        <w:spacing w:after="0" w:line="211" w:lineRule="auto"/>
        <w:rPr>
          <w:sz w:val="20"/>
          <w:szCs w:val="20"/>
          <w:color w:val="auto"/>
        </w:rPr>
      </w:pPr>
      <w:r>
        <w:rPr>
          <w:rFonts w:ascii="Times New Roman" w:cs="Times New Roman" w:eastAsia="Times New Roman" w:hAnsi="Times New Roman"/>
          <w:sz w:val="20"/>
          <w:szCs w:val="20"/>
          <w:color w:val="auto"/>
        </w:rPr>
        <w:t>further, that, unless otherwise determined by the Administrator or specified in the Award Agreement, (a) no portion of an Option or Stock</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w:t>
      </w:r>
    </w:p>
    <w:p>
      <w:pPr>
        <w:spacing w:after="0" w:line="204" w:lineRule="auto"/>
        <w:rPr>
          <w:sz w:val="20"/>
          <w:szCs w:val="20"/>
          <w:color w:val="auto"/>
        </w:rPr>
      </w:pPr>
      <w:r>
        <w:rPr>
          <w:rFonts w:ascii="Times New Roman" w:cs="Times New Roman" w:eastAsia="Times New Roman" w:hAnsi="Times New Roman"/>
          <w:sz w:val="20"/>
          <w:szCs w:val="20"/>
          <w:color w:val="auto"/>
        </w:rPr>
        <w:t>such Termination of Service. In addition, in no event shall an Option or Stock Appreciation Right granted to an Employee who is a non-exempt employee for purposes of overtime pay under the U.S. Fair Labor Standards Act of 1938 be exercisable earlier than six months after</w:t>
      </w:r>
    </w:p>
    <w:p>
      <w:pPr>
        <w:spacing w:after="0" w:line="211" w:lineRule="auto"/>
        <w:rPr>
          <w:sz w:val="20"/>
          <w:szCs w:val="20"/>
          <w:color w:val="auto"/>
        </w:rPr>
      </w:pPr>
      <w:r>
        <w:rPr>
          <w:rFonts w:ascii="Times New Roman" w:cs="Times New Roman" w:eastAsia="Times New Roman" w:hAnsi="Times New Roman"/>
          <w:sz w:val="20"/>
          <w:szCs w:val="20"/>
          <w:color w:val="auto"/>
        </w:rPr>
        <w:t>its date of grant. Notwithstanding the foregoing, if the Participant, prior to the end of the term of an Option or Stock Appreciation Right,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commits an act of Cause (as determined by the Administrator), or violates any non-competition, non-solicitation or confidentiality provisions of any employment contract, confidentiality and nondisclosure agreement or other agreement between the Participant and the Company or</w:t>
      </w:r>
    </w:p>
    <w:p>
      <w:pPr>
        <w:spacing w:after="0" w:line="211" w:lineRule="auto"/>
        <w:rPr>
          <w:sz w:val="20"/>
          <w:szCs w:val="20"/>
          <w:color w:val="auto"/>
        </w:rPr>
      </w:pPr>
      <w:r>
        <w:rPr>
          <w:rFonts w:ascii="Times New Roman" w:cs="Times New Roman" w:eastAsia="Times New Roman" w:hAnsi="Times New Roman"/>
          <w:sz w:val="20"/>
          <w:szCs w:val="20"/>
          <w:color w:val="auto"/>
        </w:rPr>
        <w:t>any of its Subsidiaries, the right to exercise the Option or Stock Appreciation Right, as applicable, may be terminated by the Company and</w:t>
      </w:r>
    </w:p>
    <w:p>
      <w:pPr>
        <w:spacing w:after="0" w:line="204" w:lineRule="auto"/>
        <w:rPr>
          <w:sz w:val="20"/>
          <w:szCs w:val="20"/>
          <w:color w:val="auto"/>
        </w:rPr>
      </w:pPr>
      <w:r>
        <w:rPr>
          <w:rFonts w:ascii="Times New Roman" w:cs="Times New Roman" w:eastAsia="Times New Roman" w:hAnsi="Times New Roman"/>
          <w:sz w:val="20"/>
          <w:szCs w:val="20"/>
          <w:color w:val="auto"/>
        </w:rPr>
        <w:t>the Company may suspend the Participant’s right to exercise the Option or Stock Appreciation Right when it reasonably believes that the Participant may have participated in any such act or violation.</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Options and Stock Appreciation Rights may be exercised by delivering to the Company (or such other person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entity designated by the Administrator) a notice of exercise, in a form and manner the Company approves (which may be written, electronic or telephonic and may contain representations and warranties deemed advisable by the Administrator), signed or authenticated by the person</w:t>
      </w:r>
    </w:p>
    <w:p>
      <w:pPr>
        <w:spacing w:after="0" w:line="211" w:lineRule="auto"/>
        <w:rPr>
          <w:sz w:val="20"/>
          <w:szCs w:val="20"/>
          <w:color w:val="auto"/>
        </w:rPr>
      </w:pPr>
      <w:r>
        <w:rPr>
          <w:rFonts w:ascii="Times New Roman" w:cs="Times New Roman" w:eastAsia="Times New Roman" w:hAnsi="Times New Roman"/>
          <w:sz w:val="20"/>
          <w:szCs w:val="20"/>
          <w:color w:val="auto"/>
        </w:rPr>
        <w:t>authorized to exercise the Option or Stock Appreciation Right, together with, as applicable, (a) payment in full of the exercise price for the</w:t>
      </w:r>
    </w:p>
    <w:p>
      <w:pPr>
        <w:spacing w:after="0" w:line="215" w:lineRule="auto"/>
        <w:rPr>
          <w:sz w:val="20"/>
          <w:szCs w:val="20"/>
          <w:color w:val="auto"/>
        </w:rPr>
      </w:pPr>
      <w:r>
        <w:rPr>
          <w:rFonts w:ascii="Times New Roman" w:cs="Times New Roman" w:eastAsia="Times New Roman" w:hAnsi="Times New Roman"/>
          <w:sz w:val="19"/>
          <w:szCs w:val="19"/>
          <w:color w:val="auto"/>
        </w:rPr>
        <w:t>number of Shares for which the Option is exercised in a manner specified in Section 6.5 and (b) satisfaction in full of any withholding obligation for Tax-Related Items in a manner specified in Section 10.5. The Administrator may, in its discretion, limit exercise with respect to</w:t>
      </w:r>
    </w:p>
    <w:p>
      <w:pPr>
        <w:spacing w:after="0" w:line="204" w:lineRule="auto"/>
        <w:rPr>
          <w:sz w:val="20"/>
          <w:szCs w:val="20"/>
          <w:color w:val="auto"/>
        </w:rPr>
      </w:pPr>
      <w:r>
        <w:rPr>
          <w:rFonts w:ascii="Times New Roman" w:cs="Times New Roman" w:eastAsia="Times New Roman" w:hAnsi="Times New Roman"/>
          <w:sz w:val="20"/>
          <w:szCs w:val="20"/>
          <w:color w:val="auto"/>
        </w:rPr>
        <w:t>fractional Shares and require that any partial exercise of an Option or Stock Appreciation Right be with respect to a minimum number of Shares.</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The Administrator shall determine the methods by which payment of the exercise price of an</w:t>
      </w:r>
    </w:p>
    <w:p>
      <w:pPr>
        <w:spacing w:after="0" w:line="212" w:lineRule="auto"/>
        <w:rPr>
          <w:sz w:val="20"/>
          <w:szCs w:val="20"/>
          <w:color w:val="auto"/>
        </w:rPr>
      </w:pPr>
      <w:r>
        <w:rPr>
          <w:rFonts w:ascii="Times New Roman" w:cs="Times New Roman" w:eastAsia="Times New Roman" w:hAnsi="Times New Roman"/>
          <w:sz w:val="20"/>
          <w:szCs w:val="20"/>
          <w:color w:val="auto"/>
        </w:rPr>
        <w:t>Option shall be made, including, without limitation:</w:t>
      </w:r>
    </w:p>
    <w:p>
      <w:pPr>
        <w:ind w:firstLine="1304"/>
        <w:spacing w:after="0" w:line="221"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check or wire transfer of immediately available funds; provided that the Company may limit the use of one of the foregoing methods if one or more of the methods below is permitted;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price by cash, wire transfer of immediately available funds or check; provided that such amount is paid to the Company at such time as may be required by the Company;</w:t>
      </w:r>
    </w:p>
    <w:p>
      <w:pPr>
        <w:spacing w:after="0" w:line="148" w:lineRule="exact"/>
        <w:rPr>
          <w:sz w:val="20"/>
          <w:szCs w:val="20"/>
          <w:color w:val="auto"/>
        </w:rPr>
      </w:pPr>
    </w:p>
    <w:p>
      <w:pPr>
        <w:ind w:firstLine="1304"/>
        <w:spacing w:after="0"/>
        <w:tabs>
          <w:tab w:leader="none" w:pos="19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 on the date of delivery;</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lawful consideration; or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any combination of the above payment forms.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20"/>
          <w:szCs w:val="20"/>
          <w:u w:val="single" w:color="auto"/>
          <w:color w:val="auto"/>
        </w:rPr>
        <w:t>Expiration of Option Term or Stock Appreciation Right Term: Automatic Exercise of In-The-Money Options and Stock</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Appreciation Rights</w:t>
      </w:r>
      <w:r>
        <w:rPr>
          <w:rFonts w:ascii="Times New Roman" w:cs="Times New Roman" w:eastAsia="Times New Roman" w:hAnsi="Times New Roman"/>
          <w:sz w:val="20"/>
          <w:szCs w:val="20"/>
          <w:color w:val="auto"/>
        </w:rPr>
        <w:t>. Unless otherwise provided by the Administrator in an Award Agreement or otherwise or as otherwise directed by a</w:t>
      </w:r>
    </w:p>
    <w:p>
      <w:pPr>
        <w:spacing w:after="0" w:line="215" w:lineRule="auto"/>
        <w:rPr>
          <w:sz w:val="20"/>
          <w:szCs w:val="20"/>
          <w:color w:val="auto"/>
        </w:rPr>
      </w:pPr>
      <w:r>
        <w:rPr>
          <w:rFonts w:ascii="Times New Roman" w:cs="Times New Roman" w:eastAsia="Times New Roman" w:hAnsi="Times New Roman"/>
          <w:sz w:val="19"/>
          <w:szCs w:val="19"/>
          <w:color w:val="auto"/>
        </w:rPr>
        <w:t>holder of an Option or a Stock Appreciation Right in writing to the Company, each vested and exercisable Option and Stock Appreciation Right outstanding on the Automatic Exercise Date with an exercise price per Share that is less than the sum of the Fair Market Value and any</w:t>
      </w:r>
    </w:p>
    <w:p>
      <w:pPr>
        <w:spacing w:after="0" w:line="211" w:lineRule="auto"/>
        <w:rPr>
          <w:sz w:val="20"/>
          <w:szCs w:val="20"/>
          <w:color w:val="auto"/>
        </w:rPr>
      </w:pPr>
      <w:r>
        <w:rPr>
          <w:rFonts w:ascii="Times New Roman" w:cs="Times New Roman" w:eastAsia="Times New Roman" w:hAnsi="Times New Roman"/>
          <w:sz w:val="20"/>
          <w:szCs w:val="20"/>
          <w:color w:val="auto"/>
        </w:rPr>
        <w:t>related broker’s fees (as described in Section 11.19(c)) per Share as of such date shall automatically and without further action by the holder</w:t>
      </w:r>
    </w:p>
    <w:p>
      <w:pPr>
        <w:spacing w:after="0" w:line="204" w:lineRule="auto"/>
        <w:rPr>
          <w:sz w:val="20"/>
          <w:szCs w:val="20"/>
          <w:color w:val="auto"/>
        </w:rPr>
      </w:pPr>
      <w:r>
        <w:rPr>
          <w:rFonts w:ascii="Times New Roman" w:cs="Times New Roman" w:eastAsia="Times New Roman" w:hAnsi="Times New Roman"/>
          <w:sz w:val="20"/>
          <w:szCs w:val="20"/>
          <w:color w:val="auto"/>
        </w:rPr>
        <w:t>of the Option or Stock Appreciation Right or the Company be exercised on the Automatic Exercise Date. In the sole discretion of the Administrator, payment of the exercise price of any such Option shall be made pursuant to Section 6.5(b) or 6.5(d) and the Company or any</w:t>
      </w:r>
    </w:p>
    <w:p>
      <w:pPr>
        <w:spacing w:after="0" w:line="223" w:lineRule="auto"/>
        <w:rPr>
          <w:sz w:val="20"/>
          <w:szCs w:val="20"/>
          <w:color w:val="auto"/>
        </w:rPr>
      </w:pPr>
      <w:r>
        <w:rPr>
          <w:rFonts w:ascii="Times New Roman" w:cs="Times New Roman" w:eastAsia="Times New Roman" w:hAnsi="Times New Roman"/>
          <w:sz w:val="19"/>
          <w:szCs w:val="19"/>
          <w:color w:val="auto"/>
        </w:rPr>
        <w:t>Subsidiary shall be entitled to deduct or withhold an amount sufficient to satisfy any withholding obligation for Tax-Related Items associated</w:t>
      </w:r>
    </w:p>
    <w:p>
      <w:pPr>
        <w:spacing w:after="0" w:line="215" w:lineRule="auto"/>
        <w:rPr>
          <w:sz w:val="20"/>
          <w:szCs w:val="20"/>
          <w:color w:val="auto"/>
        </w:rPr>
      </w:pPr>
      <w:r>
        <w:rPr>
          <w:rFonts w:ascii="Times New Roman" w:cs="Times New Roman" w:eastAsia="Times New Roman" w:hAnsi="Times New Roman"/>
          <w:sz w:val="19"/>
          <w:szCs w:val="19"/>
          <w:color w:val="auto"/>
        </w:rPr>
        <w:t>with such exercise in accordance with Section 10.5. Unless otherwise determined by the Administrator, this Section 6.6 shall not apply to an Option or Stock Appreciation Right if the holder of such Option or Stock Appreciation Right incurs a Termination of Service on or before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Automatic Exercise Date. For the avoidance of doubt, no Option or Stock Appreciation Right with an exercise price per Share that is equal to or greater than the Fair Market Value on the Automatic Exercise Date shall be exercised pursuant to this Section 6.6.</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color w:val="auto"/>
        </w:rPr>
        <w:t>. The Administrator may grant Incentive Stock Options only to employees of</w:t>
      </w:r>
    </w:p>
    <w:p>
      <w:pPr>
        <w:spacing w:after="0" w:line="215" w:lineRule="auto"/>
        <w:rPr>
          <w:sz w:val="20"/>
          <w:szCs w:val="20"/>
          <w:color w:val="auto"/>
        </w:rPr>
      </w:pPr>
      <w:r>
        <w:rPr>
          <w:rFonts w:ascii="Times New Roman" w:cs="Times New Roman" w:eastAsia="Times New Roman" w:hAnsi="Times New Roman"/>
          <w:sz w:val="19"/>
          <w:szCs w:val="19"/>
          <w:color w:val="auto"/>
        </w:rPr>
        <w:t>the Company, any of its present or future parent or subsidiary corporations, as defined in Sections 424(e) or (f) of the Code, respectively, and any other entities the employees of which are eligible to receive Incentive Stock Options under the Code. If an Incentive Stock Option is</w:t>
      </w:r>
    </w:p>
    <w:p>
      <w:pPr>
        <w:spacing w:after="0" w:line="222" w:lineRule="auto"/>
        <w:rPr>
          <w:sz w:val="20"/>
          <w:szCs w:val="20"/>
          <w:color w:val="auto"/>
        </w:rPr>
      </w:pPr>
      <w:r>
        <w:rPr>
          <w:rFonts w:ascii="Times New Roman" w:cs="Times New Roman" w:eastAsia="Times New Roman" w:hAnsi="Times New Roman"/>
          <w:sz w:val="19"/>
          <w:szCs w:val="19"/>
          <w:color w:val="auto"/>
        </w:rPr>
        <w:t>granted to a Greater Than 10% Stockholder, the exercise price will not be less than 110% of the Fair Market Value on the Option’s grant date,</w:t>
      </w:r>
    </w:p>
    <w:p>
      <w:pPr>
        <w:spacing w:after="0" w:line="204" w:lineRule="auto"/>
        <w:rPr>
          <w:sz w:val="20"/>
          <w:szCs w:val="20"/>
          <w:color w:val="auto"/>
        </w:rPr>
      </w:pPr>
      <w:r>
        <w:rPr>
          <w:rFonts w:ascii="Times New Roman" w:cs="Times New Roman" w:eastAsia="Times New Roman" w:hAnsi="Times New Roman"/>
          <w:sz w:val="20"/>
          <w:szCs w:val="20"/>
          <w:color w:val="auto"/>
        </w:rPr>
        <w:t>and the term of the Option will not exceed five years. All Incentive Stock Options (and Award Agreements related thereto) will be subject to and construed consistently with Section 422 of the Code. By accepting an Incentive Stock Option, the Participant agrees to give prompt</w:t>
      </w:r>
    </w:p>
    <w:p>
      <w:pPr>
        <w:spacing w:after="0" w:line="211" w:lineRule="auto"/>
        <w:rPr>
          <w:sz w:val="20"/>
          <w:szCs w:val="20"/>
          <w:color w:val="auto"/>
        </w:rPr>
      </w:pPr>
      <w:r>
        <w:rPr>
          <w:rFonts w:ascii="Times New Roman" w:cs="Times New Roman" w:eastAsia="Times New Roman" w:hAnsi="Times New Roman"/>
          <w:sz w:val="20"/>
          <w:szCs w:val="20"/>
          <w:color w:val="auto"/>
        </w:rPr>
        <w:t>notice to the Company of dispositions or other transfers (other than in connection with a Change in Control) of Shares acquired under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Option made within the later of (a) two years from the grant date of the Option or (b) one year after the transfer of such Shares to the Participant, specifying the date of the disposition or other transfer and the amount the Participant realized, in cash, other property, assumption</w:t>
      </w:r>
    </w:p>
    <w:p>
      <w:pPr>
        <w:spacing w:after="0" w:line="211" w:lineRule="auto"/>
        <w:rPr>
          <w:sz w:val="20"/>
          <w:szCs w:val="20"/>
          <w:color w:val="auto"/>
        </w:rPr>
      </w:pPr>
      <w:r>
        <w:rPr>
          <w:rFonts w:ascii="Times New Roman" w:cs="Times New Roman" w:eastAsia="Times New Roman" w:hAnsi="Times New Roman"/>
          <w:sz w:val="20"/>
          <w:szCs w:val="20"/>
          <w:color w:val="auto"/>
        </w:rPr>
        <w:t>of indebtedness or other consideration, in such disposition or other transfer. Neither the Company nor the Administrator will be liable to a</w:t>
      </w:r>
    </w:p>
    <w:p>
      <w:pPr>
        <w:spacing w:after="0" w:line="204" w:lineRule="auto"/>
        <w:rPr>
          <w:sz w:val="20"/>
          <w:szCs w:val="20"/>
          <w:color w:val="auto"/>
        </w:rPr>
      </w:pPr>
      <w:r>
        <w:rPr>
          <w:rFonts w:ascii="Times New Roman" w:cs="Times New Roman" w:eastAsia="Times New Roman" w:hAnsi="Times New Roman"/>
          <w:sz w:val="20"/>
          <w:szCs w:val="20"/>
          <w:color w:val="auto"/>
        </w:rPr>
        <w:t>Participant, or any other party, if an Incentive Stock Option fails or ceases to qualify as an “incentive stock option” under Section 422 of the Code. Any Incentive Stock Option or portion thereof that fails to qualify as an “incentive stock option” under Section 422 of the Code for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any reason, including becoming exercisable with respect to Shares having a fair market value exceeding the $100,000 limitation under Treasury Regulation Section 1.422-4, will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51" w:name="page152"/>
    <w:bookmarkEnd w:id="151"/>
    <w:p>
      <w:pPr>
        <w:ind w:left="4660"/>
        <w:spacing w:after="0"/>
        <w:rPr>
          <w:sz w:val="20"/>
          <w:szCs w:val="20"/>
          <w:color w:val="auto"/>
        </w:rPr>
      </w:pPr>
      <w:r>
        <w:rPr>
          <w:rFonts w:ascii="Times New Roman" w:cs="Times New Roman" w:eastAsia="Times New Roman" w:hAnsi="Times New Roman"/>
          <w:sz w:val="20"/>
          <w:szCs w:val="20"/>
          <w:b w:val="1"/>
          <w:bCs w:val="1"/>
          <w:color w:val="auto"/>
        </w:rPr>
        <w:t>ARTICLE VII.</w:t>
      </w:r>
    </w:p>
    <w:p>
      <w:pPr>
        <w:ind w:left="3220"/>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Restricted Stock, or the right to purchase Restricted Stock, to any Service Provider, subject to forfeiture or the Company’s right to repurchase all or part of the underlying Shares at their issue price or other stated or formula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price from the Participant if conditions the Administrator specifies in the Award Agreement are not satisfied before the end of the applicable restriction period or periods that the Administrator establishes for such Award. In addition, the Administrator may grant Restricted Stock</w:t>
      </w:r>
    </w:p>
    <w:p>
      <w:pPr>
        <w:spacing w:after="0" w:line="211" w:lineRule="auto"/>
        <w:rPr>
          <w:sz w:val="20"/>
          <w:szCs w:val="20"/>
          <w:color w:val="auto"/>
        </w:rPr>
      </w:pPr>
      <w:r>
        <w:rPr>
          <w:rFonts w:ascii="Times New Roman" w:cs="Times New Roman" w:eastAsia="Times New Roman" w:hAnsi="Times New Roman"/>
          <w:sz w:val="20"/>
          <w:szCs w:val="20"/>
          <w:color w:val="auto"/>
        </w:rPr>
        <w:t>Units, which may be subject to vesting and forfeiture conditions during the applicable restriction period or periods, as set forth in an Award</w:t>
      </w:r>
    </w:p>
    <w:p>
      <w:pPr>
        <w:jc w:val="both"/>
        <w:spacing w:after="0" w:line="204" w:lineRule="auto"/>
        <w:rPr>
          <w:sz w:val="20"/>
          <w:szCs w:val="20"/>
          <w:color w:val="auto"/>
        </w:rPr>
      </w:pPr>
      <w:r>
        <w:rPr>
          <w:rFonts w:ascii="Times New Roman" w:cs="Times New Roman" w:eastAsia="Times New Roman" w:hAnsi="Times New Roman"/>
          <w:sz w:val="20"/>
          <w:szCs w:val="20"/>
          <w:color w:val="auto"/>
        </w:rPr>
        <w:t>Agreement, to Service Providers. The Administrator shall establish the purchase price, if any, and form of payment for Restricted Stock and Restricted Stock Units; provided, however, that if a purchase price is charged, such purchase price shall be no less than the par value, if any,</w:t>
      </w:r>
    </w:p>
    <w:p>
      <w:pPr>
        <w:spacing w:after="0" w:line="211" w:lineRule="auto"/>
        <w:rPr>
          <w:sz w:val="20"/>
          <w:szCs w:val="20"/>
          <w:color w:val="auto"/>
        </w:rPr>
      </w:pPr>
      <w:r>
        <w:rPr>
          <w:rFonts w:ascii="Times New Roman" w:cs="Times New Roman" w:eastAsia="Times New Roman" w:hAnsi="Times New Roman"/>
          <w:sz w:val="20"/>
          <w:szCs w:val="20"/>
          <w:color w:val="auto"/>
        </w:rPr>
        <w:t>of the Shares to be purchased, unless otherwise permitted by Applicable Law. In all cases, legal consideration shall be required for each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issuance of Restricted Stock and Restricted Stock Units to the extent required by Applicable Law. The Award Agreement for each Award of Restricted Stock and Restricted Stock Units shall set forth the terms and conditions not inconsistent with the Plan as the Administrator shall</w:t>
      </w:r>
    </w:p>
    <w:p>
      <w:pPr>
        <w:spacing w:after="0" w:line="211" w:lineRule="auto"/>
        <w:rPr>
          <w:sz w:val="20"/>
          <w:szCs w:val="20"/>
          <w:color w:val="auto"/>
        </w:rPr>
      </w:pPr>
      <w:r>
        <w:rPr>
          <w:rFonts w:ascii="Times New Roman" w:cs="Times New Roman" w:eastAsia="Times New Roman" w:hAnsi="Times New Roman"/>
          <w:sz w:val="20"/>
          <w:szCs w:val="20"/>
          <w:color w:val="auto"/>
        </w:rPr>
        <w:t>determine.</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w:t>
      </w:r>
    </w:p>
    <w:p>
      <w:pPr>
        <w:jc w:val="both"/>
        <w:ind w:firstLine="1304"/>
        <w:spacing w:after="0" w:line="212" w:lineRule="auto"/>
        <w:tabs>
          <w:tab w:leader="none" w:pos="193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Stockholder Rights</w:t>
      </w:r>
      <w:r>
        <w:rPr>
          <w:rFonts w:ascii="Times New Roman" w:cs="Times New Roman" w:eastAsia="Times New Roman" w:hAnsi="Times New Roman"/>
          <w:sz w:val="20"/>
          <w:szCs w:val="20"/>
          <w:color w:val="auto"/>
        </w:rPr>
        <w:t>. Unless otherwise determined by the Administrator, each Participant holding Shares of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44" w:lineRule="exact"/>
        <w:rPr>
          <w:rFonts w:ascii="Times New Roman" w:cs="Times New Roman" w:eastAsia="Times New Roman" w:hAnsi="Times New Roman"/>
          <w:sz w:val="20"/>
          <w:szCs w:val="20"/>
          <w:color w:val="auto"/>
        </w:rPr>
      </w:pPr>
    </w:p>
    <w:p>
      <w:pPr>
        <w:ind w:firstLine="1304"/>
        <w:spacing w:after="0" w:line="245" w:lineRule="auto"/>
        <w:tabs>
          <w:tab w:leader="none" w:pos="193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Certificates</w:t>
      </w:r>
      <w:r>
        <w:rPr>
          <w:rFonts w:ascii="Times New Roman" w:cs="Times New Roman" w:eastAsia="Times New Roman" w:hAnsi="Times New Roman"/>
          <w:sz w:val="20"/>
          <w:szCs w:val="20"/>
          <w:color w:val="auto"/>
        </w:rPr>
        <w:t>. The Company may require that the Participant deposit in escrow with the Company (or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designee) any stock certificates issued in respect of Shares of Restricted Stock, together with a stock power endorsed in blank.</w:t>
      </w:r>
    </w:p>
    <w:p>
      <w:pPr>
        <w:spacing w:after="0" w:line="151" w:lineRule="exact"/>
        <w:rPr>
          <w:rFonts w:ascii="Times New Roman" w:cs="Times New Roman" w:eastAsia="Times New Roman" w:hAnsi="Times New Roman"/>
          <w:sz w:val="20"/>
          <w:szCs w:val="20"/>
          <w:color w:val="auto"/>
        </w:rPr>
      </w:pPr>
    </w:p>
    <w:p>
      <w:pPr>
        <w:jc w:val="both"/>
        <w:ind w:firstLine="1304"/>
        <w:spacing w:after="0" w:line="223" w:lineRule="auto"/>
        <w:tabs>
          <w:tab w:leader="none" w:pos="193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83(b) Election</w:t>
      </w:r>
      <w:r>
        <w:rPr>
          <w:rFonts w:ascii="Times New Roman" w:cs="Times New Roman" w:eastAsia="Times New Roman" w:hAnsi="Times New Roman"/>
          <w:sz w:val="20"/>
          <w:szCs w:val="20"/>
          <w:color w:val="auto"/>
        </w:rPr>
        <w:t>. If a Participant makes an election under Section 83(b) of the Code to be taxed with respect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election, subject to compliance with Applicable Law. A Participant holding Restricted Stock Units will have only the rights of a general unsecured creditor of the Company (solely to the extent of any rights then applicable to Participant with respect to such Restricted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Units) until delivery of Shares, cash or other securities or property is made as specified in the applicable Award Agreement.</w:t>
      </w:r>
    </w:p>
    <w:p>
      <w:pPr>
        <w:spacing w:after="0" w:line="1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ind w:left="4320"/>
        <w:spacing w:after="0"/>
        <w:rPr>
          <w:sz w:val="20"/>
          <w:szCs w:val="20"/>
          <w:color w:val="auto"/>
        </w:rPr>
      </w:pPr>
      <w:r>
        <w:rPr>
          <w:rFonts w:ascii="Times New Roman" w:cs="Times New Roman" w:eastAsia="Times New Roman" w:hAnsi="Times New Roman"/>
          <w:sz w:val="20"/>
          <w:szCs w:val="20"/>
          <w:b w:val="1"/>
          <w:bCs w:val="1"/>
          <w:color w:val="auto"/>
        </w:rPr>
        <w:t>OTHER TYPES OF AWARDS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Performance Stock Unit awards, Performance Bonus Awards, Dividend Equivalents</w:t>
      </w:r>
    </w:p>
    <w:p>
      <w:pPr>
        <w:spacing w:after="0" w:line="204" w:lineRule="auto"/>
        <w:rPr>
          <w:sz w:val="20"/>
          <w:szCs w:val="20"/>
          <w:color w:val="auto"/>
        </w:rPr>
      </w:pPr>
      <w:r>
        <w:rPr>
          <w:rFonts w:ascii="Times New Roman" w:cs="Times New Roman" w:eastAsia="Times New Roman" w:hAnsi="Times New Roman"/>
          <w:sz w:val="20"/>
          <w:szCs w:val="20"/>
          <w:color w:val="auto"/>
        </w:rPr>
        <w:t>or Other Stock or Cash Based Awards, to one or more Service Providers, in such amounts and subject to such terms and conditions not inconsistent with the Plan as the Administrator shall determine.</w:t>
      </w:r>
    </w:p>
    <w:p>
      <w:pPr>
        <w:spacing w:after="0" w:line="1" w:lineRule="exact"/>
        <w:rPr>
          <w:sz w:val="20"/>
          <w:szCs w:val="20"/>
          <w:color w:val="auto"/>
        </w:rPr>
      </w:pPr>
    </w:p>
    <w:p>
      <w:pPr>
        <w:ind w:right="20" w:firstLine="648"/>
        <w:spacing w:after="0" w:line="228"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Performance Stock Unit Awards</w:t>
      </w:r>
      <w:r>
        <w:rPr>
          <w:rFonts w:ascii="Times New Roman" w:cs="Times New Roman" w:eastAsia="Times New Roman" w:hAnsi="Times New Roman"/>
          <w:sz w:val="20"/>
          <w:szCs w:val="20"/>
          <w:color w:val="auto"/>
        </w:rPr>
        <w:t>. Each Performance Stock Unit award shall be denominated in a number of Shares or in unit equivalents of Shares or units of value (including a dollar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value of Shares) and may be linked to any one or more of performance or other specific criteria, including service to the Company or</w:t>
      </w:r>
    </w:p>
    <w:p>
      <w:pPr>
        <w:spacing w:after="0" w:line="204" w:lineRule="auto"/>
        <w:rPr>
          <w:sz w:val="20"/>
          <w:szCs w:val="20"/>
          <w:color w:val="auto"/>
        </w:rPr>
      </w:pPr>
      <w:r>
        <w:rPr>
          <w:rFonts w:ascii="Times New Roman" w:cs="Times New Roman" w:eastAsia="Times New Roman" w:hAnsi="Times New Roman"/>
          <w:sz w:val="20"/>
          <w:szCs w:val="20"/>
          <w:color w:val="auto"/>
        </w:rPr>
        <w:t>Subsidiaries, determined to be appropriate by the Administrator, in each case on a specified date or dates or over any period or periods determined by the Administrator. In making such determinations, the Administrator may consider (among such other factors as it deems</w:t>
      </w:r>
    </w:p>
    <w:p>
      <w:pPr>
        <w:spacing w:after="0" w:line="211" w:lineRule="auto"/>
        <w:rPr>
          <w:sz w:val="20"/>
          <w:szCs w:val="20"/>
          <w:color w:val="auto"/>
        </w:rPr>
      </w:pPr>
      <w:r>
        <w:rPr>
          <w:rFonts w:ascii="Times New Roman" w:cs="Times New Roman" w:eastAsia="Times New Roman" w:hAnsi="Times New Roman"/>
          <w:sz w:val="20"/>
          <w:szCs w:val="20"/>
          <w:color w:val="auto"/>
        </w:rPr>
        <w:t>relevant in light of the specific type of award) the contributions, responsibilities and other compensation of the particular Participant.</w:t>
      </w:r>
    </w:p>
    <w:p>
      <w:pPr>
        <w:spacing w:after="0" w:line="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Performance Bonus Awards</w:t>
      </w:r>
      <w:r>
        <w:rPr>
          <w:rFonts w:ascii="Times New Roman" w:cs="Times New Roman" w:eastAsia="Times New Roman" w:hAnsi="Times New Roman"/>
          <w:sz w:val="19"/>
          <w:szCs w:val="19"/>
          <w:color w:val="auto"/>
        </w:rPr>
        <w:t>.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9"/>
          <w:szCs w:val="19"/>
          <w:b w:val="1"/>
          <w:bCs w:val="1"/>
          <w:i w:val="1"/>
          <w:iCs w:val="1"/>
          <w:color w:val="auto"/>
        </w:rPr>
        <w:t>Performance Bonus Award</w:t>
      </w:r>
      <w:r>
        <w:rPr>
          <w:rFonts w:ascii="Times New Roman" w:cs="Times New Roman" w:eastAsia="Times New Roman" w:hAnsi="Times New Roman"/>
          <w:sz w:val="19"/>
          <w:szCs w:val="19"/>
          <w:color w:val="auto"/>
        </w:rPr>
        <w:t>”) and shall be payable upon the attainment</w:t>
      </w:r>
    </w:p>
    <w:p>
      <w:pPr>
        <w:spacing w:after="0" w:line="211" w:lineRule="auto"/>
        <w:rPr>
          <w:sz w:val="20"/>
          <w:szCs w:val="20"/>
          <w:color w:val="auto"/>
        </w:rPr>
      </w:pPr>
      <w:r>
        <w:rPr>
          <w:rFonts w:ascii="Times New Roman" w:cs="Times New Roman" w:eastAsia="Times New Roman" w:hAnsi="Times New Roman"/>
          <w:sz w:val="20"/>
          <w:szCs w:val="20"/>
          <w:color w:val="auto"/>
        </w:rPr>
        <w:t>of performance goals that are established by the Administrator and relate to one or more of performance or other specific criteria, including</w:t>
      </w:r>
    </w:p>
    <w:p>
      <w:pPr>
        <w:spacing w:after="0" w:line="204" w:lineRule="auto"/>
        <w:rPr>
          <w:sz w:val="20"/>
          <w:szCs w:val="20"/>
          <w:color w:val="auto"/>
        </w:rPr>
      </w:pPr>
      <w:r>
        <w:rPr>
          <w:rFonts w:ascii="Times New Roman" w:cs="Times New Roman" w:eastAsia="Times New Roman" w:hAnsi="Times New Roman"/>
          <w:sz w:val="20"/>
          <w:szCs w:val="20"/>
          <w:color w:val="auto"/>
        </w:rPr>
        <w:t>service to the Company or Subsidiaries, in each case on a specified date or dates or over any period or periods determined by the Administrator.</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If the Administrator provides, an Award (other than an Option or Stock Appreciation Right) may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w:t>
      </w:r>
    </w:p>
    <w:p>
      <w:pPr>
        <w:spacing w:after="0" w:line="211" w:lineRule="auto"/>
        <w:rPr>
          <w:sz w:val="20"/>
          <w:szCs w:val="20"/>
          <w:color w:val="auto"/>
        </w:rPr>
      </w:pPr>
      <w:r>
        <w:rPr>
          <w:rFonts w:ascii="Times New Roman" w:cs="Times New Roman" w:eastAsia="Times New Roman" w:hAnsi="Times New Roman"/>
          <w:sz w:val="20"/>
          <w:szCs w:val="20"/>
          <w:color w:val="auto"/>
        </w:rPr>
        <w:t>to which the Dividend Equivalents are granted and subject to other terms and conditions as set forth in the Award Agreement.</w:t>
      </w:r>
    </w:p>
    <w:p>
      <w:pPr>
        <w:spacing w:after="0" w:line="204" w:lineRule="auto"/>
        <w:rPr>
          <w:sz w:val="20"/>
          <w:szCs w:val="20"/>
          <w:color w:val="auto"/>
        </w:rPr>
      </w:pPr>
      <w:r>
        <w:rPr>
          <w:rFonts w:ascii="Times New Roman" w:cs="Times New Roman" w:eastAsia="Times New Roman" w:hAnsi="Times New Roman"/>
          <w:sz w:val="20"/>
          <w:szCs w:val="20"/>
          <w:color w:val="auto"/>
        </w:rPr>
        <w:t>Notwithstanding anything to the contrary herein, Dividend Equivalents with respect to an Award subject to vesting shall either (x) to the extent permitted by Applicable Law, not be paid or credited or (y) be accumulated and subject to vesting to the same extent as the related</w:t>
      </w:r>
    </w:p>
    <w:p>
      <w:pPr>
        <w:spacing w:after="0" w:line="223" w:lineRule="auto"/>
        <w:rPr>
          <w:sz w:val="20"/>
          <w:szCs w:val="20"/>
          <w:color w:val="auto"/>
        </w:rPr>
      </w:pPr>
      <w:r>
        <w:rPr>
          <w:rFonts w:ascii="Times New Roman" w:cs="Times New Roman" w:eastAsia="Times New Roman" w:hAnsi="Times New Roman"/>
          <w:sz w:val="19"/>
          <w:szCs w:val="19"/>
          <w:color w:val="auto"/>
        </w:rPr>
        <w:t>Award. All such Dividend Equivalents shall be paid at such time as the Administrator shall specify in the applicable Award Agreement or as</w:t>
      </w:r>
    </w:p>
    <w:p>
      <w:pPr>
        <w:spacing w:after="0" w:line="197" w:lineRule="auto"/>
        <w:rPr>
          <w:sz w:val="20"/>
          <w:szCs w:val="20"/>
          <w:color w:val="auto"/>
        </w:rPr>
      </w:pPr>
      <w:r>
        <w:rPr>
          <w:rFonts w:ascii="Times New Roman" w:cs="Times New Roman" w:eastAsia="Times New Roman" w:hAnsi="Times New Roman"/>
          <w:sz w:val="20"/>
          <w:szCs w:val="20"/>
          <w:color w:val="auto"/>
        </w:rPr>
        <w:t>determined by the Administrator in the event not specified in such Award Agreement.</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20"/>
          <w:szCs w:val="20"/>
          <w:u w:val="single" w:color="auto"/>
          <w:color w:val="auto"/>
        </w:rPr>
        <w:t>Other Stock or Cash Based Awards</w:t>
      </w:r>
      <w:r>
        <w:rPr>
          <w:rFonts w:ascii="Times New Roman" w:cs="Times New Roman" w:eastAsia="Times New Roman" w:hAnsi="Times New Roman"/>
          <w:sz w:val="20"/>
          <w:szCs w:val="20"/>
          <w:color w:val="auto"/>
        </w:rPr>
        <w:t>. Other Stock or Cash Based Awards may be granted to Participants, including Awards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entitling Participants to receive cash or Shares to be delivered in the future and annual or other periodic or long-term cash bonus awards (whether based on specified performance criteria or otherwise), in each case subject to any conditions and limitations in the Plan. Such Other</w:t>
      </w:r>
    </w:p>
    <w:p>
      <w:pPr>
        <w:spacing w:after="0" w:line="211" w:lineRule="auto"/>
        <w:rPr>
          <w:sz w:val="20"/>
          <w:szCs w:val="20"/>
          <w:color w:val="auto"/>
        </w:rPr>
      </w:pPr>
      <w:r>
        <w:rPr>
          <w:rFonts w:ascii="Times New Roman" w:cs="Times New Roman" w:eastAsia="Times New Roman" w:hAnsi="Times New Roman"/>
          <w:sz w:val="20"/>
          <w:szCs w:val="20"/>
          <w:color w:val="auto"/>
        </w:rPr>
        <w:t>Stock or Cash Based Awards will also be available as a payment form in the settlement of other Awards, as standalone payments and as</w:t>
      </w:r>
    </w:p>
    <w:p>
      <w:pPr>
        <w:spacing w:after="0" w:line="204" w:lineRule="auto"/>
        <w:rPr>
          <w:sz w:val="20"/>
          <w:szCs w:val="20"/>
          <w:color w:val="auto"/>
        </w:rPr>
      </w:pPr>
      <w:r>
        <w:rPr>
          <w:rFonts w:ascii="Times New Roman" w:cs="Times New Roman" w:eastAsia="Times New Roman" w:hAnsi="Times New Roman"/>
          <w:sz w:val="20"/>
          <w:szCs w:val="20"/>
          <w:color w:val="auto"/>
        </w:rPr>
        <w:t>payment in lieu of compensation to which a Participant is otherwise entitled, subject to compliance with Section 409A. Other Stock or Cash Based Awards may be paid in Shares, cash or other property, as the Administrator determines. Subject to the provisions of the Plan, the</w:t>
      </w:r>
    </w:p>
    <w:p>
      <w:pPr>
        <w:spacing w:after="0" w:line="223" w:lineRule="auto"/>
        <w:rPr>
          <w:sz w:val="20"/>
          <w:szCs w:val="20"/>
          <w:color w:val="auto"/>
        </w:rPr>
      </w:pPr>
      <w:r>
        <w:rPr>
          <w:rFonts w:ascii="Times New Roman" w:cs="Times New Roman" w:eastAsia="Times New Roman" w:hAnsi="Times New Roman"/>
          <w:sz w:val="19"/>
          <w:szCs w:val="19"/>
          <w:color w:val="auto"/>
        </w:rPr>
        <w:t>Administrator will determine the terms and conditions of each Other Stock or Cash Based Award, including any purchase price, performance</w:t>
      </w:r>
    </w:p>
    <w:p>
      <w:pPr>
        <w:spacing w:after="0" w:line="204" w:lineRule="auto"/>
        <w:rPr>
          <w:sz w:val="20"/>
          <w:szCs w:val="20"/>
          <w:color w:val="auto"/>
        </w:rPr>
      </w:pPr>
      <w:r>
        <w:rPr>
          <w:rFonts w:ascii="Times New Roman" w:cs="Times New Roman" w:eastAsia="Times New Roman" w:hAnsi="Times New Roman"/>
          <w:sz w:val="20"/>
          <w:szCs w:val="20"/>
          <w:color w:val="auto"/>
        </w:rPr>
        <w:t>goal(s), transfer restrictions, and vesting conditions, which will be set forth in the applicable Award Agreement. Except in connection with a spin-off or other similar event as otherwise permitted under Article IX, dividends that are paid prior to vesting of any Other Stock or Cash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Based Award shall only be paid to the applicable Participant to the extent that the vesting conditions are subsequently satisfied and the Other Stock or Cash Based Award vests.</w:t>
      </w: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IX.</w:t>
      </w:r>
    </w:p>
    <w:p>
      <w:pPr>
        <w:jc w:val="center"/>
        <w:ind w:right="40"/>
        <w:spacing w:after="0" w:line="211" w:lineRule="auto"/>
        <w:rPr>
          <w:sz w:val="20"/>
          <w:szCs w:val="20"/>
          <w:color w:val="auto"/>
        </w:rPr>
      </w:pPr>
      <w:r>
        <w:rPr>
          <w:rFonts w:ascii="Times New Roman" w:cs="Times New Roman" w:eastAsia="Times New Roman" w:hAnsi="Times New Roman"/>
          <w:sz w:val="20"/>
          <w:szCs w:val="20"/>
          <w:b w:val="1"/>
          <w:bCs w:val="1"/>
          <w:color w:val="auto"/>
        </w:rPr>
        <w:t>ADJUSTMENTS FOR CHANGES IN COMMON STOCK</w:t>
      </w:r>
    </w:p>
    <w:p>
      <w:pPr>
        <w:jc w:val="center"/>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153"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In connection with any Equity Restructuring, notwithstanding anything to the contrary in this Article IX, the Administrator will equitably adjust the terms of the Plan and each outstanding Award as it deems appropriate to reflect the Equity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Restructuring, which may include (i) adjusting the number and type of securities subject to each outstanding Award or with respect to which Awards may be granted under the Plan (including, but not limited to, adjustments of the limitations in Article V hereof on the maximum</w:t>
      </w:r>
    </w:p>
    <w:p>
      <w:pPr>
        <w:spacing w:after="0" w:line="211" w:lineRule="auto"/>
        <w:rPr>
          <w:sz w:val="20"/>
          <w:szCs w:val="20"/>
          <w:color w:val="auto"/>
        </w:rPr>
      </w:pPr>
      <w:r>
        <w:rPr>
          <w:rFonts w:ascii="Times New Roman" w:cs="Times New Roman" w:eastAsia="Times New Roman" w:hAnsi="Times New Roman"/>
          <w:sz w:val="20"/>
          <w:szCs w:val="20"/>
          <w:color w:val="auto"/>
        </w:rPr>
        <w:t>number and kind of shares that may be issued); (ii) adjusting the terms and conditions of (including the grant or exercise price), and the</w:t>
      </w:r>
    </w:p>
    <w:p>
      <w:pPr>
        <w:spacing w:after="0" w:line="215" w:lineRule="auto"/>
        <w:rPr>
          <w:sz w:val="20"/>
          <w:szCs w:val="20"/>
          <w:color w:val="auto"/>
        </w:rPr>
      </w:pPr>
      <w:r>
        <w:rPr>
          <w:rFonts w:ascii="Times New Roman" w:cs="Times New Roman" w:eastAsia="Times New Roman" w:hAnsi="Times New Roman"/>
          <w:sz w:val="19"/>
          <w:szCs w:val="19"/>
          <w:color w:val="auto"/>
        </w:rPr>
        <w:t>performance goals or other criteria included in, outstanding Awards; and (iii) granting new Awards or making cash payments to Participants. The adjustments provided under this Section 9.1 will be nondiscretionary and final and binding on all interested parties, including the</w:t>
      </w:r>
    </w:p>
    <w:p>
      <w:pPr>
        <w:spacing w:after="0" w:line="211" w:lineRule="auto"/>
        <w:rPr>
          <w:sz w:val="20"/>
          <w:szCs w:val="20"/>
          <w:color w:val="auto"/>
        </w:rPr>
      </w:pPr>
      <w:r>
        <w:rPr>
          <w:rFonts w:ascii="Times New Roman" w:cs="Times New Roman" w:eastAsia="Times New Roman" w:hAnsi="Times New Roman"/>
          <w:sz w:val="20"/>
          <w:szCs w:val="20"/>
          <w:color w:val="auto"/>
        </w:rPr>
        <w:t>affected Participant and the Company; provided that the Administrator will determine whether an adjustment is equitable.</w:t>
      </w: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In the event of any extraordinary dividend or other distribution (whether in the form of cash, Common Stock, other securities, or other property), reorganization, merger, consolidation, split-up, spin off, combination, amalgamation,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repurchase, recapitalization, liquidation, dissolution, or sale, transfer, exchange or other disposition of all or substantially all of the assets of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9"/>
          <w:szCs w:val="19"/>
          <w:color w:val="auto"/>
        </w:rPr>
        <w:t>Company, or sale or exchange of Common Stock or other securities of the Company, Change in Control, issuance of warrants or other rights</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to purchase Common Stock or other securities of the Company, other similar corporate transaction or event, other unusual or nonrecurring transaction or event affecting the Company or its financial statements or any change in any Applicable Law or accounting principles, the</w:t>
      </w:r>
    </w:p>
    <w:p>
      <w:pPr>
        <w:spacing w:after="0" w:line="211" w:lineRule="auto"/>
        <w:rPr>
          <w:sz w:val="20"/>
          <w:szCs w:val="20"/>
          <w:color w:val="auto"/>
        </w:rPr>
      </w:pPr>
      <w:r>
        <w:rPr>
          <w:rFonts w:ascii="Times New Roman" w:cs="Times New Roman" w:eastAsia="Times New Roman" w:hAnsi="Times New Roman"/>
          <w:sz w:val="20"/>
          <w:szCs w:val="20"/>
          <w:color w:val="auto"/>
        </w:rPr>
        <w:t>Administrator, on such terms and conditions as it deems appropriate, either by the terms of the Award or by action taken prior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occurrence of such transaction or event (except that action to give effect to a change in Applicable Law or accounting principles may be made within a reasonable period of time after such change) and either automatically or upon the Participant’s request, is hereby authorized to</w:t>
      </w:r>
    </w:p>
    <w:p>
      <w:pPr>
        <w:spacing w:after="0" w:line="211" w:lineRule="auto"/>
        <w:rPr>
          <w:sz w:val="20"/>
          <w:szCs w:val="20"/>
          <w:color w:val="auto"/>
        </w:rPr>
      </w:pPr>
      <w:r>
        <w:rPr>
          <w:rFonts w:ascii="Times New Roman" w:cs="Times New Roman" w:eastAsia="Times New Roman" w:hAnsi="Times New Roman"/>
          <w:sz w:val="20"/>
          <w:szCs w:val="20"/>
          <w:color w:val="auto"/>
        </w:rPr>
        <w:t>take any one or more of the following actions whenever the Administrator determines that such action is appropriate in order to (x) prevent</w:t>
      </w:r>
    </w:p>
    <w:p>
      <w:pPr>
        <w:ind w:right="20"/>
        <w:spacing w:after="0" w:line="215" w:lineRule="auto"/>
        <w:rPr>
          <w:sz w:val="20"/>
          <w:szCs w:val="20"/>
          <w:color w:val="auto"/>
        </w:rPr>
      </w:pPr>
      <w:r>
        <w:rPr>
          <w:rFonts w:ascii="Times New Roman" w:cs="Times New Roman" w:eastAsia="Times New Roman" w:hAnsi="Times New Roman"/>
          <w:sz w:val="19"/>
          <w:szCs w:val="19"/>
          <w:color w:val="auto"/>
        </w:rPr>
        <w:t>dilution or enlargement of the benefits or potential benefits intended by the Company to be made available under the Plan or with respect to any Award granted or issued under the Plan, (y) to facilitate such transaction or event or (z) give effect to such changes in Applicable Law or</w:t>
      </w:r>
    </w:p>
    <w:p>
      <w:pPr>
        <w:spacing w:after="0" w:line="211" w:lineRule="auto"/>
        <w:rPr>
          <w:sz w:val="20"/>
          <w:szCs w:val="20"/>
          <w:color w:val="auto"/>
        </w:rPr>
      </w:pPr>
      <w:r>
        <w:rPr>
          <w:rFonts w:ascii="Times New Roman" w:cs="Times New Roman" w:eastAsia="Times New Roman" w:hAnsi="Times New Roman"/>
          <w:sz w:val="20"/>
          <w:szCs w:val="20"/>
          <w:color w:val="auto"/>
        </w:rPr>
        <w:t>accounting principles:</w:t>
      </w:r>
    </w:p>
    <w:p>
      <w:pPr>
        <w:jc w:val="both"/>
        <w:ind w:firstLine="1304"/>
        <w:spacing w:after="0" w:line="212"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3"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or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the Award will terminate and cannot vest, be exercised or become payable after the applicable event.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corporation in a Change in Control refuses to assume or substitute for an Award (other than any portion subject to performance-based vesting, which shall be handled as specified in the individual Award Agreement or as otherwise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Administrator), the Administrator shall cause such Award to become fully vested and, if applicable, exercisable immediately prior to the</w:t>
      </w:r>
    </w:p>
    <w:p>
      <w:pPr>
        <w:spacing w:after="0" w:line="204" w:lineRule="auto"/>
        <w:rPr>
          <w:sz w:val="20"/>
          <w:szCs w:val="20"/>
          <w:color w:val="auto"/>
        </w:rPr>
      </w:pPr>
      <w:r>
        <w:rPr>
          <w:rFonts w:ascii="Times New Roman" w:cs="Times New Roman" w:eastAsia="Times New Roman" w:hAnsi="Times New Roman"/>
          <w:sz w:val="20"/>
          <w:szCs w:val="20"/>
          <w:color w:val="auto"/>
        </w:rPr>
        <w:t>consummation of such transaction and all forfeiture restrictions on such Award to lapse and, to the extent unexercised upon the consummation of such transaction, to terminate in exchange for cash, rights or other property. The Administrator shall notify the Participant</w:t>
      </w:r>
    </w:p>
    <w:p>
      <w:pPr>
        <w:spacing w:after="0" w:line="211" w:lineRule="auto"/>
        <w:rPr>
          <w:sz w:val="20"/>
          <w:szCs w:val="20"/>
          <w:color w:val="auto"/>
        </w:rPr>
      </w:pPr>
      <w:r>
        <w:rPr>
          <w:rFonts w:ascii="Times New Roman" w:cs="Times New Roman" w:eastAsia="Times New Roman" w:hAnsi="Times New Roman"/>
          <w:sz w:val="20"/>
          <w:szCs w:val="20"/>
          <w:color w:val="auto"/>
        </w:rPr>
        <w:t>of any Award that becomes exercisable pursuant to the preceding sentence that such Award shall be fully exercisable for a period of time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determined by the Administrator from the date of such notice (which shall be 15 days if no period is determined by the Administrator), contingent upon the occurrence of the Change in Control, and such Award shall terminate upon the consummation of the Change in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the preceding sentence.</w:t>
      </w:r>
    </w:p>
    <w:p>
      <w:pPr>
        <w:spacing w:after="0" w:line="167" w:lineRule="exact"/>
        <w:rPr>
          <w:sz w:val="20"/>
          <w:szCs w:val="20"/>
          <w:color w:val="auto"/>
        </w:rPr>
      </w:pPr>
    </w:p>
    <w:p>
      <w:pPr>
        <w:jc w:val="both"/>
        <w:ind w:firstLine="1304"/>
        <w:spacing w:after="0" w:line="213"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color w:val="auto"/>
        </w:rPr>
        <w:t>. In the event of any pending stock dividend, stock split, combination or exchange of shares, merger, consolidation or other distribution (other than normal cash dividends) of Company assets to stockholders, or any other extraordinary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transaction or change affecting the Shares or the share price of Common Stock (including any Equity Restructuring or any securities offering or other similar transaction) or for reasons of administrative convenience or to facilitate compliance with any Applicable Law,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Administrator may refuse to permit the exercise or settlement of one or more Awards for such period of time as the Company may determine to be reasonably appropriate under the circumstances.</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expressly provided in the Plan or the Administrator’s action under the Plan, no Participant will have any rights due to any subdivision or consolidation of Shares of any class, dividend payment, increase or decrease in the number of Shares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class or dissolution, liquidation, merger, or consolidation of the Company or other corporation. Except as expressly provided with respect to an Equity Restructuring under Section 9.1 above or the Administrator’s action under the Plan, no issuance by the Company of Shares of any</w:t>
      </w:r>
    </w:p>
    <w:p>
      <w:pPr>
        <w:spacing w:after="0" w:line="211" w:lineRule="auto"/>
        <w:rPr>
          <w:sz w:val="20"/>
          <w:szCs w:val="20"/>
          <w:color w:val="auto"/>
        </w:rPr>
      </w:pPr>
      <w:r>
        <w:rPr>
          <w:rFonts w:ascii="Times New Roman" w:cs="Times New Roman" w:eastAsia="Times New Roman" w:hAnsi="Times New Roman"/>
          <w:sz w:val="20"/>
          <w:szCs w:val="20"/>
          <w:color w:val="auto"/>
        </w:rPr>
        <w:t>class, or securities convertible into Shares of any class, will affect, and no adjustment will be made regarding, the number of Shares subject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to an Award or the Award’s grant price or exercise price. The existence of the Plan, any Award Agreements and the Awards granted hereunder will not affect or restrict in any way the Company’s right or power to make or authorize (i) any adjustment, recapitalization,</w:t>
      </w:r>
    </w:p>
    <w:p>
      <w:pPr>
        <w:spacing w:after="0" w:line="211" w:lineRule="auto"/>
        <w:rPr>
          <w:sz w:val="20"/>
          <w:szCs w:val="20"/>
          <w:color w:val="auto"/>
        </w:rPr>
      </w:pPr>
      <w:r>
        <w:rPr>
          <w:rFonts w:ascii="Times New Roman" w:cs="Times New Roman" w:eastAsia="Times New Roman" w:hAnsi="Times New Roman"/>
          <w:sz w:val="20"/>
          <w:szCs w:val="20"/>
          <w:color w:val="auto"/>
        </w:rPr>
        <w:t>reorganization or other change in the Company’s capital structure or its business, (ii) any merger, consolidation, spinoff, dissolution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liquidation of the Company or sale of Company assets or (iii) any sale or issuance of securities, including securities with rights superior to those of the Shares or securities convertible into or exchangeable for Shares.</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ind w:left="3740"/>
        <w:spacing w:after="0"/>
        <w:rPr>
          <w:sz w:val="20"/>
          <w:szCs w:val="20"/>
          <w:color w:val="auto"/>
        </w:rPr>
      </w:pPr>
      <w:r>
        <w:rPr>
          <w:rFonts w:ascii="Times New Roman" w:cs="Times New Roman" w:eastAsia="Times New Roman" w:hAnsi="Times New Roman"/>
          <w:sz w:val="20"/>
          <w:szCs w:val="20"/>
          <w:b w:val="1"/>
          <w:bCs w:val="1"/>
          <w:color w:val="auto"/>
        </w:rPr>
        <w:t>PROVISIONS APPLICABLE TO AWARDS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w:t>
      </w:r>
    </w:p>
    <w:p>
      <w:pPr>
        <w:jc w:val="both"/>
        <w:ind w:firstLine="1304"/>
        <w:spacing w:after="0" w:line="212"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auto"/>
        </w:rPr>
        <w:t>distribution. References to a Participant, to the extent relevant in the context, will include references to a transferee approved by the Administrator.</w:t>
      </w:r>
    </w:p>
    <w:p>
      <w:pPr>
        <w:spacing w:after="0" w:line="148" w:lineRule="exact"/>
        <w:rPr>
          <w:sz w:val="20"/>
          <w:szCs w:val="20"/>
          <w:color w:val="auto"/>
        </w:rPr>
      </w:pPr>
    </w:p>
    <w:p>
      <w:pPr>
        <w:jc w:val="both"/>
        <w:ind w:firstLine="1304"/>
        <w:spacing w:after="0" w:line="211" w:lineRule="auto"/>
        <w:tabs>
          <w:tab w:leader="none" w:pos="193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53"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will be evidenced in an Award Agreement in such form as the Administrator determines in its</w:t>
      </w:r>
    </w:p>
    <w:p>
      <w:pPr>
        <w:spacing w:after="0" w:line="204" w:lineRule="auto"/>
        <w:rPr>
          <w:sz w:val="20"/>
          <w:szCs w:val="20"/>
          <w:color w:val="auto"/>
        </w:rPr>
      </w:pPr>
      <w:r>
        <w:rPr>
          <w:rFonts w:ascii="Times New Roman" w:cs="Times New Roman" w:eastAsia="Times New Roman" w:hAnsi="Times New Roman"/>
          <w:sz w:val="20"/>
          <w:szCs w:val="20"/>
          <w:color w:val="auto"/>
        </w:rPr>
        <w:t>discretion. Each Award may contain such terms and conditions as are determined by the Administrator in its sole discretion, to the extent not inconsistent with those set forth in the Plan.</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color w:val="auto"/>
        </w:rPr>
        <w:t>. Except as the Plan otherwise provides, each Award may be made alone or in addition or in relation to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Award. The terms of each Award to a Participant need not be identical, and the Administrator need not treat Participants or Awards (or portions thereof) uniformly.</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u w:val="single" w:color="auto"/>
          <w:color w:val="auto"/>
        </w:rPr>
        <w:t>Changes in Participant’s Status</w:t>
      </w:r>
      <w:r>
        <w:rPr>
          <w:rFonts w:ascii="Times New Roman" w:cs="Times New Roman" w:eastAsia="Times New Roman" w:hAnsi="Times New Roman"/>
          <w:sz w:val="20"/>
          <w:szCs w:val="20"/>
          <w:color w:val="auto"/>
        </w:rPr>
        <w:t>. The Administrator will determine how the disability, death, retirement, authorized leave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absence or any other change or purported change in a Participant’s Service Provider status affects an Award and the extent to which, and the period during which, the Participant, the Participant’s legal representative, conservator, guardian or Designated Beneficiary may exercise</w:t>
      </w:r>
    </w:p>
    <w:p>
      <w:pPr>
        <w:spacing w:after="0" w:line="222" w:lineRule="auto"/>
        <w:rPr>
          <w:sz w:val="20"/>
          <w:szCs w:val="20"/>
          <w:color w:val="auto"/>
        </w:rPr>
      </w:pPr>
      <w:r>
        <w:rPr>
          <w:rFonts w:ascii="Times New Roman" w:cs="Times New Roman" w:eastAsia="Times New Roman" w:hAnsi="Times New Roman"/>
          <w:sz w:val="19"/>
          <w:szCs w:val="19"/>
          <w:color w:val="auto"/>
        </w:rPr>
        <w:t>rights under the Award, if applicable. Except to the extent otherwise required by Applicable Law or expressly authorized by the Company or</w:t>
      </w:r>
    </w:p>
    <w:p>
      <w:pPr>
        <w:spacing w:after="0" w:line="204" w:lineRule="auto"/>
        <w:rPr>
          <w:sz w:val="20"/>
          <w:szCs w:val="20"/>
          <w:color w:val="auto"/>
        </w:rPr>
      </w:pPr>
      <w:r>
        <w:rPr>
          <w:rFonts w:ascii="Times New Roman" w:cs="Times New Roman" w:eastAsia="Times New Roman" w:hAnsi="Times New Roman"/>
          <w:sz w:val="20"/>
          <w:szCs w:val="20"/>
          <w:color w:val="auto"/>
        </w:rPr>
        <w:t>by the Company’s written policy on leaves of absence, no service credit shall be given for vesting purposes for any period the Participant is on a leave of absence.</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Each Participant must pay the Company or a Subsidiary, as applicable, or make provision satisfactory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Administrator for payment of, any Tax-Related Items required by Applicable Law to be withheld in connection with such Participant’s Awards and/or Shares by the date of the event creating the liability for Tax-Related Items. At the Company’s discretion and subject to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Company insider trading policy (including black-out periods), any withholding obligation for Tax-Related Items may be satisfied by (i) deducting an amount sufficient to satisfy such withholding obligation from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9"/>
          <w:szCs w:val="19"/>
          <w:color w:val="auto"/>
        </w:rPr>
        <w:t>any payment of any kind otherwise due to a Participant; (ii) accepting a payment from the Participant in cash, by wire transfer of immediately</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available funds, or by check made payable to the order of the Company or a Subsidiary, as applicable; (iii) accepting the delivery of Shares, including Shares delivered by attestation; (iv) retaining Shares from the Award creating the withholding obligation for Tax-Related Items,</w:t>
      </w:r>
    </w:p>
    <w:p>
      <w:pPr>
        <w:spacing w:after="0" w:line="211" w:lineRule="auto"/>
        <w:rPr>
          <w:sz w:val="20"/>
          <w:szCs w:val="20"/>
          <w:color w:val="auto"/>
        </w:rPr>
      </w:pPr>
      <w:r>
        <w:rPr>
          <w:rFonts w:ascii="Times New Roman" w:cs="Times New Roman" w:eastAsia="Times New Roman" w:hAnsi="Times New Roman"/>
          <w:sz w:val="20"/>
          <w:szCs w:val="20"/>
          <w:color w:val="auto"/>
        </w:rPr>
        <w:t>valued on the date of delivery; (v) if there is a public market for Shares at the time the withholding obligation for Tax-Related Items is to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satisfied, selling Shares issued pursuant to the Award creating the withholding obligation for Tax-Related Items, either voluntarily by the Participant or mandatorily by the Company; (vi) accepting delivery of a promissory note or any other lawful consideration; or (vii) any</w:t>
      </w:r>
    </w:p>
    <w:p>
      <w:pPr>
        <w:spacing w:after="0" w:line="211" w:lineRule="auto"/>
        <w:rPr>
          <w:sz w:val="20"/>
          <w:szCs w:val="20"/>
          <w:color w:val="auto"/>
        </w:rPr>
      </w:pPr>
      <w:r>
        <w:rPr>
          <w:rFonts w:ascii="Times New Roman" w:cs="Times New Roman" w:eastAsia="Times New Roman" w:hAnsi="Times New Roman"/>
          <w:sz w:val="20"/>
          <w:szCs w:val="20"/>
          <w:color w:val="auto"/>
        </w:rPr>
        <w:t>combination of the foregoing payment forms. The amount withheld pursuant to any of the foregoing payment forms shall be determined by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Company and may be up to, but no greater than, the aggregate amount of such obligations based on the maximum statutory withholding rates in the applicable Participant’s jurisdiction for all Tax-Related Items that are applicable to such taxable income. If any tax withholding</w:t>
      </w:r>
    </w:p>
    <w:p>
      <w:pPr>
        <w:spacing w:after="0" w:line="211" w:lineRule="auto"/>
        <w:rPr>
          <w:sz w:val="20"/>
          <w:szCs w:val="20"/>
          <w:color w:val="auto"/>
        </w:rPr>
      </w:pPr>
      <w:r>
        <w:rPr>
          <w:rFonts w:ascii="Times New Roman" w:cs="Times New Roman" w:eastAsia="Times New Roman" w:hAnsi="Times New Roman"/>
          <w:sz w:val="20"/>
          <w:szCs w:val="20"/>
          <w:color w:val="auto"/>
        </w:rPr>
        <w:t>obligation will be satisfied under clause (v) of the preceding paragraph, each Participant’s acceptance of an Award under the Plan will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constitute the Participant’s authorization to the Company and instruction and authorization to any brokerage firm selected by the Company to effect the sale to complete the transactions described in clause (v).</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Amendment of Award; Repricing</w:t>
      </w:r>
      <w:r>
        <w:rPr>
          <w:rFonts w:ascii="Times New Roman" w:cs="Times New Roman" w:eastAsia="Times New Roman" w:hAnsi="Times New Roman"/>
          <w:sz w:val="19"/>
          <w:szCs w:val="19"/>
          <w:color w:val="auto"/>
        </w:rPr>
        <w:t>. The Administrator may amend, modify or terminate any outstanding Award, including by</w:t>
      </w:r>
    </w:p>
    <w:p>
      <w:pPr>
        <w:spacing w:after="0" w:line="215" w:lineRule="auto"/>
        <w:rPr>
          <w:sz w:val="20"/>
          <w:szCs w:val="20"/>
          <w:color w:val="auto"/>
        </w:rPr>
      </w:pPr>
      <w:r>
        <w:rPr>
          <w:rFonts w:ascii="Times New Roman" w:cs="Times New Roman" w:eastAsia="Times New Roman" w:hAnsi="Times New Roman"/>
          <w:sz w:val="19"/>
          <w:szCs w:val="19"/>
          <w:color w:val="auto"/>
        </w:rPr>
        <w:t>substituting another Award of the same or a different type, changing the exercise or settlement date, and converting an Incentive Stock Option to a Nonqualified Stock Option. The Participant’s consent to such action will be required unless (i) the action, taking into account any</w:t>
      </w:r>
    </w:p>
    <w:p>
      <w:pPr>
        <w:spacing w:after="0" w:line="211" w:lineRule="auto"/>
        <w:rPr>
          <w:sz w:val="20"/>
          <w:szCs w:val="20"/>
          <w:color w:val="auto"/>
        </w:rPr>
      </w:pPr>
      <w:r>
        <w:rPr>
          <w:rFonts w:ascii="Times New Roman" w:cs="Times New Roman" w:eastAsia="Times New Roman" w:hAnsi="Times New Roman"/>
          <w:sz w:val="20"/>
          <w:szCs w:val="20"/>
          <w:color w:val="auto"/>
        </w:rPr>
        <w:t>related action, does not materially and adversely affect the Participant’s rights under the Award, or (ii) the change is permitted under Article</w:t>
      </w:r>
    </w:p>
    <w:p>
      <w:pPr>
        <w:spacing w:after="0" w:line="204" w:lineRule="auto"/>
        <w:rPr>
          <w:sz w:val="20"/>
          <w:szCs w:val="20"/>
          <w:color w:val="auto"/>
        </w:rPr>
      </w:pPr>
      <w:r>
        <w:rPr>
          <w:rFonts w:ascii="Times New Roman" w:cs="Times New Roman" w:eastAsia="Times New Roman" w:hAnsi="Times New Roman"/>
          <w:sz w:val="20"/>
          <w:szCs w:val="20"/>
          <w:color w:val="auto"/>
        </w:rPr>
        <w:t>IX or pursuant to Section 11.6. In addition, the Administrator shall, without the approval of the stockholders of the Company, have the authority to (a) amend any outstanding Option or Stock Appreciation Right to reduce its exercise price per Share or (b) cancel any Option or</w:t>
      </w:r>
    </w:p>
    <w:p>
      <w:pPr>
        <w:spacing w:after="0" w:line="197" w:lineRule="auto"/>
        <w:rPr>
          <w:sz w:val="20"/>
          <w:szCs w:val="20"/>
          <w:color w:val="auto"/>
        </w:rPr>
      </w:pPr>
      <w:r>
        <w:rPr>
          <w:rFonts w:ascii="Times New Roman" w:cs="Times New Roman" w:eastAsia="Times New Roman" w:hAnsi="Times New Roman"/>
          <w:sz w:val="20"/>
          <w:szCs w:val="20"/>
          <w:color w:val="auto"/>
        </w:rPr>
        <w:t>Stock Appreciation Right in exchange for cash or another Award.</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color w:val="auto"/>
        </w:rPr>
        <w:t>. The Company will not be obligated to deliver any Shares under the Plan or remove restrictions from Shares previously delivered under the Plan until (i) all Award conditions have been met or removed to the Company’s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satisfaction, (ii) as determined by the Company, all other legal matters regarding the issuance and delivery of such Shares have been satisfied, including, without limitation, any applicable securities laws and stock exchange or stock market rules and regulations, (iii) any approvals</w:t>
      </w:r>
    </w:p>
    <w:p>
      <w:pPr>
        <w:spacing w:after="0" w:line="211" w:lineRule="auto"/>
        <w:rPr>
          <w:sz w:val="20"/>
          <w:szCs w:val="20"/>
          <w:color w:val="auto"/>
        </w:rPr>
      </w:pPr>
      <w:r>
        <w:rPr>
          <w:rFonts w:ascii="Times New Roman" w:cs="Times New Roman" w:eastAsia="Times New Roman" w:hAnsi="Times New Roman"/>
          <w:sz w:val="20"/>
          <w:szCs w:val="20"/>
          <w:color w:val="auto"/>
        </w:rPr>
        <w:t>from governmental agencies that the Company determines are necessary or advisable have been obtained, and (iv) the Participant has</w:t>
      </w:r>
    </w:p>
    <w:p>
      <w:pPr>
        <w:spacing w:after="0" w:line="204" w:lineRule="auto"/>
        <w:rPr>
          <w:sz w:val="20"/>
          <w:szCs w:val="20"/>
          <w:color w:val="auto"/>
        </w:rPr>
      </w:pPr>
      <w:r>
        <w:rPr>
          <w:rFonts w:ascii="Times New Roman" w:cs="Times New Roman" w:eastAsia="Times New Roman" w:hAnsi="Times New Roman"/>
          <w:sz w:val="20"/>
          <w:szCs w:val="20"/>
          <w:color w:val="auto"/>
        </w:rPr>
        <w:t>executed and delivered to the Company such representations or agreements as the Administrator deems necessary or appropriate to satisfy Applicable Law. The inability or impracticability of the Company to obtain or maintain authority to issue or sell any securities from any</w:t>
      </w:r>
    </w:p>
    <w:p>
      <w:pPr>
        <w:spacing w:after="0" w:line="211" w:lineRule="auto"/>
        <w:rPr>
          <w:sz w:val="20"/>
          <w:szCs w:val="20"/>
          <w:color w:val="auto"/>
        </w:rPr>
      </w:pPr>
      <w:r>
        <w:rPr>
          <w:rFonts w:ascii="Times New Roman" w:cs="Times New Roman" w:eastAsia="Times New Roman" w:hAnsi="Times New Roman"/>
          <w:sz w:val="20"/>
          <w:szCs w:val="20"/>
          <w:color w:val="auto"/>
        </w:rPr>
        <w:t>regulatory body having jurisdiction, which authority is deemed by the Company’s counsel to be necessary to the lawful issuance and sale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Shares hereunder, shall relieve the Company of any liability in respect of the failure to issue or sell such Shares as to which such requisite authority shall not have been obtained, and shall constitute circumstances in which the Administrator may determine to amend or</w:t>
      </w:r>
    </w:p>
    <w:p>
      <w:pPr>
        <w:spacing w:after="0" w:line="211" w:lineRule="auto"/>
        <w:rPr>
          <w:sz w:val="20"/>
          <w:szCs w:val="20"/>
          <w:color w:val="auto"/>
        </w:rPr>
      </w:pPr>
      <w:r>
        <w:rPr>
          <w:rFonts w:ascii="Times New Roman" w:cs="Times New Roman" w:eastAsia="Times New Roman" w:hAnsi="Times New Roman"/>
          <w:sz w:val="20"/>
          <w:szCs w:val="20"/>
          <w:color w:val="auto"/>
        </w:rPr>
        <w:t>cancel Awards pertaining to such Shares, with or without consideration to the Participant.</w:t>
      </w:r>
    </w:p>
    <w:p>
      <w:pPr>
        <w:spacing w:after="0" w:line="1" w:lineRule="exact"/>
        <w:rPr>
          <w:sz w:val="20"/>
          <w:szCs w:val="20"/>
          <w:color w:val="auto"/>
        </w:rPr>
      </w:pPr>
    </w:p>
    <w:p>
      <w:pPr>
        <w:ind w:right="20" w:firstLine="648"/>
        <w:spacing w:after="0" w:line="221"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will have any claim or right to be granted an Award, and the grant of an Award will not be construed as giving a Participant the right to commence or continue employment or any other relationship with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or a Subsidiary. The Company and its Subsidiaries expressly reserve the right at any time to dismiss or otherwise terminate its relationship with a Participant free from any liability or claim under the Plan or any Award, except as expressly provided in an Award</w:t>
      </w:r>
    </w:p>
    <w:p>
      <w:pPr>
        <w:spacing w:after="0" w:line="211" w:lineRule="auto"/>
        <w:rPr>
          <w:sz w:val="20"/>
          <w:szCs w:val="20"/>
          <w:color w:val="auto"/>
        </w:rPr>
      </w:pPr>
      <w:r>
        <w:rPr>
          <w:rFonts w:ascii="Times New Roman" w:cs="Times New Roman" w:eastAsia="Times New Roman" w:hAnsi="Times New Roman"/>
          <w:sz w:val="20"/>
          <w:szCs w:val="20"/>
          <w:color w:val="auto"/>
        </w:rPr>
        <w:t>Agreement or other written agreement between the Participant and the Company or any Subsidiary.</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color w:val="auto"/>
        </w:rPr>
        <w:t>. Subject to the Award Agreement, no Participant or Designated Beneficiary will have any rights as a stockholder with respect to any Shares to be distributed under an Award until becoming the record holder of such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any other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color w:val="auto"/>
        </w:rPr>
        <w:t>provision of the Plan, unless the Administrator otherwise determines or Applicable Law requires, the Company will not be required to deliver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any Participant certificates evidencing Shares issued in connection with any Award and instead such Shares may be recorded in the books of the Company (or, as applicable, its transfer agent or stock plan administrator). The Company may place legends on any share certificate or</w:t>
      </w:r>
    </w:p>
    <w:p>
      <w:pPr>
        <w:spacing w:after="0" w:line="211" w:lineRule="auto"/>
        <w:rPr>
          <w:sz w:val="20"/>
          <w:szCs w:val="20"/>
          <w:color w:val="auto"/>
        </w:rPr>
      </w:pPr>
      <w:r>
        <w:rPr>
          <w:rFonts w:ascii="Times New Roman" w:cs="Times New Roman" w:eastAsia="Times New Roman" w:hAnsi="Times New Roman"/>
          <w:sz w:val="20"/>
          <w:szCs w:val="20"/>
          <w:color w:val="auto"/>
        </w:rPr>
        <w:t>book entry to reference restrictions applicable to the Shares (including, without limitation, restrictions applicable to Restricted Stock).</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Plan will become effective on the date prior to the Public Trading Date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provided that it is approved by the Company’s stockholders prior to such date and occurring within 12 months following the date the Board approved</w:t>
      </w:r>
    </w:p>
    <w:p>
      <w:pPr>
        <w:spacing w:after="0" w:line="211" w:lineRule="auto"/>
        <w:rPr>
          <w:sz w:val="20"/>
          <w:szCs w:val="20"/>
          <w:color w:val="auto"/>
        </w:rPr>
      </w:pPr>
      <w:r>
        <w:rPr>
          <w:rFonts w:ascii="Times New Roman" w:cs="Times New Roman" w:eastAsia="Times New Roman" w:hAnsi="Times New Roman"/>
          <w:sz w:val="20"/>
          <w:szCs w:val="20"/>
          <w:color w:val="auto"/>
        </w:rPr>
        <w:t>the Plan. If the Plan is not approved by the Company’s stockholders within the foregoing time frame, the Plan will not become effective. No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Incentive Stock Option may be granted pursuant to the Plan after the tenth anniversary of the earlier of (i) the date the Plan was approved by the Board or (ii) the date the Plan was approved by the Company’s stockholders.</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color w:val="auto"/>
        </w:rPr>
        <w:t>. The Board may amend, suspend or terminate the Plan at any time and from time to time; provided that</w:t>
      </w:r>
    </w:p>
    <w:p>
      <w:pPr>
        <w:ind w:left="280" w:hanging="272"/>
        <w:spacing w:after="0" w:line="208" w:lineRule="auto"/>
        <w:tabs>
          <w:tab w:leader="none" w:pos="2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amendment requiring stockholder approval to comply with Applicable Law shall be effective unless approved by the stockholders, and</w:t>
      </w:r>
    </w:p>
    <w:p>
      <w:pPr>
        <w:ind w:left="300" w:hanging="292"/>
        <w:spacing w:after="0" w:line="211" w:lineRule="auto"/>
        <w:tabs>
          <w:tab w:leader="none" w:pos="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other than an increase to the Overall Share Limit or pursuant to Article IX or Section 11.6, may materially and adversely</w:t>
      </w:r>
    </w:p>
    <w:p>
      <w:pPr>
        <w:spacing w:after="0" w:line="222" w:lineRule="auto"/>
        <w:rPr>
          <w:sz w:val="20"/>
          <w:szCs w:val="20"/>
          <w:color w:val="auto"/>
        </w:rPr>
      </w:pPr>
      <w:r>
        <w:rPr>
          <w:rFonts w:ascii="Times New Roman" w:cs="Times New Roman" w:eastAsia="Times New Roman" w:hAnsi="Times New Roman"/>
          <w:sz w:val="19"/>
          <w:szCs w:val="19"/>
          <w:color w:val="auto"/>
        </w:rPr>
        <w:t>affect any Award outstanding at the time of such amendment without the affected Participant’s consent. No Awards may be granted under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Plan during any suspension period or after Plan termination. Awards outstanding at the time of any Plan suspension or termination will continue to be governed by the Plan and the Award Agreement, as each in effect before such suspension or termination. The Board will</w:t>
      </w:r>
    </w:p>
    <w:p>
      <w:pPr>
        <w:spacing w:after="0" w:line="211" w:lineRule="auto"/>
        <w:rPr>
          <w:sz w:val="20"/>
          <w:szCs w:val="20"/>
          <w:color w:val="auto"/>
        </w:rPr>
      </w:pPr>
      <w:r>
        <w:rPr>
          <w:rFonts w:ascii="Times New Roman" w:cs="Times New Roman" w:eastAsia="Times New Roman" w:hAnsi="Times New Roman"/>
          <w:sz w:val="20"/>
          <w:szCs w:val="20"/>
          <w:color w:val="auto"/>
        </w:rPr>
        <w:t>obtain stockholder approval of any Plan amendment to the extent necessary to comply with Applicable Law.</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color w:val="auto"/>
        </w:rPr>
        <w:t>. The Administrator may modify Awards granted to Participants who are nationals of a country other than the United States or employed or residing outside the United States, establish subplans or procedures under the Plan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take any other necessary or appropriate action to address Applicable Law, including (a) differences in laws, rules, regulations or customs of such jurisdictions with respect to tax, securities, currency, employee benefit or other matters, (b) listing and other requirements of any non-</w:t>
      </w:r>
    </w:p>
    <w:p>
      <w:pPr>
        <w:spacing w:after="0" w:line="211" w:lineRule="auto"/>
        <w:rPr>
          <w:sz w:val="20"/>
          <w:szCs w:val="20"/>
          <w:color w:val="auto"/>
        </w:rPr>
      </w:pPr>
      <w:r>
        <w:rPr>
          <w:rFonts w:ascii="Times New Roman" w:cs="Times New Roman" w:eastAsia="Times New Roman" w:hAnsi="Times New Roman"/>
          <w:sz w:val="20"/>
          <w:szCs w:val="20"/>
          <w:color w:val="auto"/>
        </w:rPr>
        <w:t>U.S. securities exchange, and (c) any necessary local governmental or regulatory exemptions or approvals.</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jc w:val="both"/>
        <w:ind w:firstLine="1304"/>
        <w:spacing w:after="0" w:line="219" w:lineRule="auto"/>
        <w:tabs>
          <w:tab w:leader="none" w:pos="1934"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General</w:t>
      </w:r>
      <w:r>
        <w:rPr>
          <w:rFonts w:ascii="Times New Roman" w:cs="Times New Roman" w:eastAsia="Times New Roman" w:hAnsi="Times New Roman"/>
          <w:sz w:val="19"/>
          <w:szCs w:val="19"/>
          <w:color w:val="auto"/>
        </w:rPr>
        <w:t>. The Company intends that all Awards be structured to comply with, or be exempt from, Section 409A,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2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93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Separation from Service</w:t>
      </w:r>
      <w:r>
        <w:rPr>
          <w:rFonts w:ascii="Times New Roman" w:cs="Times New Roman" w:eastAsia="Times New Roman" w:hAnsi="Times New Roman"/>
          <w:sz w:val="20"/>
          <w:szCs w:val="20"/>
          <w:color w:val="auto"/>
        </w:rPr>
        <w:t>. If an Award constitutes “nonqualified deferred compensation” under Section 409A,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254" w:lineRule="exact"/>
        <w:rPr>
          <w:rFonts w:ascii="Times New Roman" w:cs="Times New Roman" w:eastAsia="Times New Roman" w:hAnsi="Times New Roman"/>
          <w:sz w:val="20"/>
          <w:szCs w:val="20"/>
          <w:color w:val="auto"/>
        </w:rPr>
      </w:pPr>
    </w:p>
    <w:p>
      <w:pPr>
        <w:jc w:val="both"/>
        <w:ind w:firstLine="1304"/>
        <w:spacing w:after="0" w:line="223" w:lineRule="auto"/>
        <w:tabs>
          <w:tab w:leader="none" w:pos="193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Payments to Specified Employees</w:t>
      </w:r>
      <w:r>
        <w:rPr>
          <w:rFonts w:ascii="Times New Roman" w:cs="Times New Roman" w:eastAsia="Times New Roman" w:hAnsi="Times New Roman"/>
          <w:sz w:val="20"/>
          <w:szCs w:val="20"/>
          <w:color w:val="auto"/>
        </w:rPr>
        <w:t>. Notwithstanding any contrary provision in the Plan or any Award Agreement,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of “nonqualified deferred compensation” required to be made under an Award to a “specified employee” (as defined under Section 409A and as the Administrator determines) due to his or her “separation from service” will, to the extent necessary to avoid taxes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color w:val="auto"/>
        </w:rPr>
        <w:t>Section 409A(a)(2)(B)(i) of the Code, be delayed for the six-month period immediately following such “separation from service” (or, if</w:t>
      </w:r>
    </w:p>
    <w:p>
      <w:pPr>
        <w:spacing w:after="0" w:line="215" w:lineRule="auto"/>
        <w:rPr>
          <w:sz w:val="20"/>
          <w:szCs w:val="20"/>
          <w:color w:val="auto"/>
        </w:rPr>
      </w:pPr>
      <w:r>
        <w:rPr>
          <w:rFonts w:ascii="Times New Roman" w:cs="Times New Roman" w:eastAsia="Times New Roman" w:hAnsi="Times New Roman"/>
          <w:sz w:val="19"/>
          <w:szCs w:val="19"/>
          <w:color w:val="auto"/>
        </w:rPr>
        <w:t>earlier, until the specified employee’s death) and will instead be paid (as set forth in the Award Agreement) on the day immediately following such six-month period or as soon as administratively practicable thereafter (without interest). Any payments of “nonqualified deferred</w:t>
      </w:r>
    </w:p>
    <w:p>
      <w:pPr>
        <w:spacing w:after="0" w:line="228" w:lineRule="auto"/>
        <w:rPr>
          <w:sz w:val="20"/>
          <w:szCs w:val="20"/>
          <w:color w:val="auto"/>
        </w:rPr>
      </w:pPr>
      <w:r>
        <w:rPr>
          <w:rFonts w:ascii="Times New Roman" w:cs="Times New Roman" w:eastAsia="Times New Roman" w:hAnsi="Times New Roman"/>
          <w:sz w:val="20"/>
          <w:szCs w:val="20"/>
          <w:color w:val="auto"/>
        </w:rPr>
        <w:t>compensation” under such Award payable more than six months following the Participant’s “separation from service” will be paid at the time or times the payments are otherwise scheduled to be made.</w:t>
      </w:r>
    </w:p>
    <w:p>
      <w:pPr>
        <w:spacing w:after="0" w:line="145" w:lineRule="exact"/>
        <w:rPr>
          <w:sz w:val="20"/>
          <w:szCs w:val="20"/>
          <w:color w:val="auto"/>
        </w:rPr>
      </w:pPr>
    </w:p>
    <w:p>
      <w:pPr>
        <w:jc w:val="both"/>
        <w:ind w:firstLine="1304"/>
        <w:spacing w:after="0" w:line="220"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Separate Payments</w:t>
      </w:r>
      <w:r>
        <w:rPr>
          <w:rFonts w:ascii="Times New Roman" w:cs="Times New Roman" w:eastAsia="Times New Roman" w:hAnsi="Times New Roman"/>
          <w:sz w:val="20"/>
          <w:szCs w:val="20"/>
          <w:color w:val="auto"/>
        </w:rPr>
        <w:t>. If an Award includes a “series of installment payments” within the meaning of Section 1.409A-2(b)(2)(iii) 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Any payment due upon a Change in Control of the Company will be paid only if such Change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u w:val="single" w:color="auto"/>
          <w:color w:val="auto"/>
        </w:rPr>
        <w:t>Limitations on Liability</w:t>
      </w:r>
      <w:r>
        <w:rPr>
          <w:rFonts w:ascii="Times New Roman" w:cs="Times New Roman" w:eastAsia="Times New Roman" w:hAnsi="Times New Roman"/>
          <w:sz w:val="19"/>
          <w:szCs w:val="19"/>
          <w:color w:val="auto"/>
        </w:rPr>
        <w:t>. Notwithstanding any other provisions of the Plan, no individual acting as a Director, officer or other</w:t>
      </w:r>
    </w:p>
    <w:p>
      <w:pPr>
        <w:spacing w:after="0" w:line="215" w:lineRule="auto"/>
        <w:rPr>
          <w:sz w:val="20"/>
          <w:szCs w:val="20"/>
          <w:color w:val="auto"/>
        </w:rPr>
      </w:pPr>
      <w:r>
        <w:rPr>
          <w:rFonts w:ascii="Times New Roman" w:cs="Times New Roman" w:eastAsia="Times New Roman" w:hAnsi="Times New Roman"/>
          <w:sz w:val="19"/>
          <w:szCs w:val="19"/>
          <w:color w:val="auto"/>
        </w:rPr>
        <w:t>Employee will be liable to any Participant, former Participant, spouse, beneficiary, or any other person for any claim, loss, liability, or expense incurred in connection with the Plan or any Award, and such individual will not be personally liable with respect to the Plan because</w:t>
      </w:r>
    </w:p>
    <w:p>
      <w:pPr>
        <w:spacing w:after="0" w:line="204" w:lineRule="auto"/>
        <w:rPr>
          <w:sz w:val="20"/>
          <w:szCs w:val="20"/>
          <w:color w:val="auto"/>
        </w:rPr>
      </w:pPr>
      <w:r>
        <w:rPr>
          <w:rFonts w:ascii="Times New Roman" w:cs="Times New Roman" w:eastAsia="Times New Roman" w:hAnsi="Times New Roman"/>
          <w:sz w:val="20"/>
          <w:szCs w:val="20"/>
          <w:color w:val="auto"/>
        </w:rPr>
        <w:t>of any contract or other instrument executed in his or her capacity as an Administrator, Director, officer or other Employee. The Company will indemnify and hold harmless each Director, officer or other Employee that has been or will be granted or delegated any duty or power</w:t>
      </w:r>
    </w:p>
    <w:p>
      <w:pPr>
        <w:spacing w:after="0" w:line="211" w:lineRule="auto"/>
        <w:rPr>
          <w:sz w:val="20"/>
          <w:szCs w:val="20"/>
          <w:color w:val="auto"/>
        </w:rPr>
      </w:pPr>
      <w:r>
        <w:rPr>
          <w:rFonts w:ascii="Times New Roman" w:cs="Times New Roman" w:eastAsia="Times New Roman" w:hAnsi="Times New Roman"/>
          <w:sz w:val="20"/>
          <w:szCs w:val="20"/>
          <w:color w:val="auto"/>
        </w:rPr>
        <w:t>relating to the Plan’s administration or interpretation, against any cost or expense (including attorneys’ fees) or liability (including any sum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paid in settlement of a claim with the Administrator’s approval) arising from any act or omission concerning this Plan unless arising from such person’s own fraud or bad faith; provided that he or she gives the Company an opportunity, at its own expense, to handle and defend the</w:t>
      </w:r>
    </w:p>
    <w:p>
      <w:pPr>
        <w:spacing w:after="0" w:line="211" w:lineRule="auto"/>
        <w:rPr>
          <w:sz w:val="20"/>
          <w:szCs w:val="20"/>
          <w:color w:val="auto"/>
        </w:rPr>
      </w:pPr>
      <w:r>
        <w:rPr>
          <w:rFonts w:ascii="Times New Roman" w:cs="Times New Roman" w:eastAsia="Times New Roman" w:hAnsi="Times New Roman"/>
          <w:sz w:val="20"/>
          <w:szCs w:val="20"/>
          <w:color w:val="auto"/>
        </w:rPr>
        <w:t>same before he or she undertakes to handle and defend it on his or her own behalf.</w:t>
      </w: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As a condition for receiving any Award, each Participant explicitly and unambiguously consents to the collection, use and transfer, in electronic or other form, of personal data as described in this Section 11.8 by and among the Company and its</w:t>
      </w:r>
    </w:p>
    <w:p>
      <w:pPr>
        <w:spacing w:after="0" w:line="211" w:lineRule="auto"/>
        <w:rPr>
          <w:sz w:val="20"/>
          <w:szCs w:val="20"/>
          <w:color w:val="auto"/>
        </w:rPr>
      </w:pPr>
      <w:r>
        <w:rPr>
          <w:rFonts w:ascii="Times New Roman" w:cs="Times New Roman" w:eastAsia="Times New Roman" w:hAnsi="Times New Roman"/>
          <w:sz w:val="20"/>
          <w:szCs w:val="20"/>
          <w:color w:val="auto"/>
        </w:rPr>
        <w:t>Subsidiaries and affiliates exclusively for implementing, administering and managing the Participant’s participation in the Plan. The</w:t>
      </w:r>
    </w:p>
    <w:p>
      <w:pPr>
        <w:spacing w:after="0" w:line="215" w:lineRule="auto"/>
        <w:rPr>
          <w:sz w:val="20"/>
          <w:szCs w:val="20"/>
          <w:color w:val="auto"/>
        </w:rPr>
      </w:pPr>
      <w:r>
        <w:rPr>
          <w:rFonts w:ascii="Times New Roman" w:cs="Times New Roman" w:eastAsia="Times New Roman" w:hAnsi="Times New Roman"/>
          <w:sz w:val="19"/>
          <w:szCs w:val="19"/>
          <w:color w:val="auto"/>
        </w:rPr>
        <w:t>Company and its Subsidiaries and affiliates may hold certain personal information about a Participant, including the Participant’s name, address and telephone number; birthdate; social security, insurance number or other identification number; salary; nationality; job title(s); any</w:t>
      </w:r>
    </w:p>
    <w:p>
      <w:pPr>
        <w:spacing w:after="0" w:line="211" w:lineRule="auto"/>
        <w:rPr>
          <w:sz w:val="20"/>
          <w:szCs w:val="20"/>
          <w:color w:val="auto"/>
        </w:rPr>
      </w:pPr>
      <w:r>
        <w:rPr>
          <w:rFonts w:ascii="Times New Roman" w:cs="Times New Roman" w:eastAsia="Times New Roman" w:hAnsi="Times New Roman"/>
          <w:sz w:val="20"/>
          <w:szCs w:val="20"/>
          <w:color w:val="auto"/>
        </w:rPr>
        <w:t>Shares held in the Company or its Subsidiaries and affiliates; and Award details, to implement, manage and administer the Plan and Awards</w:t>
      </w:r>
    </w:p>
    <w:p>
      <w:pPr>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w:t>
      </w:r>
    </w:p>
    <w:p>
      <w:pPr>
        <w:spacing w:after="0" w:line="211" w:lineRule="auto"/>
        <w:rPr>
          <w:sz w:val="20"/>
          <w:szCs w:val="20"/>
          <w:color w:val="auto"/>
        </w:rPr>
      </w:pPr>
      <w:r>
        <w:rPr>
          <w:rFonts w:ascii="Times New Roman" w:cs="Times New Roman" w:eastAsia="Times New Roman" w:hAnsi="Times New Roman"/>
          <w:sz w:val="20"/>
          <w:szCs w:val="20"/>
          <w:color w:val="auto"/>
        </w:rPr>
        <w:t>third parties assisting the Company with Plan implementation, administration and management. These recipients may be located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Participant’s country, or elsewhere, and the Participant’s country may have different data privacy laws and protections than a recipient’s country. By accepting an Award, each Participant authorizes such recipients to receive, possess, use, retain and transfer the Data, in electronic</w:t>
      </w:r>
    </w:p>
    <w:p>
      <w:pPr>
        <w:spacing w:after="0" w:line="211" w:lineRule="auto"/>
        <w:rPr>
          <w:sz w:val="20"/>
          <w:szCs w:val="20"/>
          <w:color w:val="auto"/>
        </w:rPr>
      </w:pPr>
      <w:r>
        <w:rPr>
          <w:rFonts w:ascii="Times New Roman" w:cs="Times New Roman" w:eastAsia="Times New Roman" w:hAnsi="Times New Roman"/>
          <w:sz w:val="20"/>
          <w:szCs w:val="20"/>
          <w:color w:val="auto"/>
        </w:rPr>
        <w:t>or other form, to implement, administer and manage the Participant’s participation in the Plan, including any required Data transfer to a</w:t>
      </w:r>
    </w:p>
    <w:p>
      <w:pPr>
        <w:spacing w:after="0" w:line="204" w:lineRule="auto"/>
        <w:rPr>
          <w:sz w:val="20"/>
          <w:szCs w:val="20"/>
          <w:color w:val="auto"/>
        </w:rPr>
      </w:pPr>
      <w:r>
        <w:rPr>
          <w:rFonts w:ascii="Times New Roman" w:cs="Times New Roman" w:eastAsia="Times New Roman" w:hAnsi="Times New Roman"/>
          <w:sz w:val="20"/>
          <w:szCs w:val="20"/>
          <w:color w:val="auto"/>
        </w:rPr>
        <w:t>broker or other third party with whom the Company or the Participant may elect to deposit any Shares. The Data related to a Participant will be held only as long as necessary to implement, administer, and manage the Participant’s participation in the Plan. A Participant may, at any</w:t>
      </w:r>
    </w:p>
    <w:p>
      <w:pPr>
        <w:spacing w:after="0" w:line="211" w:lineRule="auto"/>
        <w:rPr>
          <w:sz w:val="20"/>
          <w:szCs w:val="20"/>
          <w:color w:val="auto"/>
        </w:rPr>
      </w:pPr>
      <w:r>
        <w:rPr>
          <w:rFonts w:ascii="Times New Roman" w:cs="Times New Roman" w:eastAsia="Times New Roman" w:hAnsi="Times New Roman"/>
          <w:sz w:val="20"/>
          <w:szCs w:val="20"/>
          <w:color w:val="auto"/>
        </w:rPr>
        <w:t>time, view the Data that the Company holds regarding such Participant, request additional information about the storage and processing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Data regarding such Participant, recommend any necessary corrections to the Data regarding the Participant or refuse or withdraw the consents in this Section 11.8 in writing, without cost, by contacting the local human resources representative. The Company may cancel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Participant’s ability to participate in the Plan and, in the Administrator’s sole discretion, the Participant may forfeit any outstanding Awards if the Participant refuses or withdraws the consents in this Section 11.8. For more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auto"/>
        </w:rPr>
        <w:t>information on the consequences of refusing or withdrawing consent, Participants may contact their local human resources representative.</w:t>
      </w: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11.9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w:t>
      </w:r>
    </w:p>
    <w:p>
      <w:pPr>
        <w:spacing w:after="0" w:line="211" w:lineRule="auto"/>
        <w:rPr>
          <w:sz w:val="20"/>
          <w:szCs w:val="20"/>
          <w:color w:val="auto"/>
        </w:rPr>
      </w:pPr>
      <w:r>
        <w:rPr>
          <w:rFonts w:ascii="Times New Roman" w:cs="Times New Roman" w:eastAsia="Times New Roman" w:hAnsi="Times New Roman"/>
          <w:sz w:val="20"/>
          <w:szCs w:val="20"/>
          <w:color w:val="auto"/>
        </w:rPr>
        <w:t>been excluded, and the illegal or invalid action will be null and void.</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If any contradiction occurs between the Plan and any Award Agreement or other written agreement between a Participant and the Company (or any Subsidiary), the Plan will govern, unless such Award Agreement or other written agreement</w:t>
      </w:r>
    </w:p>
    <w:p>
      <w:pPr>
        <w:spacing w:after="0" w:line="211" w:lineRule="auto"/>
        <w:rPr>
          <w:sz w:val="20"/>
          <w:szCs w:val="20"/>
          <w:color w:val="auto"/>
        </w:rPr>
      </w:pPr>
      <w:r>
        <w:rPr>
          <w:rFonts w:ascii="Times New Roman" w:cs="Times New Roman" w:eastAsia="Times New Roman" w:hAnsi="Times New Roman"/>
          <w:sz w:val="20"/>
          <w:szCs w:val="20"/>
          <w:color w:val="auto"/>
        </w:rPr>
        <w:t>was approved by the Administrator and expressly provides that a specific provision of the Plan will not apply.</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all Awards will be governed by and interpreted in accordance with the laws of the State of Nevada, without regard to the conflict of law rules thereof or of any other jurisdiction. By accepting an Award, each Participant irrevocably</w:t>
      </w:r>
    </w:p>
    <w:p>
      <w:pPr>
        <w:spacing w:after="0" w:line="223" w:lineRule="auto"/>
        <w:rPr>
          <w:sz w:val="20"/>
          <w:szCs w:val="20"/>
          <w:color w:val="auto"/>
        </w:rPr>
      </w:pPr>
      <w:r>
        <w:rPr>
          <w:rFonts w:ascii="Times New Roman" w:cs="Times New Roman" w:eastAsia="Times New Roman" w:hAnsi="Times New Roman"/>
          <w:sz w:val="19"/>
          <w:szCs w:val="19"/>
          <w:color w:val="auto"/>
        </w:rPr>
        <w:t>and unconditionally consents to submit to the exclusive jurisdiction of the courts of the State of Nevada and of the United States of America,</w:t>
      </w:r>
    </w:p>
    <w:p>
      <w:pPr>
        <w:spacing w:after="0" w:line="215" w:lineRule="auto"/>
        <w:rPr>
          <w:sz w:val="20"/>
          <w:szCs w:val="20"/>
          <w:color w:val="auto"/>
        </w:rPr>
      </w:pPr>
      <w:r>
        <w:rPr>
          <w:rFonts w:ascii="Times New Roman" w:cs="Times New Roman" w:eastAsia="Times New Roman" w:hAnsi="Times New Roman"/>
          <w:sz w:val="19"/>
          <w:szCs w:val="19"/>
          <w:color w:val="auto"/>
        </w:rPr>
        <w:t>in each case located in the State of Nevada, for any action arising out of or relating to the Plan (and agrees not to commence any litigation relating thereto except in such courts), and further agrees that service of any process, summons, notice or document by U.S. registered mail to</w:t>
      </w:r>
    </w:p>
    <w:p>
      <w:pPr>
        <w:spacing w:after="0" w:line="211" w:lineRule="auto"/>
        <w:rPr>
          <w:sz w:val="20"/>
          <w:szCs w:val="20"/>
          <w:color w:val="auto"/>
        </w:rPr>
      </w:pPr>
      <w:r>
        <w:rPr>
          <w:rFonts w:ascii="Times New Roman" w:cs="Times New Roman" w:eastAsia="Times New Roman" w:hAnsi="Times New Roman"/>
          <w:sz w:val="20"/>
          <w:szCs w:val="20"/>
          <w:color w:val="auto"/>
        </w:rPr>
        <w:t>the address contained in the records of the Company shall be effective service of process for any litigation brought against it in any such</w:t>
      </w:r>
    </w:p>
    <w:p>
      <w:pPr>
        <w:spacing w:after="0" w:line="215" w:lineRule="auto"/>
        <w:rPr>
          <w:sz w:val="20"/>
          <w:szCs w:val="20"/>
          <w:color w:val="auto"/>
        </w:rPr>
      </w:pPr>
      <w:r>
        <w:rPr>
          <w:rFonts w:ascii="Times New Roman" w:cs="Times New Roman" w:eastAsia="Times New Roman" w:hAnsi="Times New Roman"/>
          <w:sz w:val="19"/>
          <w:szCs w:val="19"/>
          <w:color w:val="auto"/>
        </w:rPr>
        <w:t>court. By accepting an Award, each Participant irrevocably and unconditionally waives any objection to the laying of venue of any litigation arising out of the Plan or Award hereunder in the courts of the State of Nevada or the United States of America, in each case located in the</w:t>
      </w:r>
    </w:p>
    <w:p>
      <w:pPr>
        <w:spacing w:after="0" w:line="211" w:lineRule="auto"/>
        <w:rPr>
          <w:sz w:val="20"/>
          <w:szCs w:val="20"/>
          <w:color w:val="auto"/>
        </w:rPr>
      </w:pPr>
      <w:r>
        <w:rPr>
          <w:rFonts w:ascii="Times New Roman" w:cs="Times New Roman" w:eastAsia="Times New Roman" w:hAnsi="Times New Roman"/>
          <w:sz w:val="20"/>
          <w:szCs w:val="20"/>
          <w:color w:val="auto"/>
        </w:rPr>
        <w:t>State of Nevada, and further irrevocably and unconditionally waives and agrees not to plead or claim in any such court that any such</w:t>
      </w:r>
    </w:p>
    <w:p>
      <w:pPr>
        <w:ind w:right="20"/>
        <w:spacing w:after="0" w:line="204" w:lineRule="auto"/>
        <w:rPr>
          <w:sz w:val="20"/>
          <w:szCs w:val="20"/>
          <w:color w:val="auto"/>
        </w:rPr>
      </w:pPr>
      <w:r>
        <w:rPr>
          <w:rFonts w:ascii="Times New Roman" w:cs="Times New Roman" w:eastAsia="Times New Roman" w:hAnsi="Times New Roman"/>
          <w:sz w:val="20"/>
          <w:szCs w:val="20"/>
          <w:color w:val="auto"/>
        </w:rPr>
        <w:t>litigation brought in any such court has been brought in an inconvenient forum. By accepting an Award, each Participant irrevocably and unconditionally waives, to the fullest extent permitted by applicable law, any and all rights to trial by jury in connection with any litigation</w:t>
      </w:r>
    </w:p>
    <w:p>
      <w:pPr>
        <w:spacing w:after="0" w:line="197" w:lineRule="auto"/>
        <w:rPr>
          <w:sz w:val="20"/>
          <w:szCs w:val="20"/>
          <w:color w:val="auto"/>
        </w:rPr>
      </w:pPr>
      <w:r>
        <w:rPr>
          <w:rFonts w:ascii="Times New Roman" w:cs="Times New Roman" w:eastAsia="Times New Roman" w:hAnsi="Times New Roman"/>
          <w:sz w:val="20"/>
          <w:szCs w:val="20"/>
          <w:color w:val="auto"/>
        </w:rPr>
        <w:t>arising out of or relating to the Plan or any Award hereunder.</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the gross amount of any proceeds, gains or other economic benefit the Participant actually or constructively receives upon receipt or exercise of any Award or the receipt or resale of any Shares underlying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9"/>
          <w:szCs w:val="19"/>
          <w:color w:val="auto"/>
        </w:rPr>
        <w:t xml:space="preserve">11.14 </w:t>
      </w:r>
      <w:r>
        <w:rPr>
          <w:rFonts w:ascii="Times New Roman" w:cs="Times New Roman" w:eastAsia="Times New Roman" w:hAnsi="Times New Roman"/>
          <w:sz w:val="19"/>
          <w:szCs w:val="19"/>
          <w:u w:val="single" w:color="auto"/>
          <w:color w:val="auto"/>
        </w:rPr>
        <w:t>Conformity to Applicable Law</w:t>
      </w:r>
      <w:r>
        <w:rPr>
          <w:rFonts w:ascii="Times New Roman" w:cs="Times New Roman" w:eastAsia="Times New Roman" w:hAnsi="Times New Roman"/>
          <w:sz w:val="19"/>
          <w:szCs w:val="19"/>
          <w:color w:val="auto"/>
        </w:rPr>
        <w:t>. Participant acknowledges that the Plan is intended to conform to the extent necessary with Applicable Law. Notwithstanding anything herein to the contrary, the Plan and all Awards will be administered only in a manner intended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conform with Applicable Law. To the extent Applicable Law permits, the Plan and all Award Agreements will be deemed amended as necessary to conform to Applicable Law.</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Relationship to Other Benefits</w:t>
      </w:r>
      <w:r>
        <w:rPr>
          <w:rFonts w:ascii="Times New Roman" w:cs="Times New Roman" w:eastAsia="Times New Roman" w:hAnsi="Times New Roman"/>
          <w:sz w:val="19"/>
          <w:szCs w:val="19"/>
          <w:color w:val="auto"/>
        </w:rPr>
        <w:t>. No payment under the Plan will be taken into account in determining any benefits under any</w:t>
      </w:r>
    </w:p>
    <w:p>
      <w:pPr>
        <w:spacing w:after="0" w:line="204" w:lineRule="auto"/>
        <w:rPr>
          <w:sz w:val="20"/>
          <w:szCs w:val="20"/>
          <w:color w:val="auto"/>
        </w:rPr>
      </w:pPr>
      <w:r>
        <w:rPr>
          <w:rFonts w:ascii="Times New Roman" w:cs="Times New Roman" w:eastAsia="Times New Roman" w:hAnsi="Times New Roman"/>
          <w:sz w:val="20"/>
          <w:szCs w:val="20"/>
          <w:color w:val="auto"/>
        </w:rPr>
        <w:t>pension, retirement, savings, profit sharing, group insurance, welfare or other benefit plan of the Company or any Subsidiary, except as expressly provided in writing in such other plan or an agreement thereunder.</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The Plan is intended to be an “unfunded” plan for incentive compensation. With respect to any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payments not yet made to a Participant pursuant to an Award, nothing contained in the Plan or Award Agreement shall give the Participant any rights that are greater than those of a general creditor of the Company or any Subsidiary.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the Plan and any Award</w:t>
      </w:r>
    </w:p>
    <w:p>
      <w:pPr>
        <w:spacing w:after="0" w:line="215" w:lineRule="auto"/>
        <w:rPr>
          <w:sz w:val="20"/>
          <w:szCs w:val="20"/>
          <w:color w:val="auto"/>
        </w:rPr>
      </w:pPr>
      <w:r>
        <w:rPr>
          <w:rFonts w:ascii="Times New Roman" w:cs="Times New Roman" w:eastAsia="Times New Roman" w:hAnsi="Times New Roman"/>
          <w:sz w:val="19"/>
          <w:szCs w:val="19"/>
          <w:color w:val="auto"/>
        </w:rPr>
        <w:t>granted or awarded to any individual who is then subject to Section 16 of the Exchange Act shall be subject to any additional limitations set forth in any applicable exemptive rule under Section 16 of the Exchange Act (including Rule 16b-3) that are requirements for the application</w:t>
      </w:r>
    </w:p>
    <w:p>
      <w:pPr>
        <w:ind w:right="20"/>
        <w:spacing w:after="0" w:line="228" w:lineRule="auto"/>
        <w:rPr>
          <w:sz w:val="20"/>
          <w:szCs w:val="20"/>
          <w:color w:val="auto"/>
        </w:rPr>
      </w:pPr>
      <w:r>
        <w:rPr>
          <w:rFonts w:ascii="Times New Roman" w:cs="Times New Roman" w:eastAsia="Times New Roman" w:hAnsi="Times New Roman"/>
          <w:sz w:val="20"/>
          <w:szCs w:val="20"/>
          <w:color w:val="auto"/>
        </w:rPr>
        <w:t>of such exemptive rule. To the extent permitted by Applicable Law, the Plan and Awards granted or awarded hereunder shall be deemed amended to the extent necessary to conform to such applicable exemptive rule.</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11.18 </w:t>
      </w:r>
      <w:r>
        <w:rPr>
          <w:rFonts w:ascii="Times New Roman" w:cs="Times New Roman" w:eastAsia="Times New Roman" w:hAnsi="Times New Roman"/>
          <w:sz w:val="20"/>
          <w:szCs w:val="20"/>
          <w:u w:val="single" w:color="auto"/>
          <w:color w:val="auto"/>
        </w:rPr>
        <w:t>Prohibition on Executive Officer and Director Loans</w:t>
      </w:r>
      <w:r>
        <w:rPr>
          <w:rFonts w:ascii="Times New Roman" w:cs="Times New Roman" w:eastAsia="Times New Roman" w:hAnsi="Times New Roman"/>
          <w:sz w:val="20"/>
          <w:szCs w:val="20"/>
          <w:color w:val="auto"/>
        </w:rPr>
        <w:t>. Notwithstanding any other provision of the Plan to the contrary, no Participant who is a Director or an “executive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Company within the meaning of Section 13(k) of the Exchange Act shall be permitted to make payment with respect to any Awards granted</w:t>
      </w:r>
    </w:p>
    <w:p>
      <w:pPr>
        <w:ind w:right="20"/>
        <w:spacing w:after="0" w:line="221" w:lineRule="auto"/>
        <w:rPr>
          <w:sz w:val="20"/>
          <w:szCs w:val="20"/>
          <w:color w:val="auto"/>
        </w:rPr>
      </w:pPr>
      <w:r>
        <w:rPr>
          <w:rFonts w:ascii="Times New Roman" w:cs="Times New Roman" w:eastAsia="Times New Roman" w:hAnsi="Times New Roman"/>
          <w:sz w:val="20"/>
          <w:szCs w:val="20"/>
          <w:color w:val="auto"/>
        </w:rPr>
        <w:t>under the Plan, or continue any extension of credit with respect to such payment, with a loan from the Company or a loan arranged by the Company in violation of Section 13(k) of the Exchange Act.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u w:val="single" w:color="auto"/>
          <w:color w:val="auto"/>
        </w:rPr>
        <w:t>Broker-Assisted Sales</w:t>
      </w:r>
      <w:r>
        <w:rPr>
          <w:rFonts w:ascii="Times New Roman" w:cs="Times New Roman" w:eastAsia="Times New Roman" w:hAnsi="Times New Roman"/>
          <w:sz w:val="19"/>
          <w:szCs w:val="19"/>
          <w:color w:val="auto"/>
        </w:rPr>
        <w:t>. In the event of a broker-assisted sale of Shares in connection with the payment of amounts owed by a</w:t>
      </w:r>
    </w:p>
    <w:p>
      <w:pPr>
        <w:spacing w:after="0" w:line="215" w:lineRule="auto"/>
        <w:rPr>
          <w:sz w:val="20"/>
          <w:szCs w:val="20"/>
          <w:color w:val="auto"/>
        </w:rPr>
      </w:pPr>
      <w:r>
        <w:rPr>
          <w:rFonts w:ascii="Times New Roman" w:cs="Times New Roman" w:eastAsia="Times New Roman" w:hAnsi="Times New Roman"/>
          <w:sz w:val="19"/>
          <w:szCs w:val="19"/>
          <w:color w:val="auto"/>
        </w:rPr>
        <w:t>Participant under or with respect to the Plan or Awards, including amounts to be paid under the final sentence of Section 10.5: (a) any Shares to be sold through the broker-assisted sale will be sold on the day the payment first becomes due, or as soon thereafter as practicable; (b) such</w:t>
      </w:r>
    </w:p>
    <w:p>
      <w:pPr>
        <w:spacing w:after="0" w:line="211" w:lineRule="auto"/>
        <w:rPr>
          <w:sz w:val="20"/>
          <w:szCs w:val="20"/>
          <w:color w:val="auto"/>
        </w:rPr>
      </w:pPr>
      <w:r>
        <w:rPr>
          <w:rFonts w:ascii="Times New Roman" w:cs="Times New Roman" w:eastAsia="Times New Roman" w:hAnsi="Times New Roman"/>
          <w:sz w:val="20"/>
          <w:szCs w:val="20"/>
          <w:color w:val="auto"/>
        </w:rPr>
        <w:t>Shares may be sold as part of a block trade with other Participants in the Plan in which all Participants receive an average price; (c) the</w:t>
      </w:r>
    </w:p>
    <w:p>
      <w:pPr>
        <w:spacing w:after="0" w:line="204" w:lineRule="auto"/>
        <w:rPr>
          <w:sz w:val="20"/>
          <w:szCs w:val="20"/>
          <w:color w:val="auto"/>
        </w:rPr>
      </w:pPr>
      <w:r>
        <w:rPr>
          <w:rFonts w:ascii="Times New Roman" w:cs="Times New Roman" w:eastAsia="Times New Roman" w:hAnsi="Times New Roman"/>
          <w:sz w:val="20"/>
          <w:szCs w:val="20"/>
          <w:color w:val="auto"/>
        </w:rPr>
        <w:t>applicable Participant will be responsible for all broker’s fees and other costs of sale, and by accepting an Award, each Participant agrees to indemnify and hold the Company and its Directors, officers and other Employees harmless from any losses, costs, damages, or expenses</w:t>
      </w:r>
    </w:p>
    <w:p>
      <w:pPr>
        <w:spacing w:after="0" w:line="211" w:lineRule="auto"/>
        <w:rPr>
          <w:sz w:val="20"/>
          <w:szCs w:val="20"/>
          <w:color w:val="auto"/>
        </w:rPr>
      </w:pPr>
      <w:r>
        <w:rPr>
          <w:rFonts w:ascii="Times New Roman" w:cs="Times New Roman" w:eastAsia="Times New Roman" w:hAnsi="Times New Roman"/>
          <w:sz w:val="20"/>
          <w:szCs w:val="20"/>
          <w:color w:val="auto"/>
        </w:rPr>
        <w:t>relating to any such sale; (d) to the extent the Company or its designee receives proceeds of such sale that exceed the amount owed,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w:t>
      </w:r>
    </w:p>
    <w:p>
      <w:pPr>
        <w:spacing w:after="0" w:line="217" w:lineRule="auto"/>
        <w:rPr>
          <w:sz w:val="20"/>
          <w:szCs w:val="20"/>
          <w:color w:val="auto"/>
        </w:rPr>
      </w:pPr>
      <w:r>
        <w:rPr>
          <w:rFonts w:ascii="Times New Roman" w:cs="Times New Roman" w:eastAsia="Times New Roman" w:hAnsi="Times New Roman"/>
          <w:sz w:val="20"/>
          <w:szCs w:val="20"/>
          <w:color w:val="auto"/>
        </w:rPr>
        <w:t>Participant’s applicable obligation, the Participant may be required to pay immediately upon demand to the Company or its designee an amount in cash sufficient to satisfy any remaining portion of the Participant’s obligation.</w:t>
      </w:r>
    </w:p>
    <w:p>
      <w:pPr>
        <w:jc w:val="center"/>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00" w:lineRule="exact"/>
        <w:rPr>
          <w:sz w:val="20"/>
          <w:szCs w:val="20"/>
          <w:color w:val="auto"/>
        </w:rPr>
      </w:pPr>
    </w:p>
    <w:p>
      <w:pPr>
        <w:spacing w:after="0" w:line="24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2021 EMPLOYEE STOCK PURCHASE PLAN</w:t>
      </w:r>
    </w:p>
    <w:p>
      <w:pPr>
        <w:spacing w:after="0" w:line="391"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20"/>
          <w:szCs w:val="20"/>
          <w:b w:val="1"/>
          <w:bCs w:val="1"/>
          <w:color w:val="auto"/>
        </w:rPr>
        <w:t>ARTICLE 1</w:t>
      </w:r>
    </w:p>
    <w:p>
      <w:pPr>
        <w:jc w:val="right"/>
        <w:ind w:right="516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1.1 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Section 423 Component that fail to qualify with the requirements of Section 423 of the Code shall be deemed made under the Non-Section 423 Component, and Offerings intended to be made under the Non-Section 423 Component will be designated as such by the Administrator at or prior to the time of such Offering.</w:t>
      </w:r>
    </w:p>
    <w:p>
      <w:pPr>
        <w:spacing w:after="0" w:line="18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2</w:t>
      </w: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the Plan, the following words and phrases have the meanings specified below, unless the context clearly indicates otherwise:</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Committee, or such individuals to which authority to administer the Plan has been delegated under Section 7.1 hereof.</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means the brokerage firm, bank or other financial institution, entity or person(s), if any, engaged, retained, appointed or authorized to act as the agent of the Company or an Employee with regard to the Plan.</w:t>
      </w:r>
    </w:p>
    <w:p>
      <w:pPr>
        <w:sectPr>
          <w:pgSz w:w="11900" w:h="16838" w:orient="portrait"/>
          <w:cols w:equalWidth="0" w:num="1">
            <w:col w:w="11240"/>
          </w:cols>
          <w:pgMar w:left="320" w:top="1409" w:right="339" w:bottom="1440" w:gutter="0" w:footer="0" w:header="0"/>
        </w:sectPr>
      </w:pPr>
    </w:p>
    <w:bookmarkStart w:id="162" w:name="page163"/>
    <w:bookmarkEnd w:id="16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all regulations, guidance, compliance programs and other interpretative authority issued thereunder.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the Compensation Committee of the Board.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Class A common stock of the Company.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Brilliant Earth Group, Inc., a Nevada corporation, or any successor.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Compensation</w:t>
      </w:r>
      <w:r>
        <w:rPr>
          <w:rFonts w:ascii="Times New Roman" w:cs="Times New Roman" w:eastAsia="Times New Roman" w:hAnsi="Times New Roman"/>
          <w:sz w:val="19"/>
          <w:szCs w:val="19"/>
          <w:color w:val="auto"/>
        </w:rPr>
        <w:t>” of an Employee means the regular earnings or base salary paid to the Employee from the Company on each</w:t>
      </w:r>
    </w:p>
    <w:p>
      <w:pPr>
        <w:spacing w:after="0" w:line="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Payday as compensation for services to the Company or any Designated Subsidiary, before deduction for any salary deferral contributions made by the Employee to any tax-qualified or nonqualified deferred compensation plan, including overtime, shift differentials, vacation pay,</w:t>
      </w:r>
    </w:p>
    <w:p>
      <w:pPr>
        <w:spacing w:after="0" w:line="222" w:lineRule="auto"/>
        <w:rPr>
          <w:sz w:val="20"/>
          <w:szCs w:val="20"/>
          <w:color w:val="auto"/>
        </w:rPr>
      </w:pPr>
      <w:r>
        <w:rPr>
          <w:rFonts w:ascii="Times New Roman" w:cs="Times New Roman" w:eastAsia="Times New Roman" w:hAnsi="Times New Roman"/>
          <w:sz w:val="19"/>
          <w:szCs w:val="19"/>
          <w:color w:val="auto"/>
        </w:rPr>
        <w:t>salaried production schedule premiums, holiday pay, jury duty pay, funeral leave pay, paid time off, military pay and prior week adjustments,</w:t>
      </w:r>
    </w:p>
    <w:p>
      <w:pPr>
        <w:spacing w:after="0" w:line="204" w:lineRule="auto"/>
        <w:rPr>
          <w:sz w:val="20"/>
          <w:szCs w:val="20"/>
          <w:color w:val="auto"/>
        </w:rPr>
      </w:pPr>
      <w:r>
        <w:rPr>
          <w:rFonts w:ascii="Times New Roman" w:cs="Times New Roman" w:eastAsia="Times New Roman" w:hAnsi="Times New Roman"/>
          <w:sz w:val="20"/>
          <w:szCs w:val="20"/>
          <w:color w:val="auto"/>
        </w:rPr>
        <w:t>but excluding bonuses and commissions, education or tuition reimbursements, imputed income arising under any group insurance or benefit program, travel expenses, business and moving reimbursements, including tax gross ups and taxable mileage allowance, income received in</w:t>
      </w:r>
    </w:p>
    <w:p>
      <w:pPr>
        <w:spacing w:after="0" w:line="223" w:lineRule="auto"/>
        <w:rPr>
          <w:sz w:val="20"/>
          <w:szCs w:val="20"/>
          <w:color w:val="auto"/>
        </w:rPr>
      </w:pPr>
      <w:r>
        <w:rPr>
          <w:rFonts w:ascii="Times New Roman" w:cs="Times New Roman" w:eastAsia="Times New Roman" w:hAnsi="Times New Roman"/>
          <w:sz w:val="19"/>
          <w:szCs w:val="19"/>
          <w:color w:val="auto"/>
        </w:rPr>
        <w:t>connection with any stock options, restricted stock, restricted stock units or other compensatory equity awards and all contributions made by</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Company or any Designated Subsidiary for the Employee’s benefit under any employee benefit plan now or hereafter established. For any Participants in non-U.S. jurisdictions, any equivalent amounts of the foregoing compensation shall be determined by the Administrator.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Compensation shall be calculated before deduction of any income or employment tax withholdings, but such amounts shall be withheld from the Employee’s net income.</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Subsidiary</w:t>
      </w:r>
      <w:r>
        <w:rPr>
          <w:rFonts w:ascii="Times New Roman" w:cs="Times New Roman" w:eastAsia="Times New Roman" w:hAnsi="Times New Roman"/>
          <w:sz w:val="20"/>
          <w:szCs w:val="20"/>
          <w:color w:val="auto"/>
        </w:rPr>
        <w:t>” means each Subsidiary, including any Subsidiary in existence on the Effective Date and any</w:t>
      </w:r>
    </w:p>
    <w:p>
      <w:pPr>
        <w:spacing w:after="0" w:line="215" w:lineRule="auto"/>
        <w:rPr>
          <w:sz w:val="20"/>
          <w:szCs w:val="20"/>
          <w:color w:val="auto"/>
        </w:rPr>
      </w:pPr>
      <w:r>
        <w:rPr>
          <w:rFonts w:ascii="Times New Roman" w:cs="Times New Roman" w:eastAsia="Times New Roman" w:hAnsi="Times New Roman"/>
          <w:sz w:val="19"/>
          <w:szCs w:val="19"/>
          <w:color w:val="auto"/>
        </w:rPr>
        <w:t>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w:t>
      </w:r>
    </w:p>
    <w:p>
      <w:pPr>
        <w:spacing w:after="0" w:line="211" w:lineRule="auto"/>
        <w:rPr>
          <w:sz w:val="20"/>
          <w:szCs w:val="20"/>
          <w:color w:val="auto"/>
        </w:rPr>
      </w:pPr>
      <w:r>
        <w:rPr>
          <w:rFonts w:ascii="Times New Roman" w:cs="Times New Roman" w:eastAsia="Times New Roman" w:hAnsi="Times New Roman"/>
          <w:sz w:val="20"/>
          <w:szCs w:val="20"/>
          <w:color w:val="auto"/>
        </w:rPr>
        <w:t>is in the Section 423 Component or Non-Section 423 Component. A Designated Subsidiary may participate in either the Section 423</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Component or Non-Section 423 Component, but not both;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Subsidiary that, for U.S. tax purposes, is disregarded from the Company or any Subsidiary that participates in the Section 423 Component shall automatically constitute a Designated Subsidiary that</w:t>
      </w:r>
    </w:p>
    <w:p>
      <w:pPr>
        <w:spacing w:after="0" w:line="211" w:lineRule="auto"/>
        <w:rPr>
          <w:sz w:val="20"/>
          <w:szCs w:val="20"/>
          <w:color w:val="auto"/>
        </w:rPr>
      </w:pPr>
      <w:r>
        <w:rPr>
          <w:rFonts w:ascii="Times New Roman" w:cs="Times New Roman" w:eastAsia="Times New Roman" w:hAnsi="Times New Roman"/>
          <w:sz w:val="20"/>
          <w:szCs w:val="20"/>
          <w:color w:val="auto"/>
        </w:rPr>
        <w:t>participates in the Section 423 Component. The designation by the Administrator of Designated Subsidiaries and changes in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designations by the Administrator shall not require stockholder approval. Only Subsidiary Corporations may be designated as Designated Subsidiaries for purposes of the Section 423 Component, and if an entity does not so qualify, it shall automatically be deemed to constitute a</w:t>
      </w:r>
    </w:p>
    <w:p>
      <w:pPr>
        <w:spacing w:after="0"/>
        <w:rPr>
          <w:sz w:val="20"/>
          <w:szCs w:val="20"/>
          <w:color w:val="auto"/>
        </w:rPr>
      </w:pPr>
      <w:r>
        <w:rPr>
          <w:rFonts w:ascii="Times New Roman" w:cs="Times New Roman" w:eastAsia="Times New Roman" w:hAnsi="Times New Roman"/>
          <w:sz w:val="20"/>
          <w:szCs w:val="20"/>
          <w:color w:val="auto"/>
        </w:rPr>
        <w:t>Designated Subsidiary that participates in the Non-Section 423 Component</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means the date immediately prior to the Public Trading Date.</w:t>
      </w:r>
    </w:p>
    <w:p>
      <w:pPr>
        <w:spacing w:after="0" w:line="17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Eligible Employee</w:t>
      </w:r>
      <w:r>
        <w:rPr>
          <w:rFonts w:ascii="Times New Roman" w:cs="Times New Roman" w:eastAsia="Times New Roman" w:hAnsi="Times New Roman"/>
          <w:sz w:val="19"/>
          <w:szCs w:val="19"/>
          <w:color w:val="auto"/>
        </w:rPr>
        <w:t>” means, except as otherwise provided by the Administrator or in an Offering Document, an Employee:</w:t>
      </w:r>
    </w:p>
    <w:p>
      <w:pPr>
        <w:spacing w:after="0" w:line="193" w:lineRule="exact"/>
        <w:rPr>
          <w:sz w:val="20"/>
          <w:szCs w:val="20"/>
          <w:color w:val="auto"/>
        </w:rPr>
      </w:pPr>
    </w:p>
    <w:p>
      <w:pPr>
        <w:ind w:left="1940" w:hanging="636"/>
        <w:spacing w:after="0"/>
        <w:tabs>
          <w:tab w:leader="none" w:pos="19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is customarily scheduled to work at least 20 hours per week;</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whose customary employment is more than five months in a calendar year; and</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8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174" w:lineRule="exact"/>
        <w:rPr>
          <w:rFonts w:ascii="Times New Roman" w:cs="Times New Roman" w:eastAsia="Times New Roman" w:hAnsi="Times New Roman"/>
          <w:sz w:val="20"/>
          <w:szCs w:val="20"/>
          <w:color w:val="auto"/>
        </w:rPr>
      </w:pPr>
    </w:p>
    <w:p>
      <w:pPr>
        <w:jc w:val="both"/>
        <w:ind w:firstLine="8"/>
        <w:spacing w:after="0" w:line="261" w:lineRule="auto"/>
        <w:tabs>
          <w:tab w:leader="none" w:pos="63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163" w:name="page164"/>
    <w:bookmarkEnd w:id="163"/>
    <w:p>
      <w:pPr>
        <w:ind w:firstLine="8"/>
        <w:spacing w:after="0" w:line="283" w:lineRule="auto"/>
        <w:tabs>
          <w:tab w:leader="none" w:pos="6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Administrator may exclude from participation in the Section 423 Component as an Eligible Employee:</w:t>
      </w:r>
    </w:p>
    <w:p>
      <w:pPr>
        <w:spacing w:after="0" w:line="146" w:lineRule="exact"/>
        <w:rPr>
          <w:rFonts w:ascii="Times New Roman" w:cs="Times New Roman" w:eastAsia="Times New Roman" w:hAnsi="Times New Roman"/>
          <w:sz w:val="20"/>
          <w:szCs w:val="20"/>
          <w:color w:val="auto"/>
        </w:rPr>
      </w:pPr>
    </w:p>
    <w:p>
      <w:pPr>
        <w:jc w:val="both"/>
        <w:ind w:right="20" w:firstLine="1952"/>
        <w:spacing w:after="0" w:line="261" w:lineRule="auto"/>
        <w:tabs>
          <w:tab w:leader="none" w:pos="258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8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88" w:lineRule="exact"/>
        <w:rPr>
          <w:sz w:val="20"/>
          <w:szCs w:val="20"/>
          <w:color w:val="auto"/>
        </w:rPr>
      </w:pPr>
    </w:p>
    <w:p>
      <w:pPr>
        <w:jc w:val="both"/>
        <w:ind w:firstLine="8"/>
        <w:spacing w:after="0" w:line="254" w:lineRule="auto"/>
        <w:tabs>
          <w:tab w:leader="none" w:pos="63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exclusion in clauses (x) or (y) shall be applied in an identical manner under each Offering to all Employees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all Designated Subsidiaries, in 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7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 individual who renders services to a Designated Subsidiary in the status of an employee, and, with respect to the Section 423 Component, a person who is an officer or other employee (as defined in accordance with Section 3401(c) of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Code) of the Company or any Designated Subsidiary. The Company shall determine in good faith and in the exercise of its discretion whether an individual has become or has ceased to be an Employee and the effective date of such individual’s attainment or termination of such</w:t>
      </w:r>
    </w:p>
    <w:p>
      <w:pPr>
        <w:spacing w:after="0" w:line="211" w:lineRule="auto"/>
        <w:rPr>
          <w:sz w:val="20"/>
          <w:szCs w:val="20"/>
          <w:color w:val="auto"/>
        </w:rPr>
      </w:pPr>
      <w:r>
        <w:rPr>
          <w:rFonts w:ascii="Times New Roman" w:cs="Times New Roman" w:eastAsia="Times New Roman" w:hAnsi="Times New Roman"/>
          <w:sz w:val="20"/>
          <w:szCs w:val="20"/>
          <w:color w:val="auto"/>
        </w:rPr>
        <w:t>status. For purposes of an individual’s participation in, or other rights under the Plan, all such determinations by the Company shall be final,</w:t>
      </w:r>
    </w:p>
    <w:p>
      <w:pPr>
        <w:spacing w:after="0" w:line="204" w:lineRule="auto"/>
        <w:rPr>
          <w:sz w:val="20"/>
          <w:szCs w:val="20"/>
          <w:color w:val="auto"/>
        </w:rPr>
      </w:pPr>
      <w:r>
        <w:rPr>
          <w:rFonts w:ascii="Times New Roman" w:cs="Times New Roman" w:eastAsia="Times New Roman" w:hAnsi="Times New Roman"/>
          <w:sz w:val="20"/>
          <w:szCs w:val="20"/>
          <w:color w:val="auto"/>
        </w:rPr>
        <w:t>binding and conclusive, notwithstanding that any court of law or governmental agency subsequently makes a contrary determination. For purposes of the Plan, the employment relationship shall be treated as continuing intact while the individual is on sick leave or other leave of</w:t>
      </w:r>
    </w:p>
    <w:p>
      <w:pPr>
        <w:spacing w:after="0" w:line="211" w:lineRule="auto"/>
        <w:rPr>
          <w:sz w:val="20"/>
          <w:szCs w:val="20"/>
          <w:color w:val="auto"/>
        </w:rPr>
      </w:pPr>
      <w:r>
        <w:rPr>
          <w:rFonts w:ascii="Times New Roman" w:cs="Times New Roman" w:eastAsia="Times New Roman" w:hAnsi="Times New Roman"/>
          <w:sz w:val="20"/>
          <w:szCs w:val="20"/>
          <w:color w:val="auto"/>
        </w:rPr>
        <w:t>absence approved by the Company or a Designated Subsidiary (which, for purposes of the Section 423 Component, must meet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requirements of Treas. Reg. § 1.421-7(h)(2)). For purposes of the Section 423 Component, where the period of an approved leave of absence exceeds three months, or such other period specified in Treas. Reg. § 1.421-1(h)(2), and the individual’s right to reemployment is not</w:t>
      </w:r>
    </w:p>
    <w:p>
      <w:pPr>
        <w:spacing w:after="0" w:line="228" w:lineRule="auto"/>
        <w:rPr>
          <w:sz w:val="20"/>
          <w:szCs w:val="20"/>
          <w:color w:val="auto"/>
        </w:rPr>
      </w:pPr>
      <w:r>
        <w:rPr>
          <w:rFonts w:ascii="Times New Roman" w:cs="Times New Roman" w:eastAsia="Times New Roman" w:hAnsi="Times New Roman"/>
          <w:sz w:val="20"/>
          <w:szCs w:val="20"/>
          <w:color w:val="auto"/>
        </w:rPr>
        <w:t>provided either by statute or contract, the employment relationship shall be deemed to have terminated for purposes of the Plan on the first day immediately following such three-month period, or such other period specified in Treas. Reg. § 1.421-1(h)(2).</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Enrollment Date</w:t>
      </w:r>
      <w:r>
        <w:rPr>
          <w:rFonts w:ascii="Times New Roman" w:cs="Times New Roman" w:eastAsia="Times New Roman" w:hAnsi="Times New Roman"/>
          <w:sz w:val="19"/>
          <w:szCs w:val="19"/>
          <w:color w:val="auto"/>
        </w:rPr>
        <w:t>” means the first date of each Offering Period.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Exercise Date</w:t>
      </w:r>
      <w:r>
        <w:rPr>
          <w:rFonts w:ascii="Times New Roman" w:cs="Times New Roman" w:eastAsia="Times New Roman" w:hAnsi="Times New Roman"/>
          <w:sz w:val="19"/>
          <w:szCs w:val="19"/>
          <w:color w:val="auto"/>
        </w:rPr>
        <w:t>” means the last day of each Purchase Period, except as provided in Section 5.2 hereof.</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means, as of any date, the value of Common Stock determined as follows:</w:t>
      </w:r>
    </w:p>
    <w:p>
      <w:pPr>
        <w:spacing w:after="0" w:line="193" w:lineRule="exact"/>
        <w:rPr>
          <w:sz w:val="20"/>
          <w:szCs w:val="20"/>
          <w:color w:val="auto"/>
        </w:rPr>
      </w:pPr>
    </w:p>
    <w:p>
      <w:pPr>
        <w:jc w:val="both"/>
        <w:ind w:firstLine="1304"/>
        <w:spacing w:after="0" w:line="226"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(i) listed on any established securities exchange (such as the New York Stock Exchange or Nasdaq Stock Market), (ii) listed on any national market system or (iii) listed, quoted or traded on any automated quotation system, its Fair Market Value shall be the closing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sales price for a share of Common Stock as quoted on such exchange or system for such date or, if there is no closing sales price for a share</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w:t>
      </w:r>
    </w:p>
    <w:p>
      <w:pPr>
        <w:spacing w:after="0" w:line="162" w:lineRule="exact"/>
        <w:rPr>
          <w:sz w:val="20"/>
          <w:szCs w:val="20"/>
          <w:color w:val="auto"/>
        </w:rPr>
      </w:pPr>
    </w:p>
    <w:p>
      <w:pPr>
        <w:jc w:val="both"/>
        <w:ind w:firstLine="1304"/>
        <w:spacing w:after="0" w:line="220" w:lineRule="auto"/>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such other source as the Administrator deems reliable; or</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(and, with respect to the initial Offering Period of the Plan, as set forth in the Offering Document for the initial Offering Period).</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means the first day of an Offering Period (or, with respect to the initial Offering Period of the Plan, such date set forth in the Offering Document approved by the Administrator with respect to the initial Offering Period).</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New Exercise Date</w:t>
      </w:r>
      <w:r>
        <w:rPr>
          <w:rFonts w:ascii="Times New Roman" w:cs="Times New Roman" w:eastAsia="Times New Roman" w:hAnsi="Times New Roman"/>
          <w:sz w:val="19"/>
          <w:szCs w:val="19"/>
          <w:color w:val="auto"/>
        </w:rPr>
        <w:t>” has the meaning set forth in Section 5.2(b) hereof.</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i w:val="1"/>
          <w:iCs w:val="1"/>
          <w:color w:val="auto"/>
        </w:rPr>
        <w:t>Non-Section 423 Component</w:t>
      </w:r>
      <w:r>
        <w:rPr>
          <w:rFonts w:ascii="Times New Roman" w:cs="Times New Roman" w:eastAsia="Times New Roman" w:hAnsi="Times New Roman"/>
          <w:sz w:val="20"/>
          <w:szCs w:val="20"/>
          <w:color w:val="auto"/>
        </w:rPr>
        <w:t>” means those Offerings under the Plan, together with the sub-plans, appendices, rules or procedures, if any, adopted by the Administrator as a part of this Plan, in each case, pursuant to which Options may be granted to non-U.S.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Eligible Employees that need not satisfy the requirements for Options granted pursuant to an “employee stock purchase plan” that are set forth under Section 423 of the Code.</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means an offer under the Plan of an Option that may be exercised during an Offering Period as further described in Section 4 hereof. Unless otherwise specified by the Administrator, each Offering to the Eligible Employees of the Company or a</w:t>
      </w:r>
    </w:p>
    <w:p>
      <w:pPr>
        <w:spacing w:after="0" w:line="224" w:lineRule="auto"/>
        <w:rPr>
          <w:sz w:val="20"/>
          <w:szCs w:val="20"/>
          <w:color w:val="auto"/>
        </w:rPr>
      </w:pPr>
      <w:r>
        <w:rPr>
          <w:rFonts w:ascii="Times New Roman" w:cs="Times New Roman" w:eastAsia="Times New Roman" w:hAnsi="Times New Roman"/>
          <w:sz w:val="19"/>
          <w:szCs w:val="19"/>
          <w:color w:val="auto"/>
        </w:rPr>
        <w:t>Designated Subsidiary shall be deemed a separate Offering, even if the dates and other terms of the applicable Offering Periods of each such</w:t>
      </w:r>
    </w:p>
    <w:p>
      <w:pPr>
        <w:spacing w:after="0" w:line="204" w:lineRule="auto"/>
        <w:rPr>
          <w:sz w:val="20"/>
          <w:szCs w:val="20"/>
          <w:color w:val="auto"/>
        </w:rPr>
      </w:pPr>
      <w:r>
        <w:rPr>
          <w:rFonts w:ascii="Times New Roman" w:cs="Times New Roman" w:eastAsia="Times New Roman" w:hAnsi="Times New Roman"/>
          <w:sz w:val="20"/>
          <w:szCs w:val="20"/>
          <w:color w:val="auto"/>
        </w:rPr>
        <w:t>Offering are identical and the provisions of the Plan will separately apply to each Offering. To the extent permitted by Treas. Reg. § 1.423-2(a)(1), the terms of each separate Offering under the Section 423 Component need not be identical, provided that the terms of the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423 Component and an Offering thereunder together satisfy Treas. Reg. § 1.423-2(a)(2) and (a)(3).</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i w:val="1"/>
          <w:iCs w:val="1"/>
          <w:color w:val="auto"/>
        </w:rPr>
        <w:t>Offering Period</w:t>
      </w:r>
      <w:r>
        <w:rPr>
          <w:rFonts w:ascii="Times New Roman" w:cs="Times New Roman" w:eastAsia="Times New Roman" w:hAnsi="Times New Roman"/>
          <w:sz w:val="20"/>
          <w:szCs w:val="20"/>
          <w:color w:val="auto"/>
        </w:rPr>
        <w:t>” means such period of time commencing on such date(s) as determined by the Board or Committee, in its discretion, and with respect to which Options shall be granted to Participants. The duration and timing of Offering Periods may be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established or changed by the Board or Committee at any time, in its sole discretion. Notwithstanding the foregoing, in no event may an Offering Period exceed 27 months.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the right to purchase shares of Common Stock pursuant to the Plan during each Offering Period.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 Price</w:t>
      </w:r>
      <w:r>
        <w:rPr>
          <w:rFonts w:ascii="Times New Roman" w:cs="Times New Roman" w:eastAsia="Times New Roman" w:hAnsi="Times New Roman"/>
          <w:sz w:val="19"/>
          <w:szCs w:val="19"/>
          <w:color w:val="auto"/>
        </w:rPr>
        <w:t>” means the purchase price of a share of Common Stock hereunder as provided in Section 4.2 hereof.</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means any entity that is a parent corporation of the Company within the meaning of Section 424 of the Code.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any Eligible Employee who elects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4" w:right="339" w:bottom="1440" w:gutter="0" w:footer="0" w:header="0"/>
        </w:sectPr>
      </w:pPr>
    </w:p>
    <w:bookmarkStart w:id="165" w:name="page166"/>
    <w:bookmarkEnd w:id="165"/>
    <w:p>
      <w:pPr>
        <w:ind w:firstLine="648"/>
        <w:spacing w:after="0" w:line="245" w:lineRule="auto"/>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b w:val="1"/>
          <w:bCs w:val="1"/>
          <w:i w:val="1"/>
          <w:iCs w:val="1"/>
          <w:color w:val="auto"/>
        </w:rPr>
        <w:t>Payday</w:t>
      </w:r>
      <w:r>
        <w:rPr>
          <w:rFonts w:ascii="Times New Roman" w:cs="Times New Roman" w:eastAsia="Times New Roman" w:hAnsi="Times New Roman"/>
          <w:sz w:val="20"/>
          <w:szCs w:val="20"/>
          <w:color w:val="auto"/>
        </w:rPr>
        <w:t>” means the regular and recurring established day for payment of Compensation to an Employee of the Company or any Designated Subsidiary.</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2021 Employee Stock Purchase Plan, including both the Section 423 Component and Non-Section 423 Component and any other sub-plans or appendices hereto, as amended from time to time.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 Account</w:t>
      </w:r>
      <w:r>
        <w:rPr>
          <w:rFonts w:ascii="Times New Roman" w:cs="Times New Roman" w:eastAsia="Times New Roman" w:hAnsi="Times New Roman"/>
          <w:sz w:val="19"/>
          <w:szCs w:val="19"/>
          <w:color w:val="auto"/>
        </w:rPr>
        <w:t>” means a bookkeeping account established and maintained by the Company in the name of each Participant.</w:t>
      </w:r>
    </w:p>
    <w:p>
      <w:pPr>
        <w:spacing w:after="0" w:line="175"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i w:val="1"/>
          <w:iCs w:val="1"/>
          <w:color w:val="auto"/>
        </w:rPr>
        <w:t>Purchase Period</w:t>
      </w:r>
      <w:r>
        <w:rPr>
          <w:rFonts w:ascii="Times New Roman" w:cs="Times New Roman" w:eastAsia="Times New Roman" w:hAnsi="Times New Roman"/>
          <w:sz w:val="20"/>
          <w:szCs w:val="20"/>
          <w:color w:val="auto"/>
        </w:rPr>
        <w:t>” means such period of time commencing on such dates as determined by the Board or Committee, in its discretion, within each Offering Period. The duration and timing of Purchase Periods may be established or changed by the Board 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Committee at any time, in its sole discretion. Notwithstanding the foregoing, in no event may a Purchase Period exceed the duration of the Offering Period under which it is established.</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the regulations promulgated thereunder by the United States Treasury Department, as amended or as may be amended from time to time.</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i w:val="1"/>
          <w:iCs w:val="1"/>
          <w:color w:val="auto"/>
        </w:rPr>
        <w:t>Section 423 Component</w:t>
      </w:r>
      <w:r>
        <w:rPr>
          <w:rFonts w:ascii="Times New Roman" w:cs="Times New Roman" w:eastAsia="Times New Roman" w:hAnsi="Times New Roman"/>
          <w:sz w:val="20"/>
          <w:szCs w:val="20"/>
          <w:color w:val="auto"/>
        </w:rPr>
        <w:t>” means those Offerings under the Plan that are intended to meet the requirements under Section 423(b) of the Code.</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 any Subsidiary Corporation, and (b) with respect to any Offering pursuant to the Non-Section 423 Component only, Subsidiary may also include any corporate or noncorporate entity in which the Company has a direct or indirect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or significant business relationship.</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2.33 “</w:t>
      </w:r>
      <w:r>
        <w:rPr>
          <w:rFonts w:ascii="Times New Roman" w:cs="Times New Roman" w:eastAsia="Times New Roman" w:hAnsi="Times New Roman"/>
          <w:sz w:val="19"/>
          <w:szCs w:val="19"/>
          <w:b w:val="1"/>
          <w:bCs w:val="1"/>
          <w:i w:val="1"/>
          <w:iCs w:val="1"/>
          <w:color w:val="auto"/>
        </w:rPr>
        <w:t>Subsidiary Corporation</w:t>
      </w:r>
      <w:r>
        <w:rPr>
          <w:rFonts w:ascii="Times New Roman" w:cs="Times New Roman" w:eastAsia="Times New Roman" w:hAnsi="Times New Roman"/>
          <w:sz w:val="19"/>
          <w:szCs w:val="19"/>
          <w:color w:val="auto"/>
        </w:rPr>
        <w:t>” shall mean any corporation, other than the Company, in an unbroken chain of corporations beginning with the Company if, at the time of the determination, each of the corporations other than the last corporation in an unbroken chain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owns stock possessing 50% or more of the total combined voting power of all classes of stock in one of the other corporations in such chain, or any other entity that is a subsidiary corporation of the Company within the meaning of Section 424 of the Code.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Treas. Reg.</w:t>
      </w:r>
      <w:r>
        <w:rPr>
          <w:rFonts w:ascii="Times New Roman" w:cs="Times New Roman" w:eastAsia="Times New Roman" w:hAnsi="Times New Roman"/>
          <w:sz w:val="19"/>
          <w:szCs w:val="19"/>
          <w:color w:val="auto"/>
        </w:rPr>
        <w:t>” means U.S. Department of the Treasury regulations.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Withdrawal Election</w:t>
      </w:r>
      <w:r>
        <w:rPr>
          <w:rFonts w:ascii="Times New Roman" w:cs="Times New Roman" w:eastAsia="Times New Roman" w:hAnsi="Times New Roman"/>
          <w:sz w:val="19"/>
          <w:szCs w:val="19"/>
          <w:color w:val="auto"/>
        </w:rPr>
        <w:t>” has the meaning set forth in Section 6.1(a) hereof.</w:t>
      </w:r>
    </w:p>
    <w:p>
      <w:pPr>
        <w:spacing w:after="0" w:line="1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3</w:t>
      </w:r>
    </w:p>
    <w:p>
      <w:pPr>
        <w:jc w:val="center"/>
        <w:spacing w:after="0"/>
        <w:rPr>
          <w:sz w:val="20"/>
          <w:szCs w:val="20"/>
          <w:color w:val="auto"/>
        </w:rPr>
      </w:pPr>
      <w:r>
        <w:rPr>
          <w:rFonts w:ascii="Times New Roman" w:cs="Times New Roman" w:eastAsia="Times New Roman" w:hAnsi="Times New Roman"/>
          <w:sz w:val="20"/>
          <w:szCs w:val="20"/>
          <w:b w:val="1"/>
          <w:bCs w:val="1"/>
          <w:color w:val="auto"/>
        </w:rPr>
        <w:t>PARTICIPATION</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Eligibility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166" w:name="page167"/>
    <w:bookmarkEnd w:id="166"/>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Election to Participate; Payroll Deductions</w:t>
      </w:r>
    </w:p>
    <w:p>
      <w:pPr>
        <w:spacing w:after="0" w:line="189" w:lineRule="exact"/>
        <w:rPr>
          <w:sz w:val="20"/>
          <w:szCs w:val="20"/>
          <w:color w:val="auto"/>
        </w:rPr>
      </w:pPr>
    </w:p>
    <w:p>
      <w:pPr>
        <w:jc w:val="both"/>
        <w:ind w:firstLine="1304"/>
        <w:spacing w:after="0" w:line="217"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Sections 3.2(e) and 3.3 hereof or in an applicable Offering Document,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3.1(b) hereof and except as may otherwise be determined by the Administrator and/or as set forth in the Offering Document,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will be expressed as a whole number percentage. Amounts deducted from a Participant’s Compensation with respect to an Offering Period pursuant to this Section 3.2 shall be deducted each Payday through payroll deduction and credited to the Participant’s Plan Account.</w:t>
      </w:r>
    </w:p>
    <w:p>
      <w:pPr>
        <w:spacing w:after="0" w:line="16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Administrator and/or as set forth in the Offering Document, following at least one payroll deduction, a Participant may decrease (to as low as zero) the amount deducted from such Participant’s Compensation only once during an Offering Period upon ten calendar days’ prior written notice to the Company. Unless otherwise determined by the Administrator and/or as set forth in the Offering Document, a Participant may not increase the amount deducted from such Participant’s Compensation during an Offering Period.</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61" w:lineRule="exact"/>
        <w:rPr>
          <w:rFonts w:ascii="Times New Roman" w:cs="Times New Roman" w:eastAsia="Times New Roman" w:hAnsi="Times New Roman"/>
          <w:sz w:val="20"/>
          <w:szCs w:val="20"/>
          <w:color w:val="auto"/>
        </w:rPr>
      </w:pPr>
    </w:p>
    <w:p>
      <w:pPr>
        <w:ind w:right="20" w:firstLine="1304"/>
        <w:spacing w:after="0"/>
        <w:tabs>
          <w:tab w:leader="none" w:pos="193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which Designated Subsidiaries shall participate in the Non-Section 423 Component and which shall participate in the Section 423 Component.</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4</w:t>
      </w:r>
    </w:p>
    <w:p>
      <w:pPr>
        <w:ind w:left="4500"/>
        <w:spacing w:after="0"/>
        <w:rPr>
          <w:sz w:val="20"/>
          <w:szCs w:val="20"/>
          <w:color w:val="auto"/>
        </w:rPr>
      </w:pPr>
      <w:r>
        <w:rPr>
          <w:rFonts w:ascii="Times New Roman" w:cs="Times New Roman" w:eastAsia="Times New Roman" w:hAnsi="Times New Roman"/>
          <w:sz w:val="20"/>
          <w:szCs w:val="20"/>
          <w:b w:val="1"/>
          <w:bCs w:val="1"/>
          <w:color w:val="auto"/>
        </w:rPr>
        <w:t>PURCHASE OF SHARES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The Company may make one or more Offerings under the Plan, which may be successive or overlapping with one another, until the earlier of: (i) the date on which the shares of Common Stock available under the Plan have been sold or (ii) the</w:t>
      </w:r>
    </w:p>
    <w:p>
      <w:pPr>
        <w:spacing w:after="0" w:line="212" w:lineRule="auto"/>
        <w:rPr>
          <w:sz w:val="20"/>
          <w:szCs w:val="20"/>
          <w:color w:val="auto"/>
        </w:rPr>
      </w:pPr>
      <w:r>
        <w:rPr>
          <w:rFonts w:ascii="Times New Roman" w:cs="Times New Roman" w:eastAsia="Times New Roman" w:hAnsi="Times New Roman"/>
          <w:sz w:val="20"/>
          <w:szCs w:val="20"/>
          <w:color w:val="auto"/>
        </w:rPr>
        <w:t>date on which the Plan is suspended or terminates. The Administrator shall designate the terms and conditions of each Offering in writing,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without limitation, the Offering Period and the Purchase Periods, as set forth in an offering document (the “</w:t>
      </w:r>
      <w:r>
        <w:rPr>
          <w:rFonts w:ascii="Times New Roman" w:cs="Times New Roman" w:eastAsia="Times New Roman" w:hAnsi="Times New Roman"/>
          <w:sz w:val="20"/>
          <w:szCs w:val="20"/>
          <w:b w:val="1"/>
          <w:bCs w:val="1"/>
          <w:i w:val="1"/>
          <w:iCs w:val="1"/>
          <w:color w:val="auto"/>
        </w:rPr>
        <w:t>Offering Document</w:t>
      </w:r>
      <w:r>
        <w:rPr>
          <w:rFonts w:ascii="Times New Roman" w:cs="Times New Roman" w:eastAsia="Times New Roman" w:hAnsi="Times New Roman"/>
          <w:sz w:val="20"/>
          <w:szCs w:val="20"/>
          <w:color w:val="auto"/>
        </w:rPr>
        <w:t>”). Each Participant shall be granted an Option with respect to an Offering Period on the applicable Grant Date. Subject to the limitations of</w:t>
      </w:r>
    </w:p>
    <w:p>
      <w:pPr>
        <w:spacing w:after="0" w:line="211" w:lineRule="auto"/>
        <w:rPr>
          <w:sz w:val="20"/>
          <w:szCs w:val="20"/>
          <w:color w:val="auto"/>
        </w:rPr>
      </w:pPr>
      <w:r>
        <w:rPr>
          <w:rFonts w:ascii="Times New Roman" w:cs="Times New Roman" w:eastAsia="Times New Roman" w:hAnsi="Times New Roman"/>
          <w:sz w:val="20"/>
          <w:szCs w:val="20"/>
          <w:color w:val="auto"/>
        </w:rPr>
        <w:t>Section 3.1(b) hereof, the number of shares of Common Stock subject to a Participant’s Option shall be determined by dividing (a)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Participant’s payroll deductions accumulated prior to an Exercise Date and retained in the Participant’s Plan Account on such Exercise Date by (b) the applicable Option Price;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otherwise set forth in the Offering Document, in no event shall a Participant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to purchase during each Offering Period more than 100,000 shares of Common Stock (subject to any adjustment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color w:val="auto"/>
        </w:rPr>
        <w:t>pursuant to Section 5.2 hereof). The Administrator and/or the Offering Document may, for future Offering Periods, increase or decrease, in</w:t>
      </w:r>
    </w:p>
    <w:p>
      <w:pPr>
        <w:spacing w:after="0" w:line="215" w:lineRule="auto"/>
        <w:rPr>
          <w:sz w:val="20"/>
          <w:szCs w:val="20"/>
          <w:color w:val="auto"/>
        </w:rPr>
      </w:pPr>
      <w:r>
        <w:rPr>
          <w:rFonts w:ascii="Times New Roman" w:cs="Times New Roman" w:eastAsia="Times New Roman" w:hAnsi="Times New Roman"/>
          <w:sz w:val="19"/>
          <w:szCs w:val="19"/>
          <w:color w:val="auto"/>
        </w:rPr>
        <w:t>its absolute discretion, the maximum number of shares of Common Stock that a Participant may purchase during such future Offering Periods. Each Option shall expire on the last Exercise Date for the applicable Offering Period immediately after the automatic exercise of the</w:t>
      </w:r>
    </w:p>
    <w:p>
      <w:pPr>
        <w:spacing w:after="0"/>
        <w:rPr>
          <w:sz w:val="20"/>
          <w:szCs w:val="20"/>
          <w:color w:val="auto"/>
        </w:rPr>
      </w:pPr>
      <w:r>
        <w:rPr>
          <w:rFonts w:ascii="Times New Roman" w:cs="Times New Roman" w:eastAsia="Times New Roman" w:hAnsi="Times New Roman"/>
          <w:sz w:val="20"/>
          <w:szCs w:val="20"/>
          <w:color w:val="auto"/>
        </w:rPr>
        <w:t>Option in accordance with Section 4.3 hereof, unless such Option terminates earlier in accordance with Article 6 hereof.</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Option Price</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i w:val="1"/>
          <w:iCs w:val="1"/>
          <w:color w:val="auto"/>
        </w:rPr>
        <w:t>Option Price</w:t>
      </w:r>
      <w:r>
        <w:rPr>
          <w:rFonts w:ascii="Times New Roman" w:cs="Times New Roman" w:eastAsia="Times New Roman" w:hAnsi="Times New Roman"/>
          <w:sz w:val="19"/>
          <w:szCs w:val="19"/>
          <w:color w:val="auto"/>
        </w:rPr>
        <w:t>” per share of Common Stock to be paid by a Participant upon exercise of the Participant’s Option on an Exercise Date for an Offering Period shall equal 85% of the lesser of the Fair Market Value of a share of Common Stock on (a)</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the applicable Grant Date and (b) the applicable Exercise Date, or such other price designated by the Administrator;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shall the Option Price per share of Common Stock be less than the par value per share of the Common Stock;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no Option Price shall be designated by the Administrator that would cause the Section 423 Component to fail to meet the requirements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423(b) of the Code.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Purchase of Shares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2"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Except as may otherwise be provided by the Administrator with respect to any Offering and/or as set forth in the Offering Document,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shall be promptly refunded to the applicable Participant. In no event shall an amount greater than or equal to the per share Option Price as of an Exercise Date be carried forward to the next Purchase Period or Offering Period.</w:t>
      </w:r>
    </w:p>
    <w:p>
      <w:pPr>
        <w:spacing w:after="0" w:line="169"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following each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61"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Automatic Termination of Offering Period</w:t>
      </w:r>
      <w:r>
        <w:rPr>
          <w:rFonts w:ascii="Times New Roman" w:cs="Times New Roman" w:eastAsia="Times New Roman" w:hAnsi="Times New Roman"/>
          <w:sz w:val="20"/>
          <w:szCs w:val="20"/>
          <w:color w:val="auto"/>
        </w:rPr>
        <w:t>. If the Fair Market Value of a share of Common Stock on any Exercise Date (except the final scheduled Exercise Date of any Offering Period) is lower than the Fair Market Value of a share of Common Stock on the</w:t>
      </w:r>
    </w:p>
    <w:p>
      <w:pPr>
        <w:spacing w:after="0" w:line="224" w:lineRule="auto"/>
        <w:rPr>
          <w:sz w:val="20"/>
          <w:szCs w:val="20"/>
          <w:color w:val="auto"/>
        </w:rPr>
      </w:pPr>
      <w:r>
        <w:rPr>
          <w:rFonts w:ascii="Times New Roman" w:cs="Times New Roman" w:eastAsia="Times New Roman" w:hAnsi="Times New Roman"/>
          <w:sz w:val="19"/>
          <w:szCs w:val="19"/>
          <w:color w:val="auto"/>
        </w:rPr>
        <w:t>Grant Date for an Offering Period, then such Offering Period shall terminate on such Exercise Date after the automatic exercise of the Option</w:t>
      </w:r>
    </w:p>
    <w:p>
      <w:pPr>
        <w:spacing w:after="0" w:line="204" w:lineRule="auto"/>
        <w:rPr>
          <w:sz w:val="20"/>
          <w:szCs w:val="20"/>
          <w:color w:val="auto"/>
        </w:rPr>
      </w:pPr>
      <w:r>
        <w:rPr>
          <w:rFonts w:ascii="Times New Roman" w:cs="Times New Roman" w:eastAsia="Times New Roman" w:hAnsi="Times New Roman"/>
          <w:sz w:val="20"/>
          <w:szCs w:val="20"/>
          <w:color w:val="auto"/>
        </w:rPr>
        <w:t>in accordance with Section 4.3 hereof, and each Participant shall automatically be enrolled in the Offering Period that commences immediately following such Exercise Date and such Participant’s payroll deduction authorization shall remain in effect for such Offering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Transferability of Rights</w:t>
      </w:r>
      <w:r>
        <w:rPr>
          <w:rFonts w:ascii="Times New Roman" w:cs="Times New Roman" w:eastAsia="Times New Roman" w:hAnsi="Times New Roman"/>
          <w:sz w:val="20"/>
          <w:szCs w:val="20"/>
          <w:color w:val="auto"/>
        </w:rPr>
        <w:t>. An Option granted under the Plan shall not be transferable, other than by will or the applicable laws of descent and distribution, and is exercisable during the Participant’s lifetime only by the Participant. No option or interest or right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Option shall be available to pay off any debts, contracts or engagements of the Participant or the Participant’s successors in interest or shall be subject to disposition by pledge, encumbrance, assignment or any other means whether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auto"/>
        </w:rPr>
        <w:t>disposition be voluntary or involuntary or by operation of law by judgment, levy, attachment, garnishment or any other legal or equitable proceedings (including bankruptcy), and any attempt at disposition of the Option shall have no effect.</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5</w:t>
      </w:r>
    </w:p>
    <w:p>
      <w:pPr>
        <w:ind w:left="3420"/>
        <w:spacing w:after="0"/>
        <w:rPr>
          <w:sz w:val="20"/>
          <w:szCs w:val="20"/>
          <w:color w:val="auto"/>
        </w:rPr>
      </w:pPr>
      <w:r>
        <w:rPr>
          <w:rFonts w:ascii="Times New Roman" w:cs="Times New Roman" w:eastAsia="Times New Roman" w:hAnsi="Times New Roman"/>
          <w:sz w:val="20"/>
          <w:szCs w:val="20"/>
          <w:b w:val="1"/>
          <w:bCs w:val="1"/>
          <w:color w:val="auto"/>
        </w:rPr>
        <w:t>PROVISIONS RELATING TO COMMON STOCK</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Common Stock Reserved</w:t>
      </w:r>
      <w:r>
        <w:rPr>
          <w:rFonts w:ascii="Times New Roman" w:cs="Times New Roman" w:eastAsia="Times New Roman" w:hAnsi="Times New Roman"/>
          <w:sz w:val="20"/>
          <w:szCs w:val="20"/>
          <w:color w:val="auto"/>
        </w:rPr>
        <w:t>. Subject to adjustment as provided in Section 5.2 hereof, the maximum number of shares of Common Stock that shall be made available for sale under the Plan shall be the sum of (a) 1,638,586 and (b) an increase commencing on</w:t>
      </w:r>
    </w:p>
    <w:p>
      <w:pPr>
        <w:spacing w:after="0" w:line="224" w:lineRule="auto"/>
        <w:rPr>
          <w:sz w:val="20"/>
          <w:szCs w:val="20"/>
          <w:color w:val="auto"/>
        </w:rPr>
      </w:pPr>
      <w:r>
        <w:rPr>
          <w:rFonts w:ascii="Times New Roman" w:cs="Times New Roman" w:eastAsia="Times New Roman" w:hAnsi="Times New Roman"/>
          <w:sz w:val="19"/>
          <w:szCs w:val="19"/>
          <w:color w:val="auto"/>
        </w:rPr>
        <w:t>January 1, 2022 and continuing annually on the anniversary thereof through (and including) January 1, 2031, equal to the lesser of (A) 1%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shares of Common Stock outstanding on the last day of the immediately preceding calendar year and (B) such smaller number of shares of Common Stock as determined by the Board or the Committee;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no more than 15,839,672 Shares may be issued under</w:t>
      </w:r>
    </w:p>
    <w:p>
      <w:pPr>
        <w:spacing w:after="0" w:line="211" w:lineRule="auto"/>
        <w:rPr>
          <w:sz w:val="20"/>
          <w:szCs w:val="20"/>
          <w:color w:val="auto"/>
        </w:rPr>
      </w:pPr>
      <w:r>
        <w:rPr>
          <w:rFonts w:ascii="Times New Roman" w:cs="Times New Roman" w:eastAsia="Times New Roman" w:hAnsi="Times New Roman"/>
          <w:sz w:val="20"/>
          <w:szCs w:val="20"/>
          <w:color w:val="auto"/>
        </w:rPr>
        <w:t>the Plan. Shares made available for sale under the Plan may be authorized but unissued shares, treasury shares of Common Stock,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reacquired shares reserved for issuance under the Plan. All or any portion of such maximum number of shares may be issued under the Section 423 Component.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Adjustments Upon Changes in Capitalization, Dissolution, Liquidation, Merger or Asset Sale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1"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 or Liquidation</w:t>
      </w:r>
      <w:r>
        <w:rPr>
          <w:rFonts w:ascii="Times New Roman" w:cs="Times New Roman" w:eastAsia="Times New Roman" w:hAnsi="Times New Roman"/>
          <w:sz w:val="20"/>
          <w:szCs w:val="20"/>
          <w:color w:val="auto"/>
        </w:rPr>
        <w:t>. In the event of the proposed dissolution or liquidation of the Company, the Offering Periods then in progress shall be shortened by setting a new Exercise Date (the “</w:t>
      </w:r>
      <w:r>
        <w:rPr>
          <w:rFonts w:ascii="Times New Roman" w:cs="Times New Roman" w:eastAsia="Times New Roman" w:hAnsi="Times New Roman"/>
          <w:sz w:val="20"/>
          <w:szCs w:val="20"/>
          <w:b w:val="1"/>
          <w:bCs w:val="1"/>
          <w:i w:val="1"/>
          <w:iCs w:val="1"/>
          <w:color w:val="auto"/>
        </w:rPr>
        <w:t>New Exercise Date</w:t>
      </w:r>
      <w:r>
        <w:rPr>
          <w:rFonts w:ascii="Times New Roman" w:cs="Times New Roman" w:eastAsia="Times New Roman" w:hAnsi="Times New Roman"/>
          <w:sz w:val="20"/>
          <w:szCs w:val="20"/>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or Asset Sale</w:t>
      </w:r>
      <w:r>
        <w:rPr>
          <w:rFonts w:ascii="Times New Roman" w:cs="Times New Roman" w:eastAsia="Times New Roman" w:hAnsi="Times New Roman"/>
          <w:sz w:val="20"/>
          <w:szCs w:val="20"/>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prior to the New Exercise Date, that the Exercise Date for the Participant’s Option has been changed to the New Exercise Date and that the Participant’s Option shall be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auto"/>
        </w:rPr>
        <w:t>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Insufficient Shares</w:t>
      </w:r>
      <w:r>
        <w:rPr>
          <w:rFonts w:ascii="Times New Roman" w:cs="Times New Roman" w:eastAsia="Times New Roman" w:hAnsi="Times New Roman"/>
          <w:sz w:val="20"/>
          <w:szCs w:val="20"/>
          <w:color w:val="auto"/>
        </w:rPr>
        <w:t>. If the Administrator determines that, on a given Exercise Date, the number of shares of Common Stock with respect to which Options are to be exercised may exceed the number of shares of Common Stock remaining available for sale under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Plan on such Exercise Date, the Administrator shall make a pro rata allocation of the shares of Common Stock available for issuance on such Exercise Date in as uniform a manner as shall be practicable and as it shall determine in its sole discretion to be equitable among all</w:t>
      </w:r>
    </w:p>
    <w:p>
      <w:pPr>
        <w:spacing w:after="0" w:line="211" w:lineRule="auto"/>
        <w:rPr>
          <w:sz w:val="20"/>
          <w:szCs w:val="20"/>
          <w:color w:val="auto"/>
        </w:rPr>
      </w:pPr>
      <w:r>
        <w:rPr>
          <w:rFonts w:ascii="Times New Roman" w:cs="Times New Roman" w:eastAsia="Times New Roman" w:hAnsi="Times New Roman"/>
          <w:sz w:val="20"/>
          <w:szCs w:val="20"/>
          <w:color w:val="auto"/>
        </w:rPr>
        <w:t>Participants exercising Options to purchase Common Stock on such Exercise Date, and unless additional shares are authorized for issuance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the Plan, no further Offering Periods shall take place and the Plan shall terminate pursuant to Section 7.5 hereof. If an Offering Period is so terminated, then the balance of the amount credited to the Participant’s Plan Account which has not been applied to the purchase of</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shares of Common Stock shall be paid to such Participant in one lump sum in cash within 30 days after such Exercise Date, without any interest thereon.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Rights as Stockholders</w:t>
      </w:r>
      <w:r>
        <w:rPr>
          <w:rFonts w:ascii="Times New Roman" w:cs="Times New Roman" w:eastAsia="Times New Roman" w:hAnsi="Times New Roman"/>
          <w:sz w:val="20"/>
          <w:szCs w:val="20"/>
          <w:color w:val="auto"/>
        </w:rPr>
        <w:t>. With respect to shares of Common Stock subject to an Option, a Participant shall not be deemed to be a stockholder of the Company and shall not have any of the rights or privileges of a stockholder. A Participant shall have the rights and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privileges of a stockholder of the Company when, but not until, shares of Common Stock have been deposited in the designated brokerage account following exercise of the Participant’s Option.</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6</w:t>
      </w:r>
    </w:p>
    <w:p>
      <w:pPr>
        <w:ind w:left="3940"/>
        <w:spacing w:after="0"/>
        <w:rPr>
          <w:sz w:val="20"/>
          <w:szCs w:val="20"/>
          <w:color w:val="auto"/>
        </w:rPr>
      </w:pPr>
      <w:r>
        <w:rPr>
          <w:rFonts w:ascii="Times New Roman" w:cs="Times New Roman" w:eastAsia="Times New Roman" w:hAnsi="Times New Roman"/>
          <w:sz w:val="20"/>
          <w:szCs w:val="20"/>
          <w:b w:val="1"/>
          <w:bCs w:val="1"/>
          <w:color w:val="auto"/>
        </w:rPr>
        <w:t>TERMINATION OF PARTICIPATION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Cessation of Contributions; Voluntary Withdrawal</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4" w:lineRule="auto"/>
        <w:tabs>
          <w:tab w:leader="none" w:pos="193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 w:cs="Times New Roman" w:eastAsia="Times New Roman" w:hAnsi="Times New Roman"/>
          <w:sz w:val="20"/>
          <w:szCs w:val="20"/>
          <w:b w:val="1"/>
          <w:bCs w:val="1"/>
          <w:i w:val="1"/>
          <w:iCs w:val="1"/>
          <w:color w:val="auto"/>
        </w:rPr>
        <w:t>Withdrawal Election</w:t>
      </w:r>
      <w:r>
        <w:rPr>
          <w:rFonts w:ascii="Times New Roman" w:cs="Times New Roman" w:eastAsia="Times New Roman" w:hAnsi="Times New Roman"/>
          <w:sz w:val="20"/>
          <w:szCs w:val="20"/>
          <w:color w:val="auto"/>
        </w:rPr>
        <w:t>”). A Participant electing to withdraw from the Plan may elect to either</w:t>
      </w:r>
    </w:p>
    <w:p>
      <w:pPr>
        <w:jc w:val="both"/>
        <w:ind w:firstLine="8"/>
        <w:spacing w:after="0" w:line="223" w:lineRule="auto"/>
        <w:tabs>
          <w:tab w:leader="none" w:pos="24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Upon receipt of a Withdrawal Election, the Participant’s payroll deduction authorization and the Participant’s Option shall terminate.</w:t>
      </w:r>
    </w:p>
    <w:p>
      <w:pPr>
        <w:spacing w:after="0" w:line="149" w:lineRule="exact"/>
        <w:rPr>
          <w:rFonts w:ascii="Times New Roman" w:cs="Times New Roman" w:eastAsia="Times New Roman" w:hAnsi="Times New Roman"/>
          <w:sz w:val="19"/>
          <w:szCs w:val="19"/>
          <w:color w:val="auto"/>
        </w:rPr>
      </w:pPr>
    </w:p>
    <w:p>
      <w:pPr>
        <w:jc w:val="both"/>
        <w:ind w:firstLine="1304"/>
        <w:spacing w:after="0" w:line="230" w:lineRule="auto"/>
        <w:tabs>
          <w:tab w:leader="none" w:pos="193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permitted by the Administrator and/or as set forth in the Offering Document, a Participant who ceases contributions to the Plan during any Offering Period shall not be permitted to resume contributions to the Plan during that Offering Period.</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Termination of Eligibility</w:t>
      </w:r>
      <w:r>
        <w:rPr>
          <w:rFonts w:ascii="Times New Roman" w:cs="Times New Roman" w:eastAsia="Times New Roman" w:hAnsi="Times New Roman"/>
          <w:sz w:val="20"/>
          <w:szCs w:val="20"/>
          <w:color w:val="auto"/>
        </w:rPr>
        <w:t>. Upon a Participant’s ceasing to be an Eligible Employee, for any reason, such Participant’s Option for the applicable Offering Period shall automatically terminate, the Participant shall be deemed to have elected to withdraw from the Plan,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such Participant’s Plan Account shall be paid to such Participant or, in the case of the Participant’s death, to the person or persons entitled thereto pursuant to applicable law, within 30 days after such cessation of being an Eligible Employee, without any interest thereon. If a</w:t>
      </w:r>
    </w:p>
    <w:p>
      <w:pPr>
        <w:ind w:right="20"/>
        <w:spacing w:after="0" w:line="228" w:lineRule="auto"/>
        <w:rPr>
          <w:sz w:val="20"/>
          <w:szCs w:val="20"/>
          <w:color w:val="auto"/>
        </w:rPr>
      </w:pPr>
      <w:r>
        <w:rPr>
          <w:rFonts w:ascii="Times New Roman" w:cs="Times New Roman" w:eastAsia="Times New Roman" w:hAnsi="Times New Roman"/>
          <w:sz w:val="20"/>
          <w:szCs w:val="20"/>
          <w:color w:val="auto"/>
        </w:rPr>
        <w:t>Participant transfers employment from the Company or any Designated Subsidiary participating in the Section 423 Component to any Designated Subsidiary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participating in the Non-Section 423 Component, such transfer shall not be treated as a termination of employment, but the Participant shall</w:t>
      </w:r>
    </w:p>
    <w:p>
      <w:pPr>
        <w:spacing w:after="0" w:line="215" w:lineRule="auto"/>
        <w:rPr>
          <w:sz w:val="20"/>
          <w:szCs w:val="20"/>
          <w:color w:val="auto"/>
        </w:rPr>
      </w:pPr>
      <w:r>
        <w:rPr>
          <w:rFonts w:ascii="Times New Roman" w:cs="Times New Roman" w:eastAsia="Times New Roman" w:hAnsi="Times New Roman"/>
          <w:sz w:val="19"/>
          <w:szCs w:val="19"/>
          <w:color w:val="auto"/>
        </w:rPr>
        <w:t>immediately cease to participate in the Section 423 Component; however, any contributions made for the Offering Period in which such transfer occurs shall be transferred to the Non-Section 423 Component, and such Participant shall immediately join the then-current Offering</w:t>
      </w:r>
    </w:p>
    <w:p>
      <w:pPr>
        <w:spacing w:after="0" w:line="211" w:lineRule="auto"/>
        <w:rPr>
          <w:sz w:val="20"/>
          <w:szCs w:val="20"/>
          <w:color w:val="auto"/>
        </w:rPr>
      </w:pPr>
      <w:r>
        <w:rPr>
          <w:rFonts w:ascii="Times New Roman" w:cs="Times New Roman" w:eastAsia="Times New Roman" w:hAnsi="Times New Roman"/>
          <w:sz w:val="20"/>
          <w:szCs w:val="20"/>
          <w:color w:val="auto"/>
        </w:rPr>
        <w:t>under the Non-Section 423 Component upon the same terms and conditions in effect for the Participant’s participation in the Section 423</w:t>
      </w:r>
    </w:p>
    <w:p>
      <w:pPr>
        <w:spacing w:after="0" w:line="215" w:lineRule="auto"/>
        <w:rPr>
          <w:sz w:val="20"/>
          <w:szCs w:val="20"/>
          <w:color w:val="auto"/>
        </w:rPr>
      </w:pPr>
      <w:r>
        <w:rPr>
          <w:rFonts w:ascii="Times New Roman" w:cs="Times New Roman" w:eastAsia="Times New Roman" w:hAnsi="Times New Roman"/>
          <w:sz w:val="19"/>
          <w:szCs w:val="19"/>
          <w:color w:val="auto"/>
        </w:rPr>
        <w:t>Component, except for such modifications otherwise applicable for Participants in such Offering. A Participant who transfers employment from any Designated Subsidiary participating in the Non-Section 423 Component to the Company or any Designated Subsidiary participating</w:t>
      </w:r>
    </w:p>
    <w:p>
      <w:pPr>
        <w:spacing w:after="0" w:line="211" w:lineRule="auto"/>
        <w:rPr>
          <w:sz w:val="20"/>
          <w:szCs w:val="20"/>
          <w:color w:val="auto"/>
        </w:rPr>
      </w:pPr>
      <w:r>
        <w:rPr>
          <w:rFonts w:ascii="Times New Roman" w:cs="Times New Roman" w:eastAsia="Times New Roman" w:hAnsi="Times New Roman"/>
          <w:sz w:val="20"/>
          <w:szCs w:val="20"/>
          <w:color w:val="auto"/>
        </w:rPr>
        <w:t>in the Section 423 Component shall not be treated as terminating the Participant’s employment and shall remain a Participant in the Non-</w:t>
      </w:r>
    </w:p>
    <w:p>
      <w:pPr>
        <w:spacing w:after="0" w:line="204" w:lineRule="auto"/>
        <w:rPr>
          <w:sz w:val="20"/>
          <w:szCs w:val="20"/>
          <w:color w:val="auto"/>
        </w:rPr>
      </w:pPr>
      <w:r>
        <w:rPr>
          <w:rFonts w:ascii="Times New Roman" w:cs="Times New Roman" w:eastAsia="Times New Roman" w:hAnsi="Times New Roman"/>
          <w:sz w:val="20"/>
          <w:szCs w:val="20"/>
          <w:color w:val="auto"/>
        </w:rPr>
        <w:t>Section 423 Component until the earlier of (i) the end of the current Offering Period under the Non-Section 423 Component, or (ii) the Enrollment Date of the first Offering Period in which the Participant is eligible to participate following such transfer. Notwithstanding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7</w:t>
      </w:r>
    </w:p>
    <w:p>
      <w:pPr>
        <w:ind w:left="4500"/>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right="20" w:firstLine="1304"/>
        <w:spacing w:after="0" w:line="230"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47"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establish and terminate Offerings;</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determine when and how Options shall be granted and the provisions and terms of each Offering</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(which need not be identical);</w:t>
      </w:r>
    </w:p>
    <w:p>
      <w:pPr>
        <w:spacing w:after="0" w:line="153" w:lineRule="exact"/>
        <w:rPr>
          <w:rFonts w:ascii="Times New Roman" w:cs="Times New Roman" w:eastAsia="Times New Roman" w:hAnsi="Times New Roman"/>
          <w:sz w:val="19"/>
          <w:szCs w:val="19"/>
          <w:color w:val="auto"/>
        </w:rPr>
      </w:pPr>
    </w:p>
    <w:p>
      <w:pPr>
        <w:ind w:left="3240" w:hanging="640"/>
        <w:spacing w:after="0"/>
        <w:tabs>
          <w:tab w:leader="none" w:pos="32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select Designated Subsidiaries in accordance with Section 7.2 hereof;</w:t>
      </w:r>
    </w:p>
    <w:p>
      <w:pPr>
        <w:spacing w:after="0" w:line="188" w:lineRule="exact"/>
        <w:rPr>
          <w:rFonts w:ascii="Times New Roman" w:cs="Times New Roman" w:eastAsia="Times New Roman" w:hAnsi="Times New Roman"/>
          <w:sz w:val="20"/>
          <w:szCs w:val="20"/>
          <w:color w:val="auto"/>
        </w:rPr>
      </w:pPr>
    </w:p>
    <w:p>
      <w:pPr>
        <w:ind w:right="60" w:firstLine="2600"/>
        <w:spacing w:after="0"/>
        <w:tabs>
          <w:tab w:leader="none" w:pos="3229"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impose a mandatory holding period pursuant to which Participants may not dispose of or transfer shares of Common Stock purchased under the Plan for a period of time determined by the Administrator in its discretion; and</w:t>
      </w:r>
    </w:p>
    <w:p>
      <w:pPr>
        <w:spacing w:after="0" w:line="147" w:lineRule="exact"/>
        <w:rPr>
          <w:rFonts w:ascii="Times New Roman" w:cs="Times New Roman" w:eastAsia="Times New Roman" w:hAnsi="Times New Roman"/>
          <w:sz w:val="20"/>
          <w:szCs w:val="20"/>
          <w:color w:val="auto"/>
        </w:rPr>
      </w:pPr>
    </w:p>
    <w:p>
      <w:pPr>
        <w:ind w:right="260" w:firstLine="2600"/>
        <w:spacing w:after="0" w:line="220" w:lineRule="auto"/>
        <w:tabs>
          <w:tab w:leader="none" w:pos="322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4" w:right="339" w:bottom="1440" w:gutter="0" w:footer="0" w:header="0"/>
        </w:sectPr>
      </w:pPr>
    </w:p>
    <w:bookmarkStart w:id="171" w:name="page172"/>
    <w:bookmarkEnd w:id="171"/>
    <w:p>
      <w:pPr>
        <w:jc w:val="both"/>
        <w:ind w:firstLine="1304"/>
        <w:spacing w:after="0" w:line="222" w:lineRule="auto"/>
        <w:tabs>
          <w:tab w:leader="none" w:pos="193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Designation of Subsidiary Corporations</w:t>
      </w:r>
      <w:r>
        <w:rPr>
          <w:rFonts w:ascii="Times New Roman" w:cs="Times New Roman" w:eastAsia="Times New Roman" w:hAnsi="Times New Roman"/>
          <w:sz w:val="19"/>
          <w:szCs w:val="19"/>
          <w:color w:val="auto"/>
        </w:rPr>
        <w:t>. The Board or Administrator shall designate from time to time the Subsidiaries that shall constitute Designated Subsidiaries, and determine whether such Designated Subsidiaries shall participate in the Section 423 Component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or Non-Section 423 Component. The Board or Administrator may designate a Subsidiary, or terminate the designation of a Subsidiary, without the approval of the stockholders of the Company.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Reports</w:t>
      </w:r>
      <w:r>
        <w:rPr>
          <w:rFonts w:ascii="Times New Roman" w:cs="Times New Roman" w:eastAsia="Times New Roman" w:hAnsi="Times New Roman"/>
          <w:sz w:val="19"/>
          <w:szCs w:val="19"/>
          <w:color w:val="auto"/>
        </w:rPr>
        <w:t>. Individual accounts shall be maintained for each Participant in the Plan. Statements of Plan Accounts shall be made</w:t>
      </w:r>
    </w:p>
    <w:p>
      <w:pPr>
        <w:spacing w:after="0" w:line="221" w:lineRule="auto"/>
        <w:rPr>
          <w:sz w:val="20"/>
          <w:szCs w:val="20"/>
          <w:color w:val="auto"/>
        </w:rPr>
      </w:pPr>
      <w:r>
        <w:rPr>
          <w:rFonts w:ascii="Times New Roman" w:cs="Times New Roman" w:eastAsia="Times New Roman" w:hAnsi="Times New Roman"/>
          <w:sz w:val="20"/>
          <w:szCs w:val="20"/>
          <w:color w:val="auto"/>
        </w:rPr>
        <w:t>available to Participants at least annually, which statements shall set forth the amounts of payroll deductions, the Option Price, the number of shares purchased and the remaining cash balance, if any.</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No Right to Employment</w:t>
      </w:r>
      <w:r>
        <w:rPr>
          <w:rFonts w:ascii="Times New Roman" w:cs="Times New Roman" w:eastAsia="Times New Roman" w:hAnsi="Times New Roman"/>
          <w:sz w:val="20"/>
          <w:szCs w:val="20"/>
          <w:color w:val="auto"/>
        </w:rPr>
        <w:t>. Nothing in the Plan shall be construed to give any person (including any Participant) the right to remain in the employ of the Company, a Parent or a Subsidiary or to affect the right of the Company, any Parent or any Subsidiary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terminate the employment of any person (including any Participant) at any time, with or without cause, which right is expressly reserved.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Amendment and Termination of the Plan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2"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Administrator determines that the ongoing operation of the Plan may result in unfavorable financial accounting consequences, the Administrator may, to the extent permitted under Section 324 of the Code, for the Section 423 Component, in its discretion and, to the extent necessary or desirable, modify or amend the Plan to reduce or eliminate such accounting consequence including, but not limited to:</w:t>
      </w:r>
    </w:p>
    <w:p>
      <w:pPr>
        <w:spacing w:after="0" w:line="142"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altering the Option Price for any Offering Period including an Offering Period underway at the time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change in Option Price;</w:t>
      </w:r>
    </w:p>
    <w:p>
      <w:pPr>
        <w:spacing w:after="0" w:line="166" w:lineRule="exact"/>
        <w:rPr>
          <w:rFonts w:ascii="Times New Roman" w:cs="Times New Roman" w:eastAsia="Times New Roman" w:hAnsi="Times New Roman"/>
          <w:sz w:val="20"/>
          <w:szCs w:val="20"/>
          <w:color w:val="auto"/>
        </w:rPr>
      </w:pPr>
    </w:p>
    <w:p>
      <w:pPr>
        <w:ind w:firstLine="2600"/>
        <w:spacing w:after="0"/>
        <w:tabs>
          <w:tab w:leader="none" w:pos="323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shortening any Offering Period so that the Offering Period ends on a new Exercise Date, including an Offering Period underway at the time of the Administrator action; and</w:t>
      </w:r>
    </w:p>
    <w:p>
      <w:pPr>
        <w:spacing w:after="0" w:line="147"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auto"/>
        </w:rPr>
        <w:t>Such modifications or amendments shall not require stockholder approval or the consent of any Participant.</w:t>
      </w:r>
    </w:p>
    <w:p>
      <w:pPr>
        <w:spacing w:after="0" w:line="216" w:lineRule="exact"/>
        <w:rPr>
          <w:sz w:val="20"/>
          <w:szCs w:val="20"/>
          <w:color w:val="auto"/>
        </w:rPr>
      </w:pPr>
    </w:p>
    <w:p>
      <w:pPr>
        <w:ind w:right="20" w:firstLine="1304"/>
        <w:spacing w:after="0" w:line="233"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Plan, the balance in each Participant’s Plan Account shall be refunded as soon as practicable after such termination, without any interest thereon.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Use of Funds; No Interest Paid</w:t>
      </w:r>
      <w:r>
        <w:rPr>
          <w:rFonts w:ascii="Times New Roman" w:cs="Times New Roman" w:eastAsia="Times New Roman" w:hAnsi="Times New Roman"/>
          <w:sz w:val="19"/>
          <w:szCs w:val="19"/>
          <w:color w:val="auto"/>
        </w:rPr>
        <w:t>. All funds received by the Company by reason of purchase of shares of Common Stock under</w:t>
      </w:r>
    </w:p>
    <w:p>
      <w:pPr>
        <w:spacing w:after="0" w:line="215" w:lineRule="auto"/>
        <w:rPr>
          <w:sz w:val="20"/>
          <w:szCs w:val="20"/>
          <w:color w:val="auto"/>
        </w:rPr>
      </w:pPr>
      <w:r>
        <w:rPr>
          <w:rFonts w:ascii="Times New Roman" w:cs="Times New Roman" w:eastAsia="Times New Roman" w:hAnsi="Times New Roman"/>
          <w:sz w:val="19"/>
          <w:szCs w:val="19"/>
          <w:color w:val="auto"/>
        </w:rPr>
        <w:t>the Plan shall be included in the general funds of the Company free of any trust or other restriction and may be used for any corporate purpose, except for funds contributed under Offerings in which the local law of a non-U.S. jurisdiction requires that contributions to the Plan</w:t>
      </w:r>
    </w:p>
    <w:p>
      <w:pPr>
        <w:spacing w:after="0" w:line="211" w:lineRule="auto"/>
        <w:rPr>
          <w:sz w:val="20"/>
          <w:szCs w:val="20"/>
          <w:color w:val="auto"/>
        </w:rPr>
      </w:pPr>
      <w:r>
        <w:rPr>
          <w:rFonts w:ascii="Times New Roman" w:cs="Times New Roman" w:eastAsia="Times New Roman" w:hAnsi="Times New Roman"/>
          <w:sz w:val="20"/>
          <w:szCs w:val="20"/>
          <w:color w:val="auto"/>
        </w:rPr>
        <w:t>by Participants be segregated from the Company’s general corporate funds and/or deposited with an independent third party for Participants</w:t>
      </w:r>
    </w:p>
    <w:p>
      <w:pPr>
        <w:spacing w:after="0" w:line="215" w:lineRule="auto"/>
        <w:rPr>
          <w:sz w:val="20"/>
          <w:szCs w:val="20"/>
          <w:color w:val="auto"/>
        </w:rPr>
      </w:pPr>
      <w:r>
        <w:rPr>
          <w:rFonts w:ascii="Times New Roman" w:cs="Times New Roman" w:eastAsia="Times New Roman" w:hAnsi="Times New Roman"/>
          <w:sz w:val="19"/>
          <w:szCs w:val="19"/>
          <w:color w:val="auto"/>
        </w:rPr>
        <w:t>in non-U.S. jurisdictions. No interest shall be paid to any Participant or credited under the Plan, except as may be required by local law in a non-U.S. jurisdiction. If the segregation of funds and/or payment of interest on any Participant’s account is so required, such provisions shall</w:t>
      </w:r>
    </w:p>
    <w:p>
      <w:pPr>
        <w:spacing w:after="0" w:line="211" w:lineRule="auto"/>
        <w:rPr>
          <w:sz w:val="20"/>
          <w:szCs w:val="20"/>
          <w:color w:val="auto"/>
        </w:rPr>
      </w:pPr>
      <w:r>
        <w:rPr>
          <w:rFonts w:ascii="Times New Roman" w:cs="Times New Roman" w:eastAsia="Times New Roman" w:hAnsi="Times New Roman"/>
          <w:sz w:val="20"/>
          <w:szCs w:val="20"/>
          <w:color w:val="auto"/>
        </w:rPr>
        <w:t>apply to all Participants in the relevant Offering except to the extent otherwise permitted by U.S. Treasury Regulation Section 1.423-2(f).</w:t>
      </w:r>
    </w:p>
    <w:p>
      <w:pPr>
        <w:spacing w:after="0" w:line="221" w:lineRule="auto"/>
        <w:rPr>
          <w:sz w:val="20"/>
          <w:szCs w:val="20"/>
          <w:color w:val="auto"/>
        </w:rPr>
      </w:pPr>
      <w:r>
        <w:rPr>
          <w:rFonts w:ascii="Times New Roman" w:cs="Times New Roman" w:eastAsia="Times New Roman" w:hAnsi="Times New Roman"/>
          <w:sz w:val="20"/>
          <w:szCs w:val="20"/>
          <w:color w:val="auto"/>
        </w:rPr>
        <w:t>With respect to any Offering under the Non-Section 423 Component, the payment of interest shall apply as determined by the Administrator (but absent any such determination, no interest shall apply).</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Term; Approval by Stockholders</w:t>
      </w:r>
      <w:r>
        <w:rPr>
          <w:rFonts w:ascii="Times New Roman" w:cs="Times New Roman" w:eastAsia="Times New Roman" w:hAnsi="Times New Roman"/>
          <w:sz w:val="20"/>
          <w:szCs w:val="20"/>
          <w:color w:val="auto"/>
        </w:rPr>
        <w:t>. No Option may be granted during any period of suspension of the Plan or after termination of the Plan. The Plan shall be submitted for the approval of the Company’s stockholders within 12 months after the date of the Board’s initial</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adoption of the Plan. Options may be granted prior to such stockholder approval;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Options shall not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exercisable prior to the time when the Plan is approved by the stockholders;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if such approval has not been obtained by the end of the 12-month period, all Options previously granted under the Plan shall thereupon terminate and be canceled and become null and</w:t>
      </w:r>
    </w:p>
    <w:p>
      <w:pPr>
        <w:spacing w:after="0"/>
        <w:rPr>
          <w:sz w:val="20"/>
          <w:szCs w:val="20"/>
          <w:color w:val="auto"/>
        </w:rPr>
      </w:pPr>
      <w:r>
        <w:rPr>
          <w:rFonts w:ascii="Times New Roman" w:cs="Times New Roman" w:eastAsia="Times New Roman" w:hAnsi="Times New Roman"/>
          <w:sz w:val="20"/>
          <w:szCs w:val="20"/>
          <w:color w:val="auto"/>
        </w:rPr>
        <w:t>void without being exercised.</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Effect Upon Other Plans</w:t>
      </w:r>
      <w:r>
        <w:rPr>
          <w:rFonts w:ascii="Times New Roman" w:cs="Times New Roman" w:eastAsia="Times New Roman" w:hAnsi="Times New Roman"/>
          <w:sz w:val="20"/>
          <w:szCs w:val="20"/>
          <w:color w:val="auto"/>
        </w:rPr>
        <w:t>. The adoption of the Plan shall not affect any other compensation or incentive plans in effect for the Company, any Parent or any Subsidiary. Nothing in the Plan shall be construed to limit the right of the Company, any Parent or any</w:t>
      </w:r>
    </w:p>
    <w:p>
      <w:pPr>
        <w:spacing w:after="0" w:line="224" w:lineRule="auto"/>
        <w:rPr>
          <w:sz w:val="20"/>
          <w:szCs w:val="20"/>
          <w:color w:val="auto"/>
        </w:rPr>
      </w:pPr>
      <w:r>
        <w:rPr>
          <w:rFonts w:ascii="Times New Roman" w:cs="Times New Roman" w:eastAsia="Times New Roman" w:hAnsi="Times New Roman"/>
          <w:sz w:val="19"/>
          <w:szCs w:val="19"/>
          <w:color w:val="auto"/>
        </w:rPr>
        <w:t>Subsidiary (a) to establish any other forms of incentives or compensation for Employees of the Company or any Parent or any Subsidiary, or</w:t>
      </w:r>
    </w:p>
    <w:p>
      <w:pPr>
        <w:jc w:val="both"/>
        <w:ind w:firstLine="8"/>
        <w:spacing w:after="0" w:line="218" w:lineRule="auto"/>
        <w:tabs>
          <w:tab w:leader="none" w:pos="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7.9 </w:t>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Notwithstanding any other provision of the Plan, the Plan and the participation in the Plan by any individual who is then subject to Section 16 of the Exchange Act shall be subject to any additional limitations set forth in any applicable</w:t>
      </w:r>
    </w:p>
    <w:p>
      <w:pPr>
        <w:spacing w:after="0" w:line="211" w:lineRule="auto"/>
        <w:rPr>
          <w:sz w:val="20"/>
          <w:szCs w:val="20"/>
          <w:color w:val="auto"/>
        </w:rPr>
      </w:pPr>
      <w:r>
        <w:rPr>
          <w:rFonts w:ascii="Times New Roman" w:cs="Times New Roman" w:eastAsia="Times New Roman" w:hAnsi="Times New Roman"/>
          <w:sz w:val="20"/>
          <w:szCs w:val="20"/>
          <w:color w:val="auto"/>
        </w:rPr>
        <w:t>exemption rule under Section 16 of the Exchange Act (including any amendment to Rule 16b-3 of the Exchange Act) that are requirements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for the application of such exemptive rule. To the extent permitted by applicable law, the Plan shall be deemed amended to the extent necessary to conform to such applicable exemptive rule.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20"/>
          <w:szCs w:val="20"/>
          <w:u w:val="single" w:color="auto"/>
          <w:color w:val="auto"/>
        </w:rPr>
        <w:t>Notice of Disposition of Shares</w:t>
      </w:r>
      <w:r>
        <w:rPr>
          <w:rFonts w:ascii="Times New Roman" w:cs="Times New Roman" w:eastAsia="Times New Roman" w:hAnsi="Times New Roman"/>
          <w:sz w:val="20"/>
          <w:szCs w:val="20"/>
          <w:color w:val="auto"/>
        </w:rPr>
        <w:t>. Each Participant in the Section 423 Component shall give the Company prompt notice of</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any disposition or other transfer of any shares of Common Stock, acquired pursuant to the exercise of an Option granted under the Section 423 Component, if such disposition or transfer is made (a) within two years after the applicable Grant Date or (b) within one year after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transfer of such shares of Common Stock to such Participant upon exercise of such Option. The Company may direct that any certificates evidencing shares acquired pursuant to the Plan refer to such requirement.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73" w:name="page174"/>
    <w:bookmarkEnd w:id="173"/>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all rights and obligations thereunder shall be construed and enforced in accordance with the laws of the State of Nevada, without regard to the conflict of law rules thereof or of any other jurisdiction.</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Conditions To Issuance of Shares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20"/>
          <w:szCs w:val="20"/>
          <w:u w:val="single" w:color="auto"/>
          <w:color w:val="auto"/>
        </w:rPr>
        <w:t>Equal Rights and Privileges</w:t>
      </w:r>
      <w:r>
        <w:rPr>
          <w:rFonts w:ascii="Times New Roman" w:cs="Times New Roman" w:eastAsia="Times New Roman" w:hAnsi="Times New Roman"/>
          <w:sz w:val="20"/>
          <w:szCs w:val="20"/>
          <w:color w:val="auto"/>
        </w:rPr>
        <w:t>. All Eligible Employees of the Company (or of any Designated Subsidiary) granted Options</w:t>
      </w:r>
    </w:p>
    <w:p>
      <w:pPr>
        <w:spacing w:after="0" w:line="204" w:lineRule="auto"/>
        <w:rPr>
          <w:sz w:val="20"/>
          <w:szCs w:val="20"/>
          <w:color w:val="auto"/>
        </w:rPr>
      </w:pPr>
      <w:r>
        <w:rPr>
          <w:rFonts w:ascii="Times New Roman" w:cs="Times New Roman" w:eastAsia="Times New Roman" w:hAnsi="Times New Roman"/>
          <w:sz w:val="20"/>
          <w:szCs w:val="20"/>
          <w:color w:val="auto"/>
        </w:rPr>
        <w:t>pursuant to an Offering under the Section 423 Component shall have equal rights and privileges under this Plan to the extent required under Section 423 of the Code so that the Section 423 Component qualifies as an “employee stock purchase plan” within the meaning of Section</w:t>
      </w:r>
    </w:p>
    <w:p>
      <w:pPr>
        <w:spacing w:after="0" w:line="211" w:lineRule="auto"/>
        <w:rPr>
          <w:sz w:val="20"/>
          <w:szCs w:val="20"/>
          <w:color w:val="auto"/>
        </w:rPr>
      </w:pPr>
      <w:r>
        <w:rPr>
          <w:rFonts w:ascii="Times New Roman" w:cs="Times New Roman" w:eastAsia="Times New Roman" w:hAnsi="Times New Roman"/>
          <w:sz w:val="20"/>
          <w:szCs w:val="20"/>
          <w:color w:val="auto"/>
        </w:rPr>
        <w:t>423 of the Code. Any provision of the Section 423 Component that is inconsistent with Section 423 of the Code shall, without further act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amendment by the Company or the Board, be reformed to comply with the equal rights and privileges requirement of Section 423 of the Code. Eligible Employees participating in the Non-Section 423 Component need not have the same rights and privileges as Eligible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Employees participating in the Section 423 Component.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7.16 </w:t>
      </w:r>
      <w:r>
        <w:rPr>
          <w:rFonts w:ascii="Times New Roman" w:cs="Times New Roman" w:eastAsia="Times New Roman" w:hAnsi="Times New Roman"/>
          <w:sz w:val="20"/>
          <w:szCs w:val="20"/>
          <w:u w:val="single" w:color="auto"/>
          <w:color w:val="auto"/>
        </w:rPr>
        <w:t>Rules Particular to Specific Countries</w:t>
      </w:r>
      <w:r>
        <w:rPr>
          <w:rFonts w:ascii="Times New Roman" w:cs="Times New Roman" w:eastAsia="Times New Roman" w:hAnsi="Times New Roman"/>
          <w:sz w:val="20"/>
          <w:szCs w:val="20"/>
          <w:color w:val="auto"/>
        </w:rPr>
        <w:t>. Notwithstanding anything herein to the contrary, the terms and conditions of the Plan with respect to Participants who are tax residents of a particular non-U.S. country or who are foreign nationals or employed in non-U.S.</w:t>
      </w:r>
    </w:p>
    <w:p>
      <w:pPr>
        <w:spacing w:after="0" w:line="224" w:lineRule="auto"/>
        <w:rPr>
          <w:sz w:val="20"/>
          <w:szCs w:val="20"/>
          <w:color w:val="auto"/>
        </w:rPr>
      </w:pPr>
      <w:r>
        <w:rPr>
          <w:rFonts w:ascii="Times New Roman" w:cs="Times New Roman" w:eastAsia="Times New Roman" w:hAnsi="Times New Roman"/>
          <w:sz w:val="19"/>
          <w:szCs w:val="19"/>
          <w:color w:val="auto"/>
        </w:rPr>
        <w:t>jurisdictions may be subject to an addendum to the Plan in the form of an appendix or sub-plan (which appendix or sub-plan may be designed</w:t>
      </w:r>
    </w:p>
    <w:p>
      <w:pPr>
        <w:ind w:right="20"/>
        <w:spacing w:after="0" w:line="204" w:lineRule="auto"/>
        <w:rPr>
          <w:sz w:val="20"/>
          <w:szCs w:val="20"/>
          <w:color w:val="auto"/>
        </w:rPr>
      </w:pPr>
      <w:r>
        <w:rPr>
          <w:rFonts w:ascii="Times New Roman" w:cs="Times New Roman" w:eastAsia="Times New Roman" w:hAnsi="Times New Roman"/>
          <w:sz w:val="20"/>
          <w:szCs w:val="20"/>
          <w:color w:val="auto"/>
        </w:rPr>
        <w:t>to govern Offerings under the Section 423 Component or the Non-Section 423 Component, as determined by the Administrator). To the extent that the terms and conditions set forth in an appendix or sub-plan conflict with any provisions of the Plan, the provisions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or sub-plan shall govern. The adoption of any such appendix or sub-plan shall be pursuant to Section 7.1 above. Without limiting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color w:val="auto"/>
        </w:rPr>
        <w:t>the foregoing, the Administrator is specifically authorized to adopt rules and procedures, with respect to Participants who are foreign</w:t>
      </w:r>
    </w:p>
    <w:p>
      <w:pPr>
        <w:jc w:val="both"/>
        <w:spacing w:after="0" w:line="204" w:lineRule="auto"/>
        <w:rPr>
          <w:sz w:val="20"/>
          <w:szCs w:val="20"/>
          <w:color w:val="auto"/>
        </w:rPr>
      </w:pPr>
      <w:r>
        <w:rPr>
          <w:rFonts w:ascii="Times New Roman" w:cs="Times New Roman" w:eastAsia="Times New Roman" w:hAnsi="Times New Roman"/>
          <w:sz w:val="20"/>
          <w:szCs w:val="20"/>
          <w:color w:val="auto"/>
        </w:rPr>
        <w:t>nationals or employed in non-U.S. jurisdictions, regarding the exclusion of particular Subsidiaries from participation in the Plan, eligibility to participate, the definition of Compensation, handling of payroll deductions or other contributions by Participants, payment of interest,</w:t>
      </w:r>
    </w:p>
    <w:p>
      <w:pPr>
        <w:spacing w:after="0" w:line="211" w:lineRule="auto"/>
        <w:rPr>
          <w:sz w:val="20"/>
          <w:szCs w:val="20"/>
          <w:color w:val="auto"/>
        </w:rPr>
      </w:pPr>
      <w:r>
        <w:rPr>
          <w:rFonts w:ascii="Times New Roman" w:cs="Times New Roman" w:eastAsia="Times New Roman" w:hAnsi="Times New Roman"/>
          <w:sz w:val="20"/>
          <w:szCs w:val="20"/>
          <w:color w:val="auto"/>
        </w:rPr>
        <w:t>conversion of local currency, data privacy security, payroll tax, withholding procedures, establishment of bank or trust accounts to hold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payroll deductions or contributions. Without limiting the foregoing, the Administrator is specifically authorized to adopt rules and procedures, with respect to Participants who are foreign nationals or employed in non-U.S. jurisdictions, regarding the exclusion of particular</w:t>
      </w:r>
    </w:p>
    <w:p>
      <w:pPr>
        <w:spacing w:after="0" w:line="211" w:lineRule="auto"/>
        <w:rPr>
          <w:sz w:val="20"/>
          <w:szCs w:val="20"/>
          <w:color w:val="auto"/>
        </w:rPr>
      </w:pPr>
      <w:r>
        <w:rPr>
          <w:rFonts w:ascii="Times New Roman" w:cs="Times New Roman" w:eastAsia="Times New Roman" w:hAnsi="Times New Roman"/>
          <w:sz w:val="20"/>
          <w:szCs w:val="20"/>
          <w:color w:val="auto"/>
        </w:rPr>
        <w:t>Subsidiaries from participation in the Plan, eligibility to participate, the definition of Compensation, handling of payroll deductions or other</w:t>
      </w:r>
    </w:p>
    <w:p>
      <w:pPr>
        <w:spacing w:after="0" w:line="204" w:lineRule="auto"/>
        <w:rPr>
          <w:sz w:val="20"/>
          <w:szCs w:val="20"/>
          <w:color w:val="auto"/>
        </w:rPr>
      </w:pPr>
      <w:r>
        <w:rPr>
          <w:rFonts w:ascii="Times New Roman" w:cs="Times New Roman" w:eastAsia="Times New Roman" w:hAnsi="Times New Roman"/>
          <w:sz w:val="20"/>
          <w:szCs w:val="20"/>
          <w:color w:val="auto"/>
        </w:rPr>
        <w:t>contributions by Participants, payment of interest, conversion of local currency, data privacy security, payroll tax, withholding procedures, establishment of bank or trust accounts to hold payroll deductions or contributions. Without limiting the generality of the foregoing, the</w:t>
      </w:r>
    </w:p>
    <w:p>
      <w:pPr>
        <w:spacing w:after="0" w:line="223" w:lineRule="auto"/>
        <w:rPr>
          <w:sz w:val="20"/>
          <w:szCs w:val="20"/>
          <w:color w:val="auto"/>
        </w:rPr>
      </w:pPr>
      <w:r>
        <w:rPr>
          <w:rFonts w:ascii="Times New Roman" w:cs="Times New Roman" w:eastAsia="Times New Roman" w:hAnsi="Times New Roman"/>
          <w:sz w:val="19"/>
          <w:szCs w:val="19"/>
          <w:color w:val="auto"/>
        </w:rPr>
        <w:t>Administrator is specifically authorized to adopt rules and procedures regarding the exclusion of particular Subsidiaries from participation in</w:t>
      </w:r>
    </w:p>
    <w:p>
      <w:pPr>
        <w:spacing w:after="0" w:line="204" w:lineRule="auto"/>
        <w:rPr>
          <w:sz w:val="20"/>
          <w:szCs w:val="20"/>
          <w:color w:val="auto"/>
        </w:rPr>
      </w:pPr>
      <w:r>
        <w:rPr>
          <w:rFonts w:ascii="Times New Roman" w:cs="Times New Roman" w:eastAsia="Times New Roman" w:hAnsi="Times New Roman"/>
          <w:sz w:val="20"/>
          <w:szCs w:val="20"/>
          <w:color w:val="auto"/>
        </w:rPr>
        <w:t>the Plan, eligibility to participate, the definition of Compensation, handling of payroll deductions or other contributions by Participants, payment of interest, conversion of local currency, data privacy security, payroll tax, withholding procedures, establishment of bank or trust</w:t>
      </w:r>
    </w:p>
    <w:p>
      <w:pPr>
        <w:spacing w:after="0" w:line="211" w:lineRule="auto"/>
        <w:rPr>
          <w:sz w:val="20"/>
          <w:szCs w:val="20"/>
          <w:color w:val="auto"/>
        </w:rPr>
      </w:pPr>
      <w:r>
        <w:rPr>
          <w:rFonts w:ascii="Times New Roman" w:cs="Times New Roman" w:eastAsia="Times New Roman" w:hAnsi="Times New Roman"/>
          <w:sz w:val="20"/>
          <w:szCs w:val="20"/>
          <w:color w:val="auto"/>
        </w:rPr>
        <w:t>accounts to hold payroll deductions or contributions, determination of beneficiary designation requirements, and handling of stock</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certificates. The Administrator also is authorized to determine that, to the extent permitted by U.S. Treasury Regulation Section 1.423-2(f), the terms of a purchase right granted under the Plan or an Offering to citizens or residents of a non-U.S. jurisdiction will be less favorable</w:t>
      </w:r>
    </w:p>
    <w:p>
      <w:pPr>
        <w:spacing w:after="0" w:line="223" w:lineRule="auto"/>
        <w:rPr>
          <w:sz w:val="20"/>
          <w:szCs w:val="20"/>
          <w:color w:val="auto"/>
        </w:rPr>
      </w:pPr>
      <w:r>
        <w:rPr>
          <w:rFonts w:ascii="Times New Roman" w:cs="Times New Roman" w:eastAsia="Times New Roman" w:hAnsi="Times New Roman"/>
          <w:sz w:val="19"/>
          <w:szCs w:val="19"/>
          <w:color w:val="auto"/>
        </w:rPr>
        <w:t>than the terms of purchase rights granted under the Plan or the same Offering to Employees resident solely in the U.S. To the extent any sub-</w:t>
      </w:r>
    </w:p>
    <w:p>
      <w:pPr>
        <w:ind w:right="20"/>
        <w:spacing w:after="0" w:line="215" w:lineRule="auto"/>
        <w:rPr>
          <w:sz w:val="20"/>
          <w:szCs w:val="20"/>
          <w:color w:val="auto"/>
        </w:rPr>
      </w:pPr>
      <w:r>
        <w:rPr>
          <w:rFonts w:ascii="Times New Roman" w:cs="Times New Roman" w:eastAsia="Times New Roman" w:hAnsi="Times New Roman"/>
          <w:sz w:val="19"/>
          <w:szCs w:val="19"/>
          <w:color w:val="auto"/>
        </w:rPr>
        <w:t>plan or appendix or other changes approved by the Administrator are inconsistent with the requirements of Section 423 of the Code or would jeopardize the tax-qualified status of the Section 423 Component, the change shall cause the Designated Subsidiaries affected thereby to be</w:t>
      </w:r>
    </w:p>
    <w:p>
      <w:pPr>
        <w:spacing w:after="0" w:line="215" w:lineRule="auto"/>
        <w:rPr>
          <w:sz w:val="20"/>
          <w:szCs w:val="20"/>
          <w:color w:val="auto"/>
        </w:rPr>
      </w:pPr>
      <w:r>
        <w:rPr>
          <w:rFonts w:ascii="Times New Roman" w:cs="Times New Roman" w:eastAsia="Times New Roman" w:hAnsi="Times New Roman"/>
          <w:sz w:val="19"/>
          <w:szCs w:val="19"/>
          <w:color w:val="auto"/>
        </w:rPr>
        <w:t>considered Designated Subsidiaries in a separate Offering under the Non-Section 423 Component instead of the Section 423 Component. To the extent any Employee of a Designated Subsidiary in the Section 423 Component is a citizen or resident of a foreign jurisdiction (without</w:t>
      </w:r>
    </w:p>
    <w:p>
      <w:pPr>
        <w:spacing w:after="0" w:line="211" w:lineRule="auto"/>
        <w:rPr>
          <w:sz w:val="20"/>
          <w:szCs w:val="20"/>
          <w:color w:val="auto"/>
        </w:rPr>
      </w:pPr>
      <w:r>
        <w:rPr>
          <w:rFonts w:ascii="Times New Roman" w:cs="Times New Roman" w:eastAsia="Times New Roman" w:hAnsi="Times New Roman"/>
          <w:sz w:val="20"/>
          <w:szCs w:val="20"/>
          <w:color w:val="auto"/>
        </w:rPr>
        <w:t>regard to whether they are also a U.S. citizen or a resident alien (within the meaning of Section 7701(b)(1)(A) of the Code)) and compliance</w:t>
      </w:r>
    </w:p>
    <w:p>
      <w:pPr>
        <w:spacing w:after="0" w:line="221" w:lineRule="auto"/>
        <w:rPr>
          <w:sz w:val="20"/>
          <w:szCs w:val="20"/>
          <w:color w:val="auto"/>
        </w:rPr>
      </w:pPr>
      <w:r>
        <w:rPr>
          <w:rFonts w:ascii="Times New Roman" w:cs="Times New Roman" w:eastAsia="Times New Roman" w:hAnsi="Times New Roman"/>
          <w:sz w:val="20"/>
          <w:szCs w:val="20"/>
          <w:color w:val="auto"/>
        </w:rPr>
        <w:t>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spacing w:after="0" w:line="175" w:lineRule="exact"/>
        <w:rPr>
          <w:sz w:val="20"/>
          <w:szCs w:val="20"/>
          <w:color w:val="auto"/>
        </w:rPr>
      </w:pPr>
    </w:p>
    <w:p>
      <w:pPr>
        <w:jc w:val="both"/>
        <w:ind w:left="80" w:firstLine="1215"/>
        <w:spacing w:after="0" w:line="253" w:lineRule="auto"/>
        <w:rPr>
          <w:sz w:val="20"/>
          <w:szCs w:val="20"/>
          <w:color w:val="auto"/>
        </w:rPr>
      </w:pPr>
      <w:r>
        <w:rPr>
          <w:rFonts w:ascii="Times New Roman" w:cs="Times New Roman" w:eastAsia="Times New Roman" w:hAnsi="Times New Roman"/>
          <w:sz w:val="20"/>
          <w:szCs w:val="20"/>
          <w:color w:val="auto"/>
        </w:rPr>
        <w:t>7.17 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7.18</w:t>
      </w:r>
      <w:r>
        <w:rPr>
          <w:sz w:val="20"/>
          <w:szCs w:val="20"/>
          <w:color w:val="auto"/>
        </w:rPr>
        <w:tab/>
      </w:r>
      <w:r>
        <w:rPr>
          <w:rFonts w:ascii="Times New Roman" w:cs="Times New Roman" w:eastAsia="Times New Roman" w:hAnsi="Times New Roman"/>
          <w:sz w:val="20"/>
          <w:szCs w:val="20"/>
          <w:u w:val="single" w:color="auto"/>
          <w:color w:val="auto"/>
        </w:rPr>
        <w:t>Transfer of Employment</w:t>
      </w:r>
      <w:r>
        <w:rPr>
          <w:rFonts w:ascii="Times New Roman" w:cs="Times New Roman" w:eastAsia="Times New Roman" w:hAnsi="Times New Roman"/>
          <w:sz w:val="20"/>
          <w:szCs w:val="20"/>
          <w:color w:val="auto"/>
        </w:rPr>
        <w:t>. A transfer of employment from one Designated Subsidiary to another shall not be treated as a</w:t>
      </w:r>
    </w:p>
    <w:p>
      <w:pPr>
        <w:spacing w:after="0" w:line="204" w:lineRule="auto"/>
        <w:rPr>
          <w:sz w:val="20"/>
          <w:szCs w:val="20"/>
          <w:color w:val="auto"/>
        </w:rPr>
      </w:pPr>
      <w:r>
        <w:rPr>
          <w:rFonts w:ascii="Times New Roman" w:cs="Times New Roman" w:eastAsia="Times New Roman" w:hAnsi="Times New Roman"/>
          <w:sz w:val="20"/>
          <w:szCs w:val="20"/>
          <w:color w:val="auto"/>
        </w:rPr>
        <w:t>termination of employment. If a Participant transfers employment from the Company or any Designated Subsidiary participating in the Section 423 Component to a Designated Subsidiary participating in the Non-Section 423 Component, he or she shall immediately cease to</w:t>
      </w:r>
    </w:p>
    <w:p>
      <w:pPr>
        <w:spacing w:after="0" w:line="211" w:lineRule="auto"/>
        <w:rPr>
          <w:sz w:val="20"/>
          <w:szCs w:val="20"/>
          <w:color w:val="auto"/>
        </w:rPr>
      </w:pPr>
      <w:r>
        <w:rPr>
          <w:rFonts w:ascii="Times New Roman" w:cs="Times New Roman" w:eastAsia="Times New Roman" w:hAnsi="Times New Roman"/>
          <w:sz w:val="20"/>
          <w:szCs w:val="20"/>
          <w:color w:val="auto"/>
        </w:rPr>
        <w:t>participate in the Section 423 Component; however, any payroll deductions made for the Offering Period in which such transfer occurs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transferred to the Non-Section 423 Component, and such Participant shall immediately join the then current Offering under the Non-Section 423 Component upon the same terms and conditions in effect for his or her participation in the Section 423 Component, except for</w:t>
      </w:r>
    </w:p>
    <w:p>
      <w:pPr>
        <w:spacing w:after="0" w:line="211" w:lineRule="auto"/>
        <w:rPr>
          <w:sz w:val="20"/>
          <w:szCs w:val="20"/>
          <w:color w:val="auto"/>
        </w:rPr>
      </w:pPr>
      <w:r>
        <w:rPr>
          <w:rFonts w:ascii="Times New Roman" w:cs="Times New Roman" w:eastAsia="Times New Roman" w:hAnsi="Times New Roman"/>
          <w:sz w:val="20"/>
          <w:szCs w:val="20"/>
          <w:color w:val="auto"/>
        </w:rPr>
        <w:t>such modifications otherwise applicable for Participants in such Offering. A Participant who transfers employment from a Designated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participating in the Non-Section 423 Component to the Company or any Designated Subsidiary participating in the Section 423 Component shall remain a Participant in the Non-Section 423 Component until the earlier of (i) the end of the current Offering Period under</w:t>
      </w:r>
    </w:p>
    <w:p>
      <w:pPr>
        <w:spacing w:after="0" w:line="223" w:lineRule="auto"/>
        <w:rPr>
          <w:sz w:val="20"/>
          <w:szCs w:val="20"/>
          <w:color w:val="auto"/>
        </w:rPr>
      </w:pPr>
      <w:r>
        <w:rPr>
          <w:rFonts w:ascii="Times New Roman" w:cs="Times New Roman" w:eastAsia="Times New Roman" w:hAnsi="Times New Roman"/>
          <w:sz w:val="19"/>
          <w:szCs w:val="19"/>
          <w:color w:val="auto"/>
        </w:rPr>
        <w:t>the Non-Section 423 Component, or (ii) the Enrollment Date of the first Offering Period in which he or she is eligible to participate following</w:t>
      </w:r>
    </w:p>
    <w:p>
      <w:pPr>
        <w:spacing w:after="0" w:line="221" w:lineRule="auto"/>
        <w:rPr>
          <w:sz w:val="20"/>
          <w:szCs w:val="20"/>
          <w:color w:val="auto"/>
        </w:rPr>
      </w:pPr>
      <w:r>
        <w:rPr>
          <w:rFonts w:ascii="Times New Roman" w:cs="Times New Roman" w:eastAsia="Times New Roman" w:hAnsi="Times New Roman"/>
          <w:sz w:val="20"/>
          <w:szCs w:val="20"/>
          <w:color w:val="auto"/>
        </w:rPr>
        <w:t>such transfer. Notwithstanding the foregoing, the Administrator may establish different rules to govern transfers of employment between companies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participating in the Section 423 Component and the Non-Section 423 Component, consistent with the applicable requirements of Section 423 of the Code.</w:t>
      </w:r>
    </w:p>
    <w:p>
      <w:pPr>
        <w:spacing w:after="0" w:line="148"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7.19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Section 423 Component of the Plan and the Options granted pursuant to Offerings thereunder are intended to be exempt from the application of Section 409A. Neither the Non-Section 423 Component nor any Option granted pursuant to 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Offering thereunder is intended to constitute or provide for “nonqualified deferred compensation” within the meaning of Section 409A. Notwithstanding any provision of the Plan to the contrary, if the Administrator determines that any Option granted under the Plan may be or</w:t>
      </w:r>
    </w:p>
    <w:p>
      <w:pPr>
        <w:spacing w:after="0" w:line="211" w:lineRule="auto"/>
        <w:rPr>
          <w:sz w:val="20"/>
          <w:szCs w:val="20"/>
          <w:color w:val="auto"/>
        </w:rPr>
      </w:pPr>
      <w:r>
        <w:rPr>
          <w:rFonts w:ascii="Times New Roman" w:cs="Times New Roman" w:eastAsia="Times New Roman" w:hAnsi="Times New Roman"/>
          <w:sz w:val="20"/>
          <w:szCs w:val="20"/>
          <w:color w:val="auto"/>
        </w:rPr>
        <w:t>become subject to Section 409A or that any provision of the Plan may cause an Option granted under the Plan to be or become subject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Section 409A, the Administrator may adopt such amendments to the Plan and/or adopt other policies and procedures (including amendments, policies and procedures with retroactive effect), or take any other actions as the Administrator determines are necessary or appropriate to</w:t>
      </w:r>
    </w:p>
    <w:p>
      <w:pPr>
        <w:ind w:right="20"/>
        <w:spacing w:after="0" w:line="228" w:lineRule="auto"/>
        <w:rPr>
          <w:sz w:val="20"/>
          <w:szCs w:val="20"/>
          <w:color w:val="auto"/>
        </w:rPr>
      </w:pPr>
      <w:r>
        <w:rPr>
          <w:rFonts w:ascii="Times New Roman" w:cs="Times New Roman" w:eastAsia="Times New Roman" w:hAnsi="Times New Roman"/>
          <w:sz w:val="20"/>
          <w:szCs w:val="20"/>
          <w:color w:val="auto"/>
        </w:rPr>
        <w:t>avoid the imposition of taxes under Section 409A, either through compliance with the requirements of Section 409A or with an available exemption therefrom.</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9"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Brilliant Earth Group, Inc., a Nevada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2021 Incentive Award Plan, as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 option to purchase the number of shares of the Company’s Common Stock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This Option is subject to all of the terms and conditions set forth herein, as well as in the Plan and the Stock Option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Stock Option Agreement</w:t>
      </w:r>
      <w:r>
        <w:rPr>
          <w:rFonts w:ascii="Times New Roman" w:cs="Times New Roman" w:eastAsia="Times New Roman" w:hAnsi="Times New Roman"/>
          <w:sz w:val="20"/>
          <w:szCs w:val="20"/>
          <w:color w:val="auto"/>
        </w:rPr>
        <w:t>”) including any special provisions for Participant’s country of residence, if any, set forth in the Appendix for Participant’s Country (the “</w:t>
      </w:r>
      <w:r>
        <w:rPr>
          <w:rFonts w:ascii="Times New Roman" w:cs="Times New Roman" w:eastAsia="Times New Roman" w:hAnsi="Times New Roman"/>
          <w:sz w:val="20"/>
          <w:szCs w:val="20"/>
          <w:b w:val="1"/>
          <w:bCs w:val="1"/>
          <w:i w:val="1"/>
          <w:iCs w:val="1"/>
          <w:color w:val="auto"/>
        </w:rPr>
        <w:t>Country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Provisions</w:t>
      </w:r>
      <w:r>
        <w:rPr>
          <w:rFonts w:ascii="Times New Roman" w:cs="Times New Roman" w:eastAsia="Times New Roman" w:hAnsi="Times New Roman"/>
          <w:sz w:val="20"/>
          <w:szCs w:val="20"/>
          <w:color w:val="auto"/>
        </w:rPr>
        <w:t>”), each of which are incorporated herein by reference. Unless otherwise defined herein, the terms defined in the Plan shall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same defined meanings in this Grant Notice, the Country Provisions and the Stock Option Agreement.</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351"/>
        </w:trPr>
        <w:tc>
          <w:tcPr>
            <w:tcW w:w="3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297"/>
        </w:trPr>
        <w:tc>
          <w:tcPr>
            <w:tcW w:w="3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297"/>
        </w:trPr>
        <w:tc>
          <w:tcPr>
            <w:tcW w:w="3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Exercise Price per Share: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w:t>
            </w:r>
          </w:p>
        </w:tc>
        <w:tc>
          <w:tcPr>
            <w:tcW w:w="0" w:type="dxa"/>
            <w:vAlign w:val="bottom"/>
          </w:tcPr>
          <w:p>
            <w:pPr>
              <w:spacing w:after="0"/>
              <w:rPr>
                <w:sz w:val="1"/>
                <w:szCs w:val="1"/>
                <w:color w:val="auto"/>
              </w:rPr>
            </w:pPr>
          </w:p>
        </w:tc>
      </w:tr>
      <w:tr>
        <w:trPr>
          <w:trHeight w:val="297"/>
        </w:trPr>
        <w:tc>
          <w:tcPr>
            <w:tcW w:w="3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Exercise Price: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w:t>
            </w: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Number of Shares Subject to the</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154"/>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Option:</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Expiration Date: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405"/>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w:t>
      </w:r>
    </w:p>
    <w:p>
      <w:pPr>
        <w:sectPr>
          <w:pgSz w:w="11900" w:h="16838" w:orient="portrait"/>
          <w:cols w:equalWidth="0" w:num="1">
            <w:col w:w="11240"/>
          </w:cols>
          <w:pgMar w:left="320" w:top="10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Stock Option Agreement and this Grant Notice. Participant has reviewed the Plan, the Stock Option Agreement and this Grant Notice in</w:t>
      </w:r>
    </w:p>
    <w:p>
      <w:pPr>
        <w:spacing w:after="0" w:line="224" w:lineRule="auto"/>
        <w:rPr>
          <w:sz w:val="20"/>
          <w:szCs w:val="20"/>
          <w:color w:val="auto"/>
        </w:rPr>
      </w:pPr>
      <w:r>
        <w:rPr>
          <w:rFonts w:ascii="Times New Roman" w:cs="Times New Roman" w:eastAsia="Times New Roman" w:hAnsi="Times New Roman"/>
          <w:sz w:val="19"/>
          <w:szCs w:val="19"/>
          <w:color w:val="auto"/>
        </w:rPr>
        <w:t>their entirety, has had an opportunity to obtain the advice of counsel prior to executing this Grant Notice and fully understands all provisions</w:t>
      </w:r>
    </w:p>
    <w:p>
      <w:pPr>
        <w:jc w:val="both"/>
        <w:spacing w:after="0" w:line="233" w:lineRule="auto"/>
        <w:rPr>
          <w:sz w:val="20"/>
          <w:szCs w:val="20"/>
          <w:color w:val="auto"/>
        </w:rPr>
      </w:pPr>
      <w:r>
        <w:rPr>
          <w:rFonts w:ascii="Times New Roman" w:cs="Times New Roman" w:eastAsia="Times New Roman" w:hAnsi="Times New Roman"/>
          <w:sz w:val="19"/>
          <w:szCs w:val="19"/>
          <w:color w:val="auto"/>
        </w:rPr>
        <w:t>of the Plan, the Stock Option Agreement and this Grant Notice. Participant hereby agrees to accept as binding, conclusive and final all decisions or interpretations of the Administrator upon any questions arising under the Plan, the Stock Option Agreement or this Grant Notice.</w:t>
      </w:r>
    </w:p>
    <w:p>
      <w:pPr>
        <w:sectPr>
          <w:pgSz w:w="11900" w:h="16838" w:orient="portrait"/>
          <w:cols w:equalWidth="0" w:num="1">
            <w:col w:w="11240"/>
          </w:cols>
          <w:pgMar w:left="320" w:top="100" w:right="339" w:bottom="1440" w:gutter="0" w:footer="0" w:header="0"/>
        </w:sectPr>
      </w:pPr>
    </w:p>
    <w:p>
      <w:pPr>
        <w:spacing w:after="0" w:line="225" w:lineRule="exact"/>
        <w:rPr>
          <w:sz w:val="20"/>
          <w:szCs w:val="20"/>
          <w:color w:val="auto"/>
        </w:rPr>
      </w:pPr>
    </w:p>
    <w:p>
      <w:pPr>
        <w:ind w:left="80"/>
        <w:spacing w:after="0"/>
        <w:tabs>
          <w:tab w:leader="none" w:pos="3440" w:val="left"/>
        </w:tabs>
        <w:rPr>
          <w:sz w:val="20"/>
          <w:szCs w:val="20"/>
          <w:color w:val="auto"/>
        </w:rPr>
      </w:pPr>
      <w:r>
        <w:rPr>
          <w:rFonts w:ascii="Times New Roman" w:cs="Times New Roman" w:eastAsia="Times New Roman" w:hAnsi="Times New Roman"/>
          <w:sz w:val="20"/>
          <w:szCs w:val="20"/>
          <w:b w:val="1"/>
          <w:bCs w:val="1"/>
          <w:color w:val="auto"/>
        </w:rPr>
        <w:t>BRILLIANT EARTH GROUP, INC.:</w:t>
      </w:r>
      <w:r>
        <w:rPr>
          <w:sz w:val="20"/>
          <w:szCs w:val="20"/>
          <w:color w:val="auto"/>
        </w:rPr>
        <w:tab/>
      </w:r>
      <w:r>
        <w:rPr>
          <w:rFonts w:ascii="Times New Roman" w:cs="Times New Roman" w:eastAsia="Times New Roman" w:hAnsi="Times New Roman"/>
          <w:sz w:val="19"/>
          <w:szCs w:val="19"/>
          <w:b w:val="1"/>
          <w:bCs w:val="1"/>
          <w:color w:val="auto"/>
        </w:rPr>
        <w:t>Holder: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36" w:lineRule="exact"/>
        <w:rPr>
          <w:sz w:val="20"/>
          <w:szCs w:val="20"/>
          <w:color w:val="auto"/>
        </w:rPr>
      </w:pPr>
    </w:p>
    <w:p>
      <w:pPr>
        <w:sectPr>
          <w:pgSz w:w="11900" w:h="16838" w:orient="portrait"/>
          <w:cols w:equalWidth="0" w:num="2">
            <w:col w:w="5560" w:space="720"/>
            <w:col w:w="4960"/>
          </w:cols>
          <w:pgMar w:left="320" w:top="100" w:right="339" w:bottom="1440" w:gutter="0" w:footer="0" w:header="0"/>
          <w:type w:val="continuous"/>
        </w:sectPr>
      </w:pPr>
    </w:p>
    <w:p>
      <w:pPr>
        <w:spacing w:after="0" w:line="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0" w:lineRule="exact"/>
        <w:rPr>
          <w:sz w:val="20"/>
          <w:szCs w:val="20"/>
          <w:color w:val="auto"/>
        </w:rPr>
      </w:pPr>
    </w:p>
    <w:p>
      <w:pPr>
        <w:sectPr>
          <w:pgSz w:w="11900" w:h="16838" w:orient="portrait"/>
          <w:cols w:equalWidth="0" w:num="2">
            <w:col w:w="5560" w:space="720"/>
            <w:col w:w="4960"/>
          </w:cols>
          <w:pgMar w:left="320" w:top="100" w:right="339" w:bottom="1440" w:gutter="0" w:footer="0" w:header="0"/>
          <w:type w:val="continuous"/>
        </w:sectPr>
      </w:pP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Print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Print</w:t>
      </w:r>
    </w:p>
    <w:p>
      <w:pPr>
        <w:spacing w:after="0" w:line="12" w:lineRule="exact"/>
        <w:rPr>
          <w:sz w:val="20"/>
          <w:szCs w:val="20"/>
          <w:color w:val="auto"/>
        </w:rPr>
      </w:pPr>
    </w:p>
    <w:p>
      <w:pPr>
        <w:sectPr>
          <w:pgSz w:w="11900" w:h="16838" w:orient="portrait"/>
          <w:cols w:equalWidth="0" w:num="2">
            <w:col w:w="5560" w:space="720"/>
            <w:col w:w="4960"/>
          </w:cols>
          <w:pgMar w:left="320" w:top="1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jc w:val="center"/>
        <w:ind w:right="508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ectPr>
          <w:pgSz w:w="11900" w:h="16838" w:orient="portrait"/>
          <w:cols w:equalWidth="0" w:num="2">
            <w:col w:w="4900" w:space="720"/>
            <w:col w:w="5620"/>
          </w:cols>
          <w:pgMar w:left="320" w:top="100" w:right="339" w:bottom="1440" w:gutter="0" w:footer="0" w:header="0"/>
          <w:type w:val="continuous"/>
        </w:sectPr>
      </w:pP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w:t>
      </w:r>
    </w:p>
    <w:p>
      <w:pPr>
        <w:sectPr>
          <w:pgSz w:w="11900" w:h="16838" w:orient="portrait"/>
          <w:cols w:equalWidth="0" w:num="2">
            <w:col w:w="5560" w:space="720"/>
            <w:col w:w="4960"/>
          </w:cols>
          <w:pgMar w:left="320" w:top="100"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STOCK OPTION GRANT NOTICE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9"/>
          <w:szCs w:val="19"/>
          <w:color w:val="auto"/>
        </w:rPr>
        <w:t>Pursuant to the Stock Option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to which this Stock Option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attached, Brilliant Earth Group, Inc., a Nevada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to Participant an Option under the Company’s 2021 Incentive Award Plan, as may be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to purchase the number of Shares indicated in the Grant Notice.</w:t>
      </w:r>
    </w:p>
    <w:p>
      <w:pPr>
        <w:spacing w:after="0" w:line="3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not specifically defined herein shall have the meanings specified in the Plan and the Grant</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of the Plan which are incorporated herein</w:t>
      </w:r>
    </w:p>
    <w:p>
      <w:pPr>
        <w:jc w:val="both"/>
        <w:spacing w:after="0" w:line="204" w:lineRule="auto"/>
        <w:rPr>
          <w:sz w:val="20"/>
          <w:szCs w:val="20"/>
          <w:color w:val="auto"/>
        </w:rPr>
      </w:pPr>
      <w:r>
        <w:rPr>
          <w:rFonts w:ascii="Times New Roman" w:cs="Times New Roman" w:eastAsia="Times New Roman" w:hAnsi="Times New Roman"/>
          <w:sz w:val="20"/>
          <w:szCs w:val="20"/>
          <w:color w:val="auto"/>
        </w:rPr>
        <w:t>by reference. In the event of any inconsistency between the Plan and this Agreement, the terms of the Plan shall control. If the Country Provisions apply to Participant, in the event of a conflict between the terms of this Agreement, the Grant Notice or the Plan and the Country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Provisions, the terms of the Country Provisions shall control.</w:t>
      </w:r>
    </w:p>
    <w:p>
      <w:pPr>
        <w:spacing w:after="0" w:line="2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Grant of Option</w:t>
      </w:r>
      <w:r>
        <w:rPr>
          <w:rFonts w:ascii="Times New Roman" w:cs="Times New Roman" w:eastAsia="Times New Roman" w:hAnsi="Times New Roman"/>
          <w:sz w:val="19"/>
          <w:szCs w:val="19"/>
          <w:color w:val="auto"/>
        </w:rPr>
        <w:t>. In consideration of Participant’s past and/or continued employment with or service to the Company or any Subsidiary and for other good and valuable consideration, effective as of the Grant Date set forth in the Grant Notice (the “</w:t>
      </w:r>
      <w:r>
        <w:rPr>
          <w:rFonts w:ascii="Times New Roman" w:cs="Times New Roman" w:eastAsia="Times New Roman" w:hAnsi="Times New Roman"/>
          <w:sz w:val="19"/>
          <w:szCs w:val="19"/>
          <w:b w:val="1"/>
          <w:bCs w:val="1"/>
          <w:i w:val="1"/>
          <w:iCs w:val="1"/>
          <w:color w:val="auto"/>
        </w:rPr>
        <w:t>Grant Date</w:t>
      </w:r>
      <w:r>
        <w:rPr>
          <w:rFonts w:ascii="Times New Roman" w:cs="Times New Roman" w:eastAsia="Times New Roman" w:hAnsi="Times New Roman"/>
          <w:sz w:val="19"/>
          <w:szCs w:val="19"/>
          <w:color w:val="auto"/>
        </w:rPr>
        <w:t>”), the</w:t>
      </w:r>
    </w:p>
    <w:p>
      <w:pPr>
        <w:spacing w:after="0" w:line="211" w:lineRule="auto"/>
        <w:rPr>
          <w:sz w:val="20"/>
          <w:szCs w:val="20"/>
          <w:color w:val="auto"/>
        </w:rPr>
      </w:pPr>
      <w:r>
        <w:rPr>
          <w:rFonts w:ascii="Times New Roman" w:cs="Times New Roman" w:eastAsia="Times New Roman" w:hAnsi="Times New Roman"/>
          <w:sz w:val="20"/>
          <w:szCs w:val="20"/>
          <w:color w:val="auto"/>
        </w:rPr>
        <w:t>Company irrevocably grants to Participant the Option to purchase any part or all of an aggregate of the number of Shares set forth in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Grant Notice, upon the terms and conditions set forth in the Plan, this Agreement, and the Country Provisions (if applicable), subject to adjustments as provided in Article IX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of the Shares subject to the Option shall be as set forth in the Grant Notice, without</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commission or other charge;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exercise price per share of the Shares subject to the Option shall not be less than 100% of the Fair Market Value of a Share on the Grant Date.</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Consideration to the Company</w:t>
      </w:r>
      <w:r>
        <w:rPr>
          <w:rFonts w:ascii="Times New Roman" w:cs="Times New Roman" w:eastAsia="Times New Roman" w:hAnsi="Times New Roman"/>
          <w:sz w:val="20"/>
          <w:szCs w:val="20"/>
          <w:color w:val="auto"/>
        </w:rPr>
        <w:t>. In consideration of the grant of the Option by the Company, Participant agrees to render faithful and efficient services to the Company and its Subsidiaries, as applicable.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Commencement of Exercisability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Section 3.1 and Sections 3.2, 3.3, 5.11 and 5.17 hereof, the Option shall become vested and exercisable in such amounts and at such times as are set forth in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09" w:right="339" w:bottom="1440" w:gutter="0" w:footer="0" w:header="0"/>
        </w:sectPr>
      </w:pPr>
    </w:p>
    <w:bookmarkStart w:id="179" w:name="page180"/>
    <w:bookmarkEnd w:id="179"/>
    <w:p>
      <w:pPr>
        <w:jc w:val="both"/>
        <w:ind w:firstLine="1304"/>
        <w:spacing w:after="0" w:line="226"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(or any Subsidiary that is the employer of Participant) and Participant.</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3.1(a) hereof and the Grant Notice, but subject to Section 3.1(b) hereof, in the event of a Change in Control the Option shall be treated pursuant to Sections 9.2 and 9.3 of the Plan.</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The Option may not be exercised to any extent by anyone after the first to occur of the following</w:t>
      </w:r>
    </w:p>
    <w:p>
      <w:pPr>
        <w:spacing w:after="0"/>
        <w:rPr>
          <w:sz w:val="20"/>
          <w:szCs w:val="20"/>
          <w:color w:val="auto"/>
        </w:rPr>
      </w:pPr>
      <w:r>
        <w:rPr>
          <w:rFonts w:ascii="Times New Roman" w:cs="Times New Roman" w:eastAsia="Times New Roman" w:hAnsi="Times New Roman"/>
          <w:sz w:val="20"/>
          <w:szCs w:val="20"/>
          <w:color w:val="auto"/>
        </w:rPr>
        <w:t>events:</w:t>
      </w:r>
    </w:p>
    <w:p>
      <w:pPr>
        <w:spacing w:after="0" w:line="148" w:lineRule="exact"/>
        <w:rPr>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 which shall in no event be more than ten years from the Grant</w:t>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67" w:lineRule="exact"/>
        <w:rPr>
          <w:sz w:val="20"/>
          <w:szCs w:val="20"/>
          <w:color w:val="auto"/>
        </w:rPr>
      </w:pPr>
    </w:p>
    <w:p>
      <w:pPr>
        <w:ind w:firstLine="1304"/>
        <w:spacing w:after="0"/>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three months from the date of Participant’s Termination of Service, unless such termination occurs by reason of Participant’s death or Disability or Cause;</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one year from the date of Participant’s Termination of Service by reason of Participant’s death or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or</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Termination of Service for Cause.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Tax Indemnity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to hold harmless, indemnify and keep indemnified the Company, any Subsidiary and Participant’s employing company, if different, from and against any liability for or obligation to pay any Tax-Related Items that is attributable to (1) the grant or exercise of, or any benefit derived by Participant from, the Option, (2) the acquisition by Participant of the Shares on exercise of the Option or (3) the disposal of any Shares.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cannot be exercised until Participant has made such arrangements as the Company may require for the satisfaction of any Tax-Related Items that may arise in connection with the exercise of the Option or the acquisition of the Shares by Participant. The Company shall not be required to issue, allot or transfer Shares until Participant has satisfied this obligation.</w:t>
      </w:r>
    </w:p>
    <w:p>
      <w:pPr>
        <w:spacing w:after="0" w:line="14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acknowledges that the Company (i) makes no representations or undertakings regarding the treatment of any Tax-Related Items in connection with any aspect of the Option and (ii) does not commit to and is under no obligation to structure the terms of the grant or any aspect of any Award, including the Option, to reduce or eliminate Participant’s liability for Tax-Related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Tax-Related Items in more than one jurisdiction.</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9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Except as provided in Section 5.3 hereof, during the lifetime of Participant, only Participant may exercise the Option or any portion thereof, unless it has been disposed of pursuant to a DRO. After the death of Participant, any exercisable portion of the Option may,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9" w:right="339" w:bottom="1440" w:gutter="0" w:footer="0" w:header="0"/>
        </w:sectPr>
      </w:pPr>
    </w:p>
    <w:bookmarkStart w:id="180" w:name="page181"/>
    <w:bookmarkEnd w:id="180"/>
    <w:p>
      <w:pPr>
        <w:jc w:val="both"/>
        <w:spacing w:after="0" w:line="266" w:lineRule="auto"/>
        <w:rPr>
          <w:sz w:val="20"/>
          <w:szCs w:val="20"/>
          <w:color w:val="auto"/>
        </w:rPr>
      </w:pPr>
      <w:r>
        <w:rPr>
          <w:rFonts w:ascii="Times New Roman" w:cs="Times New Roman" w:eastAsia="Times New Roman" w:hAnsi="Times New Roman"/>
          <w:sz w:val="19"/>
          <w:szCs w:val="19"/>
          <w:color w:val="auto"/>
        </w:rPr>
        <w:t>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12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The Option, or any exercisable portion thereof, may be exercised solely by delivery to the Secretary of the Company (or any third party administrator or other person or entity designated by the Company; for the avoidance of doubt, delivery</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shall include electronic delivery), during regular business hours, of all of the following prior to the time when the Option or such portion thereof becomes unexercisable under Section 3.3 hereof:</w:t>
      </w:r>
    </w:p>
    <w:p>
      <w:pPr>
        <w:spacing w:after="0" w:line="162" w:lineRule="exact"/>
        <w:rPr>
          <w:sz w:val="20"/>
          <w:szCs w:val="20"/>
          <w:color w:val="auto"/>
        </w:rPr>
      </w:pPr>
    </w:p>
    <w:p>
      <w:pPr>
        <w:jc w:val="both"/>
        <w:ind w:firstLine="1304"/>
        <w:spacing w:after="0" w:line="226" w:lineRule="auto"/>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of full payment for the Shares with respect to which the Option or portion thereof is exercised, including payment of any applicable Tax-Related Items, which shall be made by deduction from other compensation payable to Participant or in such other form of consideration permitted under Section 4.4 hereof that is acceptable to the Company;</w:t>
      </w:r>
    </w:p>
    <w:p>
      <w:pPr>
        <w:spacing w:after="0" w:line="160" w:lineRule="exact"/>
        <w:rPr>
          <w:rFonts w:ascii="Times New Roman" w:cs="Times New Roman" w:eastAsia="Times New Roman" w:hAnsi="Times New Roman"/>
          <w:sz w:val="20"/>
          <w:szCs w:val="20"/>
          <w:color w:val="auto"/>
        </w:rPr>
      </w:pPr>
    </w:p>
    <w:p>
      <w:pPr>
        <w:ind w:right="20" w:firstLine="1304"/>
        <w:spacing w:after="0"/>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evidence compliance with the Securities Act, the Exchange Act or any other Applicable Law; and</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6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Notwithstanding any of the foregoing, the Company shall have the right to specify all conditions of the manner of exercise, which conditions may vary by country and which may be subject to change from time to time.</w:t>
      </w:r>
    </w:p>
    <w:p>
      <w:pPr>
        <w:spacing w:after="0" w:line="146"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 Participant:</w:t>
      </w:r>
    </w:p>
    <w:p>
      <w:pPr>
        <w:spacing w:after="0" w:line="161" w:lineRule="exact"/>
        <w:rPr>
          <w:sz w:val="20"/>
          <w:szCs w:val="20"/>
          <w:color w:val="auto"/>
        </w:rPr>
      </w:pPr>
    </w:p>
    <w:p>
      <w:pPr>
        <w:ind w:left="1940" w:hanging="636"/>
        <w:spacing w:after="0"/>
        <w:tabs>
          <w:tab w:leader="none" w:pos="19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at such time as may be required by the Company, but in any event not later than the settlement of such sale).</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Shares deliverable upon the exercise of the Option, or any portion thereof, may be either previously authorized but unissued Shares or issued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9"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color w:val="auto"/>
        </w:rPr>
        <w:t>which have then been reacquired by the Company. Such Shares shall be fully paid and nonassessable. The Company shall not be required to</w:t>
      </w:r>
    </w:p>
    <w:p>
      <w:pPr>
        <w:spacing w:after="0" w:line="221" w:lineRule="auto"/>
        <w:rPr>
          <w:sz w:val="20"/>
          <w:szCs w:val="20"/>
          <w:color w:val="auto"/>
        </w:rPr>
      </w:pPr>
      <w:r>
        <w:rPr>
          <w:rFonts w:ascii="Times New Roman" w:cs="Times New Roman" w:eastAsia="Times New Roman" w:hAnsi="Times New Roman"/>
          <w:sz w:val="20"/>
          <w:szCs w:val="20"/>
          <w:color w:val="auto"/>
        </w:rPr>
        <w:t>issue or deliver any Shares purchased upon the exercise of the Option or portion thereof prior to fulfillment of all of the conditions in Section 10.7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u w:val="single" w:color="auto"/>
          <w:color w:val="auto"/>
        </w:rPr>
        <w:t>Participant’s Representations</w:t>
      </w:r>
      <w:r>
        <w:rPr>
          <w:rFonts w:ascii="Times New Roman" w:cs="Times New Roman" w:eastAsia="Times New Roman" w:hAnsi="Times New Roman"/>
          <w:sz w:val="20"/>
          <w:szCs w:val="20"/>
          <w:color w:val="auto"/>
        </w:rPr>
        <w:t>. If the Shares issuable hereunder have not been registered under the Securities Act or any</w:t>
      </w:r>
    </w:p>
    <w:p>
      <w:pPr>
        <w:spacing w:after="0" w:line="221" w:lineRule="auto"/>
        <w:rPr>
          <w:sz w:val="20"/>
          <w:szCs w:val="20"/>
          <w:color w:val="auto"/>
        </w:rPr>
      </w:pPr>
      <w:r>
        <w:rPr>
          <w:rFonts w:ascii="Times New Roman" w:cs="Times New Roman" w:eastAsia="Times New Roman" w:hAnsi="Times New Roman"/>
          <w:sz w:val="20"/>
          <w:szCs w:val="20"/>
          <w:color w:val="auto"/>
        </w:rPr>
        <w:t>applicable state laws on an effective registration statement at the time of exercise, Participant shall, if required by the Company, concurrently with such exercise, make such written representations as are deemed necessary or appropriate by the Company or its counsel.</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The holder of the Option shall not be, nor have any of the rights or privileges of, a stockholder of the</w:t>
      </w:r>
    </w:p>
    <w:p>
      <w:pPr>
        <w:spacing w:after="0" w:line="204" w:lineRule="auto"/>
        <w:rPr>
          <w:sz w:val="20"/>
          <w:szCs w:val="20"/>
          <w:color w:val="auto"/>
        </w:rPr>
      </w:pPr>
      <w:r>
        <w:rPr>
          <w:rFonts w:ascii="Times New Roman" w:cs="Times New Roman" w:eastAsia="Times New Roman" w:hAnsi="Times New Roman"/>
          <w:sz w:val="20"/>
          <w:szCs w:val="20"/>
          <w:color w:val="auto"/>
        </w:rPr>
        <w:t>Company, including, without limitation, voting rights and rights to dividends, in respect of any Shares purchasable upon the exercise of any part of the Option unless and until such Shares shall have been issued by the Company and held of record by such holder (as evidenced by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2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9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and this Agreement and to adopt such rules for the administration, interpretation and application of the Plan as are consistent therewith and to interpret, amend or revoke any such rules. All</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actions taken and all interpretations and determinations made by the Administrator in good faith shall be final and binding upon Participant, the Company and all other interested persons. No member of the Committee or the Board shall be personally liable for any 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determination or interpretation made in good faith with respect to the Plan, this Agreement or the Option.</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Option shall be subject to the restrictions on transferability set forth in Section 10.1 of the Plan.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Tax Consultation</w:t>
      </w:r>
      <w:r>
        <w:rPr>
          <w:rFonts w:ascii="Times New Roman" w:cs="Times New Roman" w:eastAsia="Times New Roman" w:hAnsi="Times New Roman"/>
          <w:sz w:val="20"/>
          <w:szCs w:val="20"/>
          <w:color w:val="auto"/>
        </w:rPr>
        <w:t>. Participant understands that Participant may suffer adverse tax consequences as a result of the grant,</w:t>
      </w:r>
    </w:p>
    <w:p>
      <w:pPr>
        <w:spacing w:after="0" w:line="204" w:lineRule="auto"/>
        <w:rPr>
          <w:sz w:val="20"/>
          <w:szCs w:val="20"/>
          <w:color w:val="auto"/>
        </w:rPr>
      </w:pPr>
      <w:r>
        <w:rPr>
          <w:rFonts w:ascii="Times New Roman" w:cs="Times New Roman" w:eastAsia="Times New Roman" w:hAnsi="Times New Roman"/>
          <w:sz w:val="20"/>
          <w:szCs w:val="20"/>
          <w:color w:val="auto"/>
        </w:rPr>
        <w:t>vesting or exercise of the Option, or with the purchase or disposition of the Shares subject to the Option. Participant represents that Participant has consulted with any tax consultants Participant deems advisable in connection with the purchase or disposition of such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that Participant is not relying on the Company for any tax advice.</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Adjustments Upon Specified Events</w:t>
      </w:r>
      <w:r>
        <w:rPr>
          <w:rFonts w:ascii="Times New Roman" w:cs="Times New Roman" w:eastAsia="Times New Roman" w:hAnsi="Times New Roman"/>
          <w:sz w:val="20"/>
          <w:szCs w:val="20"/>
          <w:color w:val="auto"/>
        </w:rPr>
        <w:t>. The Administrator may accelerate the vesting of the Option in such circumstances as it, in its sole discretion, may determine. Participant acknowledges that the Option is subject to adjustment, modification and termination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events as provided in this Agreement and Article IX of the Plan.</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w:t>
      </w:r>
    </w:p>
    <w:p>
      <w:pPr>
        <w:spacing w:after="0" w:line="212" w:lineRule="auto"/>
        <w:rPr>
          <w:sz w:val="20"/>
          <w:szCs w:val="20"/>
          <w:color w:val="auto"/>
        </w:rPr>
      </w:pPr>
      <w:r>
        <w:rPr>
          <w:rFonts w:ascii="Times New Roman" w:cs="Times New Roman" w:eastAsia="Times New Roman" w:hAnsi="Times New Roman"/>
          <w:sz w:val="20"/>
          <w:szCs w:val="20"/>
          <w:color w:val="auto"/>
        </w:rPr>
        <w:t>Participant at Participant’s last address reflected on the Company’s records. By a notice given pursuant to this Section 5.7, either party may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under this Section 5.7. Any notice shall be deemed duly given when sent via email or when sent by certified mail (return receipt requested)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color w:val="auto"/>
        </w:rPr>
        <w:t>deposited (with postage prepaid) in a post office or branch post office regularly maintained by the United States Postal Service (or similar non-U.S. entity).</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5.9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laws of the State of Nevada shall govern the interpretation, validity, administration, enforcement and performance of the terms of this Agreement regardless of the law that might be applied under principles of conflicts of laws. By entering into</w:t>
      </w:r>
    </w:p>
    <w:p>
      <w:pPr>
        <w:spacing w:after="0" w:line="211" w:lineRule="auto"/>
        <w:rPr>
          <w:sz w:val="20"/>
          <w:szCs w:val="20"/>
          <w:color w:val="auto"/>
        </w:rPr>
      </w:pPr>
      <w:r>
        <w:rPr>
          <w:rFonts w:ascii="Times New Roman" w:cs="Times New Roman" w:eastAsia="Times New Roman" w:hAnsi="Times New Roman"/>
          <w:sz w:val="20"/>
          <w:szCs w:val="20"/>
          <w:color w:val="auto"/>
        </w:rPr>
        <w:t>this Agreement, Participant irrevocably and unconditionally consents to submit to the exclusive jurisdiction of the courts of the State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Nevada and of the United States of America, in each case located in the State of Nevada, for any action arising out of or relating to this Agreement and the Plan (and agrees not to commence any litigation relating thereto except in such courts), and further agrees that service of</w:t>
      </w:r>
    </w:p>
    <w:p>
      <w:pPr>
        <w:spacing w:after="0" w:line="211" w:lineRule="auto"/>
        <w:rPr>
          <w:sz w:val="20"/>
          <w:szCs w:val="20"/>
          <w:color w:val="auto"/>
        </w:rPr>
      </w:pPr>
      <w:r>
        <w:rPr>
          <w:rFonts w:ascii="Times New Roman" w:cs="Times New Roman" w:eastAsia="Times New Roman" w:hAnsi="Times New Roman"/>
          <w:sz w:val="20"/>
          <w:szCs w:val="20"/>
          <w:color w:val="auto"/>
        </w:rPr>
        <w:t>any process, summons, notice or document by U.S. registered mail to the address contained in the records of the Company shall be effective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service of process for any litigation brought against it in any such court. By entering into this Agreement, Participant irrevocably and unconditionally waives any objection to the laying of venue of any litigation arising out of the Plan or this Agreement in the courts of the</w:t>
      </w:r>
    </w:p>
    <w:p>
      <w:pPr>
        <w:spacing w:after="0" w:line="211" w:lineRule="auto"/>
        <w:rPr>
          <w:sz w:val="20"/>
          <w:szCs w:val="20"/>
          <w:color w:val="auto"/>
        </w:rPr>
      </w:pPr>
      <w:r>
        <w:rPr>
          <w:rFonts w:ascii="Times New Roman" w:cs="Times New Roman" w:eastAsia="Times New Roman" w:hAnsi="Times New Roman"/>
          <w:sz w:val="20"/>
          <w:szCs w:val="20"/>
          <w:color w:val="auto"/>
        </w:rPr>
        <w:t>State of Nevada or the United States of America, in each case located in the State of Nevada, and further irrevocably and unconditionally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waives and agrees not to plead or claim in any such court that any such litigation brought in any such court has been brought in an inconvenient forum. By entering into this Agreement, Participant irrevocably and unconditionally waives, to the fullest extent permitted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law, any and all rights to trial by jury in connection with any litigation arising out of or relating to the Plan or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and this Agreement are intended to conform to the extent necessary with all provisions of the Securities Act and the Exchange Act and any other Applicable Law. Notwithstanding anything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herein to the contrary, the Plan shall be administered, and the Option is granted and may be exercised, only in such a manner as to conform to such Applicable Law. To the extent permitted by Applicable Law, the Plan and this Agreement shall be deemed amended to the extent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necessary to conform to such Applicable Law.</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20"/>
          <w:szCs w:val="20"/>
          <w:i w:val="1"/>
          <w:iCs w:val="1"/>
          <w:color w:val="auto"/>
        </w:rPr>
        <w:t>provided,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adversely affect the Option in any material way without the prior written consent of Participant.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and delegate any of its obligations under this Agreement to single or multiple assignees, and this Agreement shall inure to the benefit of the successors and assigns of the Company. Subject to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restrictions on transfer herein set forth in Section 5.3 hereof, this Agreement shall be binding upon Participant and his or her heirs, executors, administrators, successors and assigns.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w:t>
      </w:r>
    </w:p>
    <w:p>
      <w:pPr>
        <w:spacing w:after="0" w:line="204" w:lineRule="auto"/>
        <w:rPr>
          <w:sz w:val="20"/>
          <w:szCs w:val="20"/>
          <w:color w:val="auto"/>
        </w:rPr>
      </w:pPr>
      <w:r>
        <w:rPr>
          <w:rFonts w:ascii="Times New Roman" w:cs="Times New Roman" w:eastAsia="Times New Roman" w:hAnsi="Times New Roman"/>
          <w:sz w:val="20"/>
          <w:szCs w:val="20"/>
          <w:color w:val="auto"/>
        </w:rPr>
        <w:t>Participant is subject to Section 16 of the Exchange Act, then the Plan, the Option and this Agreement shall be subject to any additional limitations set forth in any applicable exemptive rule under Section 16 of the Exchange Act (including any amendment to Rule 16b-3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Exchange Act) that are requirements for the application of such exemptive rule. To the extent permitted by Applicable Law, this Agreement shall be deemed amended to the extent necessary to conform to such applicable exemptive rule.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Not a Contract of Service Relationship</w:t>
      </w:r>
      <w:r>
        <w:rPr>
          <w:rFonts w:ascii="Times New Roman" w:cs="Times New Roman" w:eastAsia="Times New Roman" w:hAnsi="Times New Roman"/>
          <w:sz w:val="20"/>
          <w:szCs w:val="20"/>
          <w:color w:val="auto"/>
        </w:rPr>
        <w:t>. Nothing in this Agreement or in the Plan shall confer upon Participant any right to commence or continue to serve as an Employee or other Service Provider or shall interfere with or restrict in any way the rights of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Company and its Subsidiaries, which rights are hereby expressly reserved, to discharge or terminate the services of Participant at any time for any reason whatsoever, with or without Cause, except to the extent expressly provided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9"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0"/>
          <w:szCs w:val="20"/>
          <w:color w:val="auto"/>
        </w:rPr>
        <w:t>by Applicable Law or in a written agreement between the Company or a Subsidiary (as applicable) and Participant.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5.15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Plan, the Grant Notice and this Agreement (including the Country Provisions) constitute the entire agreement of the parties and supersede in their entirety all prior undertakings and agreements of the Company and Participant with respect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subject matter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Option shall be subject to any accelerated vesting provisions in any written agreement between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Participant and the Company (or any Subsidiary who is the employer of Participant) or a Company plan pursuant to which Participant is eligible to participate, in each case, in accordance with the terms therein.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Option is not intended to constitute “nonqualified deferred compensation” within the meaning of Section</w:t>
      </w:r>
    </w:p>
    <w:p>
      <w:pPr>
        <w:spacing w:after="0" w:line="215" w:lineRule="auto"/>
        <w:rPr>
          <w:sz w:val="20"/>
          <w:szCs w:val="20"/>
          <w:color w:val="auto"/>
        </w:rPr>
      </w:pPr>
      <w:r>
        <w:rPr>
          <w:rFonts w:ascii="Times New Roman" w:cs="Times New Roman" w:eastAsia="Times New Roman" w:hAnsi="Times New Roman"/>
          <w:sz w:val="19"/>
          <w:szCs w:val="19"/>
          <w:color w:val="auto"/>
        </w:rPr>
        <w:t>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However, notwithstanding any</w:t>
      </w:r>
    </w:p>
    <w:p>
      <w:pPr>
        <w:spacing w:after="0" w:line="211" w:lineRule="auto"/>
        <w:rPr>
          <w:sz w:val="20"/>
          <w:szCs w:val="20"/>
          <w:color w:val="auto"/>
        </w:rPr>
      </w:pPr>
      <w:r>
        <w:rPr>
          <w:rFonts w:ascii="Times New Roman" w:cs="Times New Roman" w:eastAsia="Times New Roman" w:hAnsi="Times New Roman"/>
          <w:sz w:val="20"/>
          <w:szCs w:val="20"/>
          <w:color w:val="auto"/>
        </w:rPr>
        <w:t>other provision of the Plan, the Grant Notice or this Agreement, if at any time the Administrator determines that the Option (or any portion</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thereof) may be subject to Section 409A, the Administrator shall have the right in its sole discretion (without any obligation to do so or to indemnify Participant or any other person for failure to do so) to adopt such amendments to the Plan, the Grant Notice or this Agreement, or</w:t>
      </w:r>
    </w:p>
    <w:p>
      <w:pPr>
        <w:spacing w:after="0" w:line="222" w:lineRule="auto"/>
        <w:rPr>
          <w:sz w:val="20"/>
          <w:szCs w:val="20"/>
          <w:color w:val="auto"/>
        </w:rPr>
      </w:pPr>
      <w:r>
        <w:rPr>
          <w:rFonts w:ascii="Times New Roman" w:cs="Times New Roman" w:eastAsia="Times New Roman" w:hAnsi="Times New Roman"/>
          <w:sz w:val="19"/>
          <w:szCs w:val="19"/>
          <w:color w:val="auto"/>
        </w:rPr>
        <w:t>adopt other policies and procedures (including amendments, policies and procedures with retroactive effect), or take any other actions, as the</w:t>
      </w:r>
    </w:p>
    <w:p>
      <w:pPr>
        <w:spacing w:after="0" w:line="221" w:lineRule="auto"/>
        <w:rPr>
          <w:sz w:val="20"/>
          <w:szCs w:val="20"/>
          <w:color w:val="auto"/>
        </w:rPr>
      </w:pPr>
      <w:r>
        <w:rPr>
          <w:rFonts w:ascii="Times New Roman" w:cs="Times New Roman" w:eastAsia="Times New Roman" w:hAnsi="Times New Roman"/>
          <w:sz w:val="20"/>
          <w:szCs w:val="20"/>
          <w:color w:val="auto"/>
        </w:rPr>
        <w:t>Administrator determines are necessary or appropriate either for the Option to be exempt from the application of Section 409A or to comply with the requirements of Section 409A.</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04" w:lineRule="auto"/>
        <w:rPr>
          <w:sz w:val="20"/>
          <w:szCs w:val="20"/>
          <w:color w:val="auto"/>
        </w:rPr>
      </w:pPr>
      <w:r>
        <w:rPr>
          <w:rFonts w:ascii="Times New Roman" w:cs="Times New Roman" w:eastAsia="Times New Roman" w:hAnsi="Times New Roman"/>
          <w:sz w:val="20"/>
          <w:szCs w:val="20"/>
          <w:color w:val="auto"/>
        </w:rPr>
        <w:t>Agreement creates only a contractual obligation on the part of the Company as to amounts payable and shall not be construed as creating a trust. Neither the Plan nor any underlying program, in and of itself, has any assets. Participant shall have only the rights of a general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unsecured creditor of the Company and its Subsidiaries with respect to amounts credited and benefits payable, if any, with respect to the Option, and rights no greater than the right to receive the Shares as a general unsecured creditor with respect to the Option, as and when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exercised pursuant to the terms hereof.</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u w:val="single" w:color="auto"/>
          <w:color w:val="auto"/>
        </w:rPr>
        <w:t>Rules Particular To Specific Countries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left="180" w:firstLine="1286"/>
        <w:spacing w:after="0" w:line="223" w:lineRule="auto"/>
        <w:tabs>
          <w:tab w:leader="none" w:pos="195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Generally</w:t>
      </w:r>
      <w:r>
        <w:rPr>
          <w:rFonts w:ascii="Times New Roman" w:cs="Times New Roman" w:eastAsia="Times New Roman" w:hAnsi="Times New Roman"/>
          <w:sz w:val="20"/>
          <w:szCs w:val="20"/>
          <w:color w:val="auto"/>
        </w:rPr>
        <w:t>. Participant shall, if required by the Administrator, enter into an election with the Company 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(in a form approved by the Company) under which any liability to the Company’s (or a Subsidiary’s) Tax-Related Items, including, but not limited to, National Insurance Contributions (“</w:t>
      </w:r>
      <w:r>
        <w:rPr>
          <w:rFonts w:ascii="Times New Roman" w:cs="Times New Roman" w:eastAsia="Times New Roman" w:hAnsi="Times New Roman"/>
          <w:sz w:val="20"/>
          <w:szCs w:val="20"/>
          <w:b w:val="1"/>
          <w:bCs w:val="1"/>
          <w:i w:val="1"/>
          <w:iCs w:val="1"/>
          <w:color w:val="auto"/>
        </w:rPr>
        <w:t>NICs</w:t>
      </w:r>
      <w:r>
        <w:rPr>
          <w:rFonts w:ascii="Times New Roman" w:cs="Times New Roman" w:eastAsia="Times New Roman" w:hAnsi="Times New Roman"/>
          <w:sz w:val="20"/>
          <w:szCs w:val="20"/>
          <w:color w:val="auto"/>
        </w:rPr>
        <w:t>”) and the Fringe Benefit Tax, is transferred to and met by Participant.</w:t>
      </w:r>
    </w:p>
    <w:p>
      <w:pPr>
        <w:spacing w:after="0" w:line="157" w:lineRule="exact"/>
        <w:rPr>
          <w:rFonts w:ascii="Times New Roman" w:cs="Times New Roman" w:eastAsia="Times New Roman" w:hAnsi="Times New Roman"/>
          <w:sz w:val="20"/>
          <w:szCs w:val="20"/>
          <w:color w:val="auto"/>
        </w:rPr>
      </w:pPr>
    </w:p>
    <w:p>
      <w:pPr>
        <w:ind w:left="180" w:firstLine="1286"/>
        <w:spacing w:after="0" w:line="245" w:lineRule="auto"/>
        <w:tabs>
          <w:tab w:leader="none" w:pos="195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Participant shall indemnify and keep indemnified the Company and any of its subsidiaries from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against any Tax-Related Items.</w:t>
      </w:r>
    </w:p>
    <w:p>
      <w:pPr>
        <w:spacing w:after="0" w:line="1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u w:val="single" w:color="auto"/>
          <w:color w:val="auto"/>
        </w:rPr>
        <w:t>Special Country Provisions for Options Granted to Participants</w:t>
      </w:r>
      <w:r>
        <w:rPr>
          <w:rFonts w:ascii="Times New Roman" w:cs="Times New Roman" w:eastAsia="Times New Roman" w:hAnsi="Times New Roman"/>
          <w:sz w:val="20"/>
          <w:szCs w:val="20"/>
          <w:color w:val="auto"/>
        </w:rPr>
        <w:t>. This Option shall be subject to the Country Provisions, if</w:t>
      </w:r>
    </w:p>
    <w:p>
      <w:pPr>
        <w:ind w:left="180"/>
        <w:spacing w:after="0" w:line="222" w:lineRule="auto"/>
        <w:rPr>
          <w:sz w:val="20"/>
          <w:szCs w:val="20"/>
          <w:color w:val="auto"/>
        </w:rPr>
      </w:pPr>
      <w:r>
        <w:rPr>
          <w:rFonts w:ascii="Times New Roman" w:cs="Times New Roman" w:eastAsia="Times New Roman" w:hAnsi="Times New Roman"/>
          <w:sz w:val="19"/>
          <w:szCs w:val="19"/>
          <w:color w:val="auto"/>
        </w:rPr>
        <w:t>any, for Participant’s country of residence, as set forth in the Country Provisions. If Participant relocates to one of the countries included in</w:t>
      </w:r>
    </w:p>
    <w:p>
      <w:pPr>
        <w:ind w:left="180"/>
        <w:spacing w:after="0" w:line="204" w:lineRule="auto"/>
        <w:rPr>
          <w:sz w:val="20"/>
          <w:szCs w:val="20"/>
          <w:color w:val="auto"/>
        </w:rPr>
      </w:pPr>
      <w:r>
        <w:rPr>
          <w:rFonts w:ascii="Times New Roman" w:cs="Times New Roman" w:eastAsia="Times New Roman" w:hAnsi="Times New Roman"/>
          <w:sz w:val="20"/>
          <w:szCs w:val="20"/>
          <w:color w:val="auto"/>
        </w:rPr>
        <w:t>the Country Provisions during the life of this Option, the special provisions for such country shall apply to Participant, to the extent the Company determines that the application of such provisions is necessary or advisable in order to comply with local law or facilitate the</w:t>
      </w:r>
    </w:p>
    <w:p>
      <w:pPr>
        <w:ind w:left="180"/>
        <w:spacing w:after="0" w:line="211" w:lineRule="auto"/>
        <w:rPr>
          <w:sz w:val="20"/>
          <w:szCs w:val="20"/>
          <w:color w:val="auto"/>
        </w:rPr>
      </w:pPr>
      <w:r>
        <w:rPr>
          <w:rFonts w:ascii="Times New Roman" w:cs="Times New Roman" w:eastAsia="Times New Roman" w:hAnsi="Times New Roman"/>
          <w:sz w:val="20"/>
          <w:szCs w:val="20"/>
          <w:color w:val="auto"/>
        </w:rPr>
        <w:t>administration of the Plan. The Company reserves the right to impose other requirements on this Option and the Shares purchased upon</w:t>
      </w:r>
    </w:p>
    <w:p>
      <w:pPr>
        <w:spacing w:after="0" w:line="1" w:lineRule="exact"/>
        <w:rPr>
          <w:sz w:val="20"/>
          <w:szCs w:val="20"/>
          <w:color w:val="auto"/>
        </w:rPr>
      </w:pPr>
    </w:p>
    <w:p>
      <w:pPr>
        <w:ind w:left="180"/>
        <w:spacing w:after="0" w:line="204" w:lineRule="auto"/>
        <w:rPr>
          <w:sz w:val="20"/>
          <w:szCs w:val="20"/>
          <w:color w:val="auto"/>
        </w:rPr>
      </w:pPr>
      <w:r>
        <w:rPr>
          <w:rFonts w:ascii="Times New Roman" w:cs="Times New Roman" w:eastAsia="Times New Roman" w:hAnsi="Times New Roman"/>
          <w:sz w:val="20"/>
          <w:szCs w:val="20"/>
          <w:color w:val="auto"/>
        </w:rPr>
        <w:t>exercise of this Option, to the extent the Company determines it is necessary or advisable in order to comply with local laws or facilitate the administration of the Plan, and to require Participant to sign any additional agreements or undertakings that may be necessary to</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accomplish the foregoing.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9"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auto"/>
        </w:rPr>
        <w:t>APPENDIX</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364" w:lineRule="exact"/>
        <w:rPr>
          <w:sz w:val="20"/>
          <w:szCs w:val="20"/>
          <w:color w:val="auto"/>
        </w:rPr>
      </w:pPr>
    </w:p>
    <w:p>
      <w:pPr>
        <w:jc w:val="center"/>
        <w:ind w:right="-19"/>
        <w:spacing w:after="0"/>
        <w:tabs>
          <w:tab w:leader="none" w:pos="28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b w:val="1"/>
          <w:bCs w:val="1"/>
          <w:color w:val="auto"/>
        </w:rPr>
        <w:t>Special Country Provisions for Options for Participants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5.21 This Appendix includes special terms and conditions applicable to Participants in the countries below. These terms and conditions are in addition to those set forth in the Stock Option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5.22</w:t>
            </w:r>
          </w:p>
        </w:tc>
        <w:tc>
          <w:tcPr>
            <w:tcW w:w="10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 accepting the Option, Participant acknowledges, understands and agrees that:</w:t>
            </w:r>
          </w:p>
        </w:tc>
      </w:tr>
      <w:tr>
        <w:trPr>
          <w:trHeight w:val="444"/>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5.23</w:t>
            </w:r>
          </w:p>
        </w:tc>
        <w:tc>
          <w:tcPr>
            <w:tcW w:w="10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   the Plan is established voluntarily by the Company, it is discretionary in nature, and may be amended, suspended or</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terminated by the Company at any time, to the extent permitted by the Plan;</w:t>
            </w:r>
          </w:p>
        </w:tc>
      </w:tr>
      <w:tr>
        <w:trPr>
          <w:trHeight w:val="430"/>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5.24</w:t>
            </w:r>
          </w:p>
        </w:tc>
        <w:tc>
          <w:tcPr>
            <w:tcW w:w="10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   the grant of the Option is voluntary and occasional and does not create any contractual or other right to receive future</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grants of options, or benefits in lieu of options, even if options have been granted in the past;</w:t>
            </w:r>
          </w:p>
        </w:tc>
      </w:tr>
      <w:tr>
        <w:trPr>
          <w:trHeight w:val="445"/>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5.25</w:t>
            </w:r>
          </w:p>
        </w:tc>
        <w:tc>
          <w:tcPr>
            <w:tcW w:w="10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  all decisions with respect to future option or other grants, if any, will be at the sole discretion of the Company;</w:t>
            </w:r>
          </w:p>
        </w:tc>
      </w:tr>
      <w:tr>
        <w:trPr>
          <w:trHeight w:val="459"/>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5.26</w:t>
            </w:r>
          </w:p>
        </w:tc>
        <w:tc>
          <w:tcPr>
            <w:tcW w:w="10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   the Option grant and Participant’s participation in the Plan shall not create a right to employment or be interpreted as</w:t>
            </w:r>
          </w:p>
        </w:tc>
      </w:tr>
    </w:tbl>
    <w:p>
      <w:pPr>
        <w:jc w:val="both"/>
        <w:spacing w:after="0" w:line="253" w:lineRule="auto"/>
        <w:rPr>
          <w:sz w:val="20"/>
          <w:szCs w:val="20"/>
          <w:color w:val="auto"/>
        </w:rPr>
      </w:pPr>
      <w:r>
        <w:rPr>
          <w:rFonts w:ascii="Times New Roman" w:cs="Times New Roman" w:eastAsia="Times New Roman" w:hAnsi="Times New Roman"/>
          <w:sz w:val="20"/>
          <w:szCs w:val="20"/>
          <w:color w:val="auto"/>
        </w:rPr>
        <w:t>forming an employment or service contract with the Company, or, if different, Participant’s employer, or any Subsidiary or parent or affiliate of the Company, and shall not interfere with the ability of the Company, the employer or any Subsidiary or parent or affiliate of the Company, as applicable, to provide for a termination of Participant’s service;</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7"/>
              </w:rPr>
              <w:t>5.27</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  Participant is voluntarily participating in the Plan;</w:t>
            </w:r>
          </w:p>
        </w:tc>
      </w:tr>
      <w:tr>
        <w:trPr>
          <w:trHeight w:val="459"/>
        </w:trPr>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7"/>
              </w:rPr>
              <w:t>5.28</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  the Option and any Shares acquired under the Plan are not intended to replace any pension rights or compensation;</w:t>
            </w:r>
          </w:p>
        </w:tc>
      </w:tr>
      <w:tr>
        <w:trPr>
          <w:trHeight w:val="445"/>
        </w:trPr>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7"/>
              </w:rPr>
              <w:t>5.29</w:t>
            </w:r>
          </w:p>
        </w:tc>
        <w:tc>
          <w:tcPr>
            <w:tcW w:w="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w:t>
            </w:r>
          </w:p>
        </w:tc>
        <w:tc>
          <w:tcPr>
            <w:tcW w:w="9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Option and any Shares acquired under the Plan and the income and value of same, are not part of normal or</w:t>
            </w:r>
          </w:p>
        </w:tc>
      </w:tr>
    </w:tbl>
    <w:p>
      <w:pPr>
        <w:jc w:val="both"/>
        <w:spacing w:after="0" w:line="267" w:lineRule="auto"/>
        <w:rPr>
          <w:sz w:val="20"/>
          <w:szCs w:val="20"/>
          <w:color w:val="auto"/>
        </w:rPr>
      </w:pPr>
      <w:r>
        <w:rPr>
          <w:rFonts w:ascii="Times New Roman" w:cs="Times New Roman" w:eastAsia="Times New Roman" w:hAnsi="Times New Roman"/>
          <w:sz w:val="20"/>
          <w:szCs w:val="20"/>
          <w:color w:val="auto"/>
        </w:rPr>
        <w:t>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5.30</w:t>
            </w:r>
          </w:p>
        </w:tc>
        <w:tc>
          <w:tcPr>
            <w:tcW w:w="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w:t>
            </w:r>
          </w:p>
        </w:tc>
        <w:tc>
          <w:tcPr>
            <w:tcW w:w="9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future value of the Shares underlying the Option is unknown, indeterminable, and cannot be predicted with</w:t>
            </w:r>
          </w:p>
        </w:tc>
      </w:tr>
      <w:tr>
        <w:trPr>
          <w:trHeight w:val="258"/>
        </w:trPr>
        <w:tc>
          <w:tcPr>
            <w:tcW w:w="11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7"/>
              </w:rPr>
              <w:t>certainty;</w:t>
            </w:r>
          </w:p>
        </w:tc>
        <w:tc>
          <w:tcPr>
            <w:tcW w:w="560" w:type="dxa"/>
            <w:vAlign w:val="bottom"/>
          </w:tcPr>
          <w:p>
            <w:pPr>
              <w:spacing w:after="0"/>
              <w:rPr>
                <w:sz w:val="22"/>
                <w:szCs w:val="22"/>
                <w:color w:val="auto"/>
              </w:rPr>
            </w:pPr>
          </w:p>
        </w:tc>
        <w:tc>
          <w:tcPr>
            <w:tcW w:w="9540" w:type="dxa"/>
            <w:vAlign w:val="bottom"/>
          </w:tcPr>
          <w:p>
            <w:pPr>
              <w:spacing w:after="0"/>
              <w:rPr>
                <w:sz w:val="22"/>
                <w:szCs w:val="22"/>
                <w:color w:val="auto"/>
              </w:rPr>
            </w:pPr>
          </w:p>
        </w:tc>
      </w:tr>
      <w:tr>
        <w:trPr>
          <w:trHeight w:val="446"/>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  if the underlying Shares do not increase in value, the Option will have no value;</w:t>
            </w:r>
          </w:p>
        </w:tc>
      </w:tr>
      <w:tr>
        <w:trPr>
          <w:trHeight w:val="459"/>
        </w:trPr>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5.32</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(g)   if Participant exercises the Option and acquires Shares, the value of such Shares may increase or decrease in value,</w:t>
            </w:r>
          </w:p>
        </w:tc>
      </w:tr>
    </w:tbl>
    <w:p>
      <w:pPr>
        <w:spacing w:after="0"/>
        <w:rPr>
          <w:sz w:val="20"/>
          <w:szCs w:val="20"/>
          <w:color w:val="auto"/>
        </w:rPr>
      </w:pPr>
      <w:r>
        <w:rPr>
          <w:rFonts w:ascii="Times New Roman" w:cs="Times New Roman" w:eastAsia="Times New Roman" w:hAnsi="Times New Roman"/>
          <w:sz w:val="20"/>
          <w:szCs w:val="20"/>
          <w:color w:val="auto"/>
        </w:rPr>
        <w:t>even below the exercise price;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Appendix-1</w:t>
      </w:r>
    </w:p>
    <w:p>
      <w:pPr>
        <w:sectPr>
          <w:pgSz w:w="11900" w:h="16838" w:orient="portrait"/>
          <w:cols w:equalWidth="0" w:num="1">
            <w:col w:w="11240"/>
          </w:cols>
          <w:pgMar w:left="320" w:top="1409" w:right="339" w:bottom="1440" w:gutter="0" w:footer="0" w:header="0"/>
        </w:sectPr>
      </w:pPr>
    </w:p>
    <w:bookmarkStart w:id="185" w:name="page186"/>
    <w:bookmarkEnd w:id="185"/>
    <w:p>
      <w:pPr>
        <w:jc w:val="both"/>
        <w:ind w:firstLine="248"/>
        <w:spacing w:after="0" w:line="261" w:lineRule="auto"/>
        <w:tabs>
          <w:tab w:leader="none" w:pos="71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parent, Subsidiary or affiliate of the Company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noted, neither the Company nor the Shares are registered with any local stock exchange or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control of any local securities regulator 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5.33</w:t>
      </w:r>
    </w:p>
    <w:p>
      <w:pPr>
        <w:spacing w:after="0" w:line="19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5.34</w:t>
      </w:r>
      <w:r>
        <w:rPr>
          <w:sz w:val="20"/>
          <w:szCs w:val="20"/>
          <w:color w:val="auto"/>
        </w:rPr>
        <w:tab/>
      </w:r>
      <w:r>
        <w:rPr>
          <w:rFonts w:ascii="Times New Roman" w:cs="Times New Roman" w:eastAsia="Times New Roman" w:hAnsi="Times New Roman"/>
          <w:sz w:val="19"/>
          <w:szCs w:val="19"/>
          <w:b w:val="1"/>
          <w:bCs w:val="1"/>
          <w:u w:val="single" w:color="auto"/>
          <w:color w:val="auto"/>
        </w:rPr>
        <w:t>Data Privacy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b w:val="1"/>
          <w:bCs w:val="1"/>
          <w:color w:val="auto"/>
        </w:rPr>
        <w:t>Participant acknowledges and agrees to the data privacy provisions set forth in Section 11.8 of the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5.35 </w:t>
      </w:r>
      <w:r>
        <w:rPr>
          <w:rFonts w:ascii="Times New Roman" w:cs="Times New Roman" w:eastAsia="Times New Roman" w:hAnsi="Times New Roman"/>
          <w:sz w:val="19"/>
          <w:szCs w:val="19"/>
          <w:b w:val="1"/>
          <w:bCs w:val="1"/>
          <w:u w:val="single" w:color="auto"/>
          <w:color w:val="auto"/>
        </w:rPr>
        <w:t>Notifications</w:t>
      </w:r>
      <w:r>
        <w:rPr>
          <w:rFonts w:ascii="Times New Roman" w:cs="Times New Roman" w:eastAsia="Times New Roman" w:hAnsi="Times New Roman"/>
          <w:sz w:val="19"/>
          <w:szCs w:val="19"/>
          <w:color w:val="auto"/>
        </w:rPr>
        <w:t>: This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 [______], 2021. Such laws are often complex and change frequently. As a result, the Company strongly</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recommends that Participant not rely on the information herein as the only source of information relating to the consequences of participation in the Plan because the information may be out of date at the time the Option is exercised or Shares acquired under the Plan are sold. In addition, the information contained in this Appendix is general in nature and may not apply to Participant’s particular situation,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English Language</w:t>
      </w:r>
      <w:r>
        <w:rPr>
          <w:rFonts w:ascii="Times New Roman" w:cs="Times New Roman" w:eastAsia="Times New Roman" w:hAnsi="Times New Roman"/>
          <w:sz w:val="20"/>
          <w:szCs w:val="20"/>
          <w:color w:val="auto"/>
        </w:rPr>
        <w:t>: By participating in the Plan, Participant acknowledges that Participant is proficient in the English language, or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consulted with an advisor who is sufficiently 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Currency</w:t>
      </w:r>
      <w:r>
        <w:rPr>
          <w:rFonts w:ascii="Times New Roman" w:cs="Times New Roman" w:eastAsia="Times New Roman" w:hAnsi="Times New Roman"/>
          <w:sz w:val="20"/>
          <w:szCs w:val="20"/>
          <w:color w:val="auto"/>
        </w:rPr>
        <w:t>: Participant understands that, any amounts related to the Option will be denominated in U.S. dollars and will be converted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Option, or of any amounts due to Participant or as a result of the subsequent sale of any Shares acquired under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Appendix-2</w:t>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Exchange Controls</w:t>
      </w:r>
      <w:r>
        <w:rPr>
          <w:rFonts w:ascii="Times New Roman" w:cs="Times New Roman" w:eastAsia="Times New Roman" w:hAnsi="Times New Roman"/>
          <w:sz w:val="20"/>
          <w:szCs w:val="20"/>
          <w:color w:val="auto"/>
        </w:rPr>
        <w:t>: Participant’s country of residence may have certain foreign asset and/or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reporting or exchange control requirements which may affect his or her ability to acquire or hold Shares under the Agreement or cash received (including proceeds arising from the sale of Shares) in a brokerage or bank account outside Participant’s country. Participant may be required to report such accounts, assets or transactions to the tax or other authorities in his or her country. Participant may also be required to repatriate sale proceeds or other funds received as a result of his/her participation in the Plan to his or her country through a designated broker or bank and/or within a certain time after receipt. Participant is responsible for ensuring compliance with such regulations and should consult with his or her personal legal advisor for any details.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recommendations regarding Participant’s participation in the Plan or the Agreement or any receipt of the Option or sale of Shares acquired upon exercise of the Option. Participant should consult his or her own personal tax, legal and financial advisors regarding his or her participation in the Plan and the Agreement before taking any action related to the Option or the Shares.</w:t>
      </w:r>
    </w:p>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Participant, on the Option and/or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issuable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any individual country provisions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Appendix-3</w:t>
      </w:r>
    </w:p>
    <w:p>
      <w:pPr>
        <w:sectPr>
          <w:pgSz w:w="11900" w:h="16838" w:orient="portrait"/>
          <w:cols w:equalWidth="0" w:num="1">
            <w:col w:w="11240"/>
          </w:cols>
          <w:pgMar w:left="320" w:top="1409"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GRANT NOTICE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Brilliant Earth Group, Inc., a Nevada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2021 Incentive Award Plan, as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 award of restricted stock units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Each vested Restricted Stock Unit represents the right to receive, in accordance with the Restricted Stock Unit Award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including any special provisions for Participant’s country of residence, if any, set forth in the Appendix for Participant’s Country (the “</w:t>
      </w:r>
      <w:r>
        <w:rPr>
          <w:rFonts w:ascii="Times New Roman" w:cs="Times New Roman" w:eastAsia="Times New Roman" w:hAnsi="Times New Roman"/>
          <w:sz w:val="20"/>
          <w:szCs w:val="20"/>
          <w:b w:val="1"/>
          <w:bCs w:val="1"/>
          <w:i w:val="1"/>
          <w:iCs w:val="1"/>
          <w:color w:val="auto"/>
        </w:rPr>
        <w:t>Country Provisions</w:t>
      </w:r>
      <w:r>
        <w:rPr>
          <w:rFonts w:ascii="Times New Roman" w:cs="Times New Roman" w:eastAsia="Times New Roman" w:hAnsi="Times New Roman"/>
          <w:sz w:val="20"/>
          <w:szCs w:val="20"/>
          <w:color w:val="auto"/>
        </w:rPr>
        <w:t>”), one share of Common Stock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This award of Restricted Stock Units is subject to all of the terms and conditions set forth herein and in the Agreement, the Country Provisions (if applicable) and the Plan, each of which are incorporated herein by reference. Unless otherwise defined herein, the terms defined in the Plan shall have the same defined meanings in this Restricted Stock Unit Award Grant Notice, the Country Provisions and the Agreement.</w:t>
      </w:r>
    </w:p>
    <w:p>
      <w:pPr>
        <w:sectPr>
          <w:pgSz w:w="11900" w:h="16838" w:orient="portrait"/>
          <w:cols w:equalWidth="0" w:num="1">
            <w:col w:w="11240"/>
          </w:cols>
          <w:pgMar w:left="320" w:top="896" w:right="339" w:bottom="1440" w:gutter="0" w:footer="0" w:header="0"/>
        </w:sect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Total Number of RSUs: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Vesting Commencement 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award shall vest as to 25% of the RSUs initially subject to the</w:t>
      </w:r>
    </w:p>
    <w:p>
      <w:pPr>
        <w:spacing w:after="0" w:line="28" w:lineRule="exact"/>
        <w:rPr>
          <w:sz w:val="20"/>
          <w:szCs w:val="20"/>
          <w:color w:val="auto"/>
        </w:rPr>
      </w:pPr>
    </w:p>
    <w:p>
      <w:pPr>
        <w:jc w:val="both"/>
        <w:ind w:left="20" w:right="220"/>
        <w:spacing w:after="0" w:line="253" w:lineRule="auto"/>
        <w:rPr>
          <w:sz w:val="20"/>
          <w:szCs w:val="20"/>
          <w:color w:val="auto"/>
        </w:rPr>
      </w:pPr>
      <w:r>
        <w:rPr>
          <w:rFonts w:ascii="Times New Roman" w:cs="Times New Roman" w:eastAsia="Times New Roman" w:hAnsi="Times New Roman"/>
          <w:sz w:val="20"/>
          <w:szCs w:val="20"/>
          <w:color w:val="auto"/>
        </w:rPr>
        <w:t>award on the first anniversary of the Vesting Commencement Date and as to 1/16th of the RSUs initially subject to the award on each quarterly anniversary thereafter until the award is fully vested, subject to the eligible participant continuing to provide services to the Company or a Company subsidiary through the applicable vesting date.</w:t>
      </w:r>
    </w:p>
    <w:p>
      <w:pPr>
        <w:spacing w:after="0" w:line="338" w:lineRule="exact"/>
        <w:rPr>
          <w:sz w:val="20"/>
          <w:szCs w:val="20"/>
          <w:color w:val="auto"/>
        </w:rPr>
      </w:pPr>
    </w:p>
    <w:p>
      <w:pPr>
        <w:jc w:val="both"/>
        <w:ind w:right="60" w:hanging="3"/>
        <w:spacing w:after="0" w:line="261" w:lineRule="auto"/>
        <w:rPr>
          <w:sz w:val="20"/>
          <w:szCs w:val="20"/>
          <w:color w:val="auto"/>
        </w:rPr>
      </w:pPr>
      <w:r>
        <w:rPr>
          <w:rFonts w:ascii="Times New Roman" w:cs="Times New Roman" w:eastAsia="Times New Roman" w:hAnsi="Times New Roman"/>
          <w:sz w:val="20"/>
          <w:szCs w:val="20"/>
          <w:color w:val="auto"/>
        </w:rPr>
        <w:t>If Participant experiences a Termination of Service, all RSUs that have not become vested on or prior to the date of such Termination of Service will thereupon be automatically forfeited by Participant without payment of any consideration therefor.</w:t>
      </w:r>
    </w:p>
    <w:p>
      <w:pPr>
        <w:spacing w:after="0" w:line="200" w:lineRule="exact"/>
        <w:rPr>
          <w:sz w:val="20"/>
          <w:szCs w:val="20"/>
          <w:color w:val="auto"/>
        </w:rPr>
      </w:pPr>
    </w:p>
    <w:p>
      <w:pPr>
        <w:sectPr>
          <w:pgSz w:w="11900" w:h="16838" w:orient="portrait"/>
          <w:cols w:equalWidth="0" w:num="2">
            <w:col w:w="3080" w:space="720"/>
            <w:col w:w="7440"/>
          </w:cols>
          <w:pgMar w:left="320" w:top="896" w:right="339" w:bottom="1440" w:gutter="0" w:footer="0" w:header="0"/>
          <w:type w:val="continuous"/>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Participant understands that the terms of this award of RSUs explicitly include the following (a “</w:t>
      </w:r>
      <w:r>
        <w:rPr>
          <w:rFonts w:ascii="Times New Roman" w:cs="Times New Roman" w:eastAsia="Times New Roman" w:hAnsi="Times New Roman"/>
          <w:sz w:val="20"/>
          <w:szCs w:val="20"/>
          <w:b w:val="1"/>
          <w:bCs w:val="1"/>
          <w:i w:val="1"/>
          <w:iCs w:val="1"/>
          <w:color w:val="auto"/>
        </w:rPr>
        <w:t>Sell to Cover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Upon vesting of the RSUs and issuance of the resulting Shares, the Company, on Participant’s behalf, will instruct the Company’s transfer agent (together with any other party the Company determines necessary to execute the Sell to Cover, the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to sell that number of Shares determined in accordance with Section 2.6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w:t>
      </w:r>
    </w:p>
    <w:p>
      <w:pPr>
        <w:sectPr>
          <w:pgSz w:w="11900" w:h="16838" w:orient="portrait"/>
          <w:cols w:equalWidth="0" w:num="1">
            <w:col w:w="11240"/>
          </w:cols>
          <w:pgMar w:left="320" w:top="896" w:right="339" w:bottom="1440" w:gutter="0" w:footer="0" w:header="0"/>
          <w:type w:val="continuous"/>
        </w:sectPr>
      </w:pPr>
    </w:p>
    <w:bookmarkStart w:id="188" w:name="page189"/>
    <w:bookmarkEnd w:id="188"/>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BRILLIANT EARTH GROUP, INC</w:t>
            </w:r>
            <w:r>
              <w:rPr>
                <w:rFonts w:ascii="Times New Roman" w:cs="Times New Roman" w:eastAsia="Times New Roman" w:hAnsi="Times New Roman"/>
                <w:sz w:val="20"/>
                <w:szCs w:val="20"/>
                <w:b w:val="1"/>
                <w:bCs w:val="1"/>
                <w:color w:val="auto"/>
              </w:rPr>
              <w:t>.:  Participant:</w:t>
            </w:r>
          </w:p>
        </w:tc>
        <w:tc>
          <w:tcPr>
            <w:tcW w:w="2700" w:type="dxa"/>
            <w:vAlign w:val="bottom"/>
          </w:tcPr>
          <w:p>
            <w:pPr>
              <w:ind w:left="1300"/>
              <w:spacing w:after="0"/>
              <w:rPr>
                <w:sz w:val="20"/>
                <w:szCs w:val="20"/>
                <w:color w:val="auto"/>
              </w:rPr>
            </w:pPr>
            <w:r>
              <w:rPr>
                <w:rFonts w:ascii="Times New Roman" w:cs="Times New Roman" w:eastAsia="Times New Roman" w:hAnsi="Times New Roman"/>
                <w:sz w:val="20"/>
                <w:szCs w:val="20"/>
                <w:b w:val="1"/>
                <w:bCs w:val="1"/>
                <w:color w:val="auto"/>
                <w:w w:val="94"/>
              </w:rPr>
              <w:t>PARTICIPANT:</w:t>
            </w:r>
          </w:p>
        </w:tc>
      </w:tr>
      <w:tr>
        <w:trPr>
          <w:trHeight w:val="459"/>
        </w:trPr>
        <w:tc>
          <w:tcPr>
            <w:tcW w:w="49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By:</w:t>
            </w:r>
          </w:p>
        </w:tc>
        <w:tc>
          <w:tcPr>
            <w:tcW w:w="27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r>
      <w:tr>
        <w:trPr>
          <w:trHeight w:val="413"/>
        </w:trPr>
        <w:tc>
          <w:tcPr>
            <w:tcW w:w="49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Print</w:t>
            </w:r>
          </w:p>
        </w:tc>
        <w:tc>
          <w:tcPr>
            <w:tcW w:w="27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Print</w:t>
            </w:r>
          </w:p>
        </w:tc>
      </w:tr>
      <w:tr>
        <w:trPr>
          <w:trHeight w:val="258"/>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7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Name:</w:t>
            </w:r>
          </w:p>
        </w:tc>
      </w:tr>
      <w:tr>
        <w:trPr>
          <w:trHeight w:val="463"/>
        </w:trPr>
        <w:tc>
          <w:tcPr>
            <w:tcW w:w="49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Title:</w:t>
            </w:r>
          </w:p>
        </w:tc>
        <w:tc>
          <w:tcPr>
            <w:tcW w:w="2700" w:type="dxa"/>
            <w:vAlign w:val="bottom"/>
          </w:tcPr>
          <w:p>
            <w:pPr>
              <w:spacing w:after="0"/>
              <w:rPr>
                <w:sz w:val="24"/>
                <w:szCs w:val="24"/>
                <w:color w:val="auto"/>
              </w:rPr>
            </w:pPr>
          </w:p>
        </w:tc>
      </w:tr>
      <w:tr>
        <w:trPr>
          <w:trHeight w:val="473"/>
        </w:trPr>
        <w:tc>
          <w:tcPr>
            <w:tcW w:w="49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Address:</w:t>
            </w:r>
          </w:p>
        </w:tc>
        <w:tc>
          <w:tcPr>
            <w:tcW w:w="27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Address:</w:t>
            </w:r>
          </w:p>
        </w:tc>
      </w:tr>
    </w:tbl>
    <w:p>
      <w:pPr>
        <w:sectPr>
          <w:pgSz w:w="11900" w:h="16838" w:orient="portrait"/>
          <w:cols w:equalWidth="0" w:num="1">
            <w:col w:w="11240"/>
          </w:cols>
          <w:pgMar w:left="320" w:top="1008"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RESTRICTED STOCK UNIT AWARD GRANT NOTICE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Pursuant to the Restricted Stock Unit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to which this Restricted Stock Unit Award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attached, Brilliant Earth Group, Inc., a Nevada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Participant the number of restricted stock units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set forth in the Grant Notice under the Company’s 2021 Incentive Award Plan, as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Each Restricted Stock Unit represents the right to receive one share of Common Stock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upon vesting.</w:t>
      </w:r>
    </w:p>
    <w:p>
      <w:pPr>
        <w:spacing w:after="0" w:line="3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4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not specifically defined herein shall have the meanings specified in the Plan and the Grant</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are subject to the terms and conditions of the Plan, which are incorporated herein by reference. In the event of any inconsistency between the Plan and this Agreement, the terms of the Plan shall control. If the Country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Provisions apply to Participant, in the event of a conflict between the terms of this Agreement, the Grant Notice or the Plan and the Country Provisions, the terms of the Country Provisions shall control.</w:t>
      </w:r>
    </w:p>
    <w:p>
      <w:pPr>
        <w:spacing w:after="0" w:line="2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GRANT OF RESTRICTED STOCK UNITS</w:t>
      </w:r>
    </w:p>
    <w:p>
      <w:pPr>
        <w:spacing w:after="0" w:line="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Grant of RSUs</w:t>
      </w:r>
      <w:r>
        <w:rPr>
          <w:rFonts w:ascii="Times New Roman" w:cs="Times New Roman" w:eastAsia="Times New Roman" w:hAnsi="Times New Roman"/>
          <w:sz w:val="19"/>
          <w:szCs w:val="19"/>
          <w:color w:val="auto"/>
        </w:rPr>
        <w:t>. Pursuant to the Grant Notice and upon the terms and conditions set forth in the Plan, this Agreement and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Country Provisions (if applicable), effective as of the Grant Date set forth in the Grant Notice, the Company hereby grants to Participant an award of RSUs under the Plan in consideration of Participant’s past and/or continued employment with or service to the Company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and for other good and valuable consideration, subject to adjustments as provided in Article IX of the Plan.</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Unsecured Obligation to RSUs</w:t>
      </w:r>
      <w:r>
        <w:rPr>
          <w:rFonts w:ascii="Times New Roman" w:cs="Times New Roman" w:eastAsia="Times New Roman" w:hAnsi="Times New Roman"/>
          <w:sz w:val="20"/>
          <w:szCs w:val="20"/>
          <w:color w:val="auto"/>
        </w:rPr>
        <w:t>. Unless and until the RSUs have vested in the manner set forth in Article II hereof, Participant will have no right to receive Common Stock under any such RSUs. Prior to actual payment of any vested RSUs, such RSUs will represent an unsecured obligation of the Company, payable (if at all) only from the general assets of the Company.</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Subject to Section 2.5 hereof, the RSUs shall vest and become nonforfeitable with respect to the applicable portion thereof according to the vesting schedule set forth in the Grant Notice (rounding down to the nearest whole Share).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Notwithstanding the foregoing and the Grant Notice, but subject to Section 2.5 hereof, in the event of a Change in Control, the RSUs shall be treated pursuant to Section 9.2 and 9.3 of the Plan.</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Consideration to the Company</w:t>
      </w:r>
      <w:r>
        <w:rPr>
          <w:rFonts w:ascii="Times New Roman" w:cs="Times New Roman" w:eastAsia="Times New Roman" w:hAnsi="Times New Roman"/>
          <w:sz w:val="20"/>
          <w:szCs w:val="20"/>
          <w:color w:val="auto"/>
        </w:rPr>
        <w:t>. In consideration of the grant of the award of RSUs pursuant hereto, Participant agrees to render faithful and efficient services to the Company and its Subsidiaries, as applicable.</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Forfeiture, Termination and Cancellation upon Termination of Service</w:t>
      </w:r>
      <w:r>
        <w:rPr>
          <w:rFonts w:ascii="Times New Roman" w:cs="Times New Roman" w:eastAsia="Times New Roman" w:hAnsi="Times New Roman"/>
          <w:sz w:val="20"/>
          <w:szCs w:val="20"/>
          <w:color w:val="auto"/>
        </w:rPr>
        <w:t>. Notwithstanding any contrary provision of this Agreement or the Plan, upon Participant’s Termination of Service for any or no reason, all Restricted Stock Units which have not vested prior to or in connection with such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0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Termination of Service shall thereupon automatically be forfeited, terminated and cancelled as of the applicable termination date without</w:t>
      </w:r>
    </w:p>
    <w:p>
      <w:pPr>
        <w:spacing w:after="0" w:line="204" w:lineRule="auto"/>
        <w:rPr>
          <w:sz w:val="20"/>
          <w:szCs w:val="20"/>
          <w:color w:val="auto"/>
        </w:rPr>
      </w:pPr>
      <w:r>
        <w:rPr>
          <w:rFonts w:ascii="Times New Roman" w:cs="Times New Roman" w:eastAsia="Times New Roman" w:hAnsi="Times New Roman"/>
          <w:sz w:val="20"/>
          <w:szCs w:val="20"/>
          <w:color w:val="auto"/>
        </w:rPr>
        <w:t>payment of any consideration by the Company, and Participant, or Participant’s beneficiary or personal representative, as the case may be, shall have no further rights hereunder. No portion of the RSUs which has not become vested as of the date on which Participant incurs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Termination of Service shall thereafter become vested, except as may otherwise be provided by the Administrator or as set forth in a written agreement between the Company (or any Subsidiary that is the employer of Participant) and Participant.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Issuance of Common Stock upon Vesting</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Participant (or any transferee permitted under Section 3.2 hereof) a number of Shares equal to the number of RSUs subject to this Award that vest on the applicable vesting date. Notwithstanding the foregoing, in the event Shares cannot be issued pursuant to Section 10.7 of the Plan, the Shares shall be issued pursuant to the preceding sentence as soon as administratively practicable after the Administrator determines that Shares can again be issued in accordance with such Section.</w:t>
      </w:r>
    </w:p>
    <w:p>
      <w:pPr>
        <w:spacing w:after="0" w:line="164" w:lineRule="exact"/>
        <w:rPr>
          <w:rFonts w:ascii="Times New Roman" w:cs="Times New Roman" w:eastAsia="Times New Roman" w:hAnsi="Times New Roman"/>
          <w:sz w:val="20"/>
          <w:szCs w:val="20"/>
          <w:color w:val="auto"/>
        </w:rPr>
      </w:pPr>
    </w:p>
    <w:p>
      <w:pPr>
        <w:jc w:val="both"/>
        <w:ind w:left="180" w:firstLine="1286"/>
        <w:spacing w:after="0" w:line="213" w:lineRule="auto"/>
        <w:tabs>
          <w:tab w:leader="none" w:pos="195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set forth in Section 10.5 of the Plan, the Company shall have the authority and the right to deduct or withhold, or to require Participant to remit to the Company, an amount sufficient to satisfy all applicable Tax-Related Items required by law to be withheld with respect to any taxable event arising in connection with the Restricted Stock Units. Such Tax-Related Items shall be satisfied by using a Sell to Cover pursuant to the Grant Notice.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Restricted Stock Units or the issuance of Shares. By accepting this award of RSUs, Participant has agreed to a Sell to Cover to satisfy any Tax-Related Items calculated at up to the maximum statutory tax rate, as determined by the Company, and Participant hereby acknowledges and agrees:</w:t>
      </w:r>
    </w:p>
    <w:p>
      <w:pPr>
        <w:spacing w:after="0" w:line="147" w:lineRule="exact"/>
        <w:rPr>
          <w:rFonts w:ascii="Times New Roman" w:cs="Times New Roman" w:eastAsia="Times New Roman" w:hAnsi="Times New Roman"/>
          <w:sz w:val="20"/>
          <w:szCs w:val="20"/>
          <w:color w:val="auto"/>
        </w:rPr>
      </w:pPr>
    </w:p>
    <w:p>
      <w:pPr>
        <w:jc w:val="both"/>
        <w:ind w:firstLine="1952"/>
        <w:spacing w:after="0" w:line="215" w:lineRule="auto"/>
        <w:tabs>
          <w:tab w:leader="none" w:pos="2590"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appoints the Agent as Participant’s agent and authorizes the Agent to (1) sell on the open market at the then prevailing market price(s), on Participant’s behalf, as soon as practicable on or after the date the Shares are issued upon vesting of the Restricted Stock Units, that number (rounded up to the next whole number) of the Shares so issued necessary to generate proceeds to cover (x) any Tax-Related Items incurred with respect to such vesting or issuance based on up to the maximum statutory tax rates, as determined by the Company, and (y) all applicable fees and commissions due to, or required to be collected by, the Agent with respect thereto and (2) in the Company’s discretion, apply any remaining funds to Participant’s federal tax withholding or remit such remaining funds to Participant.</w:t>
      </w:r>
    </w:p>
    <w:p>
      <w:pPr>
        <w:spacing w:after="0" w:line="164" w:lineRule="exact"/>
        <w:rPr>
          <w:rFonts w:ascii="Times New Roman" w:cs="Times New Roman" w:eastAsia="Times New Roman" w:hAnsi="Times New Roman"/>
          <w:sz w:val="20"/>
          <w:szCs w:val="20"/>
          <w:color w:val="auto"/>
        </w:rPr>
      </w:pPr>
    </w:p>
    <w:p>
      <w:pPr>
        <w:ind w:firstLine="1952"/>
        <w:spacing w:after="0"/>
        <w:tabs>
          <w:tab w:leader="none" w:pos="2651"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authorizes the Company and the Agent to cooperate and communicate with one another to determine the number of Shares that must be sold pursuant to subsection (i) above.</w:t>
      </w:r>
    </w:p>
    <w:p>
      <w:pPr>
        <w:spacing w:after="0" w:line="147" w:lineRule="exact"/>
        <w:rPr>
          <w:rFonts w:ascii="Times New Roman" w:cs="Times New Roman" w:eastAsia="Times New Roman" w:hAnsi="Times New Roman"/>
          <w:sz w:val="20"/>
          <w:szCs w:val="20"/>
          <w:color w:val="auto"/>
        </w:rPr>
      </w:pPr>
    </w:p>
    <w:p>
      <w:pPr>
        <w:jc w:val="both"/>
        <w:ind w:firstLine="1952"/>
        <w:spacing w:after="0" w:line="230" w:lineRule="auto"/>
        <w:tabs>
          <w:tab w:leader="none" w:pos="2592" w:val="left"/>
        </w:tabs>
        <w:numPr>
          <w:ilvl w:val="2"/>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Shares as provided in subsection (i) above due to (1) a legal or contractual restriction applicable to the Participant or the Agent, (2) a market disruption or (3) rules governing order execution priority on the national exchange where the Shares may be traded. In the event of the Agent’s inability to sell Shares, Participant will continue to be responsible for the timely payment to the Company and/or its affiliates of all Tax-Related Items that are required by applicable laws and regulations to be withheld.</w:t>
      </w:r>
    </w:p>
    <w:p>
      <w:pPr>
        <w:spacing w:after="0" w:line="147" w:lineRule="exact"/>
        <w:rPr>
          <w:rFonts w:ascii="Times New Roman" w:cs="Times New Roman" w:eastAsia="Times New Roman" w:hAnsi="Times New Roman"/>
          <w:sz w:val="19"/>
          <w:szCs w:val="19"/>
          <w:color w:val="auto"/>
        </w:rPr>
      </w:pPr>
    </w:p>
    <w:p>
      <w:pPr>
        <w:ind w:firstLine="1952"/>
        <w:spacing w:after="0"/>
        <w:tabs>
          <w:tab w:leader="none" w:pos="2581"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regardless of any other term or condition of this Section 2.6(b), the Agent will not be liable to Participant for (1) special, indirect, punitive,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4" w:right="339" w:bottom="1440" w:gutter="0" w:footer="0" w:header="0"/>
        </w:sectPr>
      </w:pPr>
    </w:p>
    <w:bookmarkStart w:id="191" w:name="page192"/>
    <w:bookmarkEnd w:id="191"/>
    <w:p>
      <w:pPr>
        <w:ind w:right="20"/>
        <w:spacing w:after="0"/>
        <w:rPr>
          <w:sz w:val="20"/>
          <w:szCs w:val="20"/>
          <w:color w:val="auto"/>
        </w:rPr>
      </w:pPr>
      <w:r>
        <w:rPr>
          <w:rFonts w:ascii="Times New Roman" w:cs="Times New Roman" w:eastAsia="Times New Roman" w:hAnsi="Times New Roman"/>
          <w:sz w:val="20"/>
          <w:szCs w:val="20"/>
          <w:color w:val="auto"/>
        </w:rPr>
        <w:t>exemplary or consequential damages, or incidental losses or damages of any kind or (2) any failure to perform or for any delay in performance that results from a cause or circumstance that is beyond its reasonable control.</w:t>
      </w:r>
    </w:p>
    <w:p>
      <w:pPr>
        <w:spacing w:after="0" w:line="148" w:lineRule="exact"/>
        <w:rPr>
          <w:sz w:val="20"/>
          <w:szCs w:val="20"/>
          <w:color w:val="auto"/>
        </w:rPr>
      </w:pPr>
    </w:p>
    <w:p>
      <w:pPr>
        <w:jc w:val="both"/>
        <w:ind w:firstLine="1952"/>
        <w:spacing w:after="0" w:line="230" w:lineRule="auto"/>
        <w:tabs>
          <w:tab w:leader="none" w:pos="2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agrees to execute and deliver to the Agent any other agreements or documents as the Agent reasonably deems necessary or appropriate to carry out the purposes and intent of this Section 2.6(b). The Agent is a third-party beneficiary of this Section 2.6(b).</w:t>
      </w:r>
    </w:p>
    <w:p>
      <w:pPr>
        <w:spacing w:after="0" w:line="16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This Section 2.6(b) shall terminate not later than the date on which all tax withholding and obligations arising in connection with the vesting and issuance of the RSUs have been satisfied.</w:t>
      </w:r>
    </w:p>
    <w:p>
      <w:pPr>
        <w:spacing w:after="0" w:line="13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Conditions to Delivery of Shares</w:t>
      </w:r>
      <w:r>
        <w:rPr>
          <w:rFonts w:ascii="Times New Roman" w:cs="Times New Roman" w:eastAsia="Times New Roman" w:hAnsi="Times New Roman"/>
          <w:sz w:val="20"/>
          <w:szCs w:val="20"/>
          <w:color w:val="auto"/>
        </w:rPr>
        <w:t>. The Shares deliverable hereunder may be either previously authorized but unissued Shares, treasury Shares or issued Shares which have then been reacquired by the Company. Such Shares shall be fully paid and nonassessable.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Company shall not be required to issue Shares deliverable hereunder prior to fulfillment of the conditions set forth in Section 10.7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The holder of the RSUs shall not be, nor have any of the rights or privileges of, a stockholder of the</w:t>
      </w:r>
    </w:p>
    <w:p>
      <w:pPr>
        <w:spacing w:after="0" w:line="204" w:lineRule="auto"/>
        <w:rPr>
          <w:sz w:val="20"/>
          <w:szCs w:val="20"/>
          <w:color w:val="auto"/>
        </w:rPr>
      </w:pPr>
      <w:r>
        <w:rPr>
          <w:rFonts w:ascii="Times New Roman" w:cs="Times New Roman" w:eastAsia="Times New Roman" w:hAnsi="Times New Roman"/>
          <w:sz w:val="20"/>
          <w:szCs w:val="20"/>
          <w:color w:val="auto"/>
        </w:rPr>
        <w:t>Company, including, without limitation, voting rights and rights to dividends, in respect of the RSUs and any Shares underlying the RSUs and deliverable hereunder unless and until such Shares shall have been issued by the Company and held of record by such holder (as</w:t>
      </w:r>
    </w:p>
    <w:p>
      <w:pPr>
        <w:spacing w:after="0" w:line="223" w:lineRule="auto"/>
        <w:rPr>
          <w:sz w:val="20"/>
          <w:szCs w:val="20"/>
          <w:color w:val="auto"/>
        </w:rPr>
      </w:pPr>
      <w:r>
        <w:rPr>
          <w:rFonts w:ascii="Times New Roman" w:cs="Times New Roman" w:eastAsia="Times New Roman" w:hAnsi="Times New Roman"/>
          <w:sz w:val="19"/>
          <w:szCs w:val="19"/>
          <w:color w:val="auto"/>
        </w:rPr>
        <w:t>evidenced by the appropriate entry on the books of the Company or of a duly authorized transfer agent of the Company). No adjustment shall</w:t>
      </w:r>
    </w:p>
    <w:p>
      <w:pPr>
        <w:ind w:right="20"/>
        <w:spacing w:after="0" w:line="221" w:lineRule="auto"/>
        <w:rPr>
          <w:sz w:val="20"/>
          <w:szCs w:val="20"/>
          <w:color w:val="auto"/>
        </w:rPr>
      </w:pPr>
      <w:r>
        <w:rPr>
          <w:rFonts w:ascii="Times New Roman" w:cs="Times New Roman" w:eastAsia="Times New Roman" w:hAnsi="Times New Roman"/>
          <w:sz w:val="20"/>
          <w:szCs w:val="20"/>
          <w:color w:val="auto"/>
        </w:rPr>
        <w:t>be made for a dividend or other right for which the record date is prior to the date the Shares are issued, except as provided in Article IX of the Plan.</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Administrator shall have the power to interpret the Plan and this Agreement and to adopt such rules for</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w:t>
      </w:r>
    </w:p>
    <w:p>
      <w:pPr>
        <w:ind w:right="20"/>
        <w:spacing w:after="0" w:line="228" w:lineRule="auto"/>
        <w:rPr>
          <w:sz w:val="20"/>
          <w:szCs w:val="20"/>
          <w:color w:val="auto"/>
        </w:rPr>
      </w:pPr>
      <w:r>
        <w:rPr>
          <w:rFonts w:ascii="Times New Roman" w:cs="Times New Roman" w:eastAsia="Times New Roman" w:hAnsi="Times New Roman"/>
          <w:sz w:val="20"/>
          <w:szCs w:val="20"/>
          <w:color w:val="auto"/>
        </w:rPr>
        <w:t>the Company and all other interested persons. No member of the Committee or the Board shall be personally liable for any action, determination or interpretation made in good faith with respect to the Plan, this Agreement or the RSUs.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shall be subject to the restrictions on transferability set forth in Section 10.1 of the Plan.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Tax Consultation</w:t>
      </w:r>
      <w:r>
        <w:rPr>
          <w:rFonts w:ascii="Times New Roman" w:cs="Times New Roman" w:eastAsia="Times New Roman" w:hAnsi="Times New Roman"/>
          <w:sz w:val="19"/>
          <w:szCs w:val="19"/>
          <w:color w:val="auto"/>
        </w:rPr>
        <w:t>. Participant understands that Participant may suffer adverse tax consequences in connection with the RSUs</w:t>
      </w:r>
    </w:p>
    <w:p>
      <w:pPr>
        <w:spacing w:after="0" w:line="204" w:lineRule="auto"/>
        <w:rPr>
          <w:sz w:val="20"/>
          <w:szCs w:val="20"/>
          <w:color w:val="auto"/>
        </w:rPr>
      </w:pPr>
      <w:r>
        <w:rPr>
          <w:rFonts w:ascii="Times New Roman" w:cs="Times New Roman" w:eastAsia="Times New Roman" w:hAnsi="Times New Roman"/>
          <w:sz w:val="20"/>
          <w:szCs w:val="20"/>
          <w:color w:val="auto"/>
        </w:rPr>
        <w:t>granted pursuant to this Agreement (and the Shares issuable with respect thereto). Participant represents that Participant has consulted with any tax consultants Participant deems advisable in connection with the RSUs and the issuance of Shares with respect thereto and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is not relying on the Company for any tax advice.</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u w:val="single" w:color="auto"/>
          <w:color w:val="auto"/>
        </w:rPr>
        <w:t>Adjustments Upon Specified Events</w:t>
      </w:r>
      <w:r>
        <w:rPr>
          <w:rFonts w:ascii="Times New Roman" w:cs="Times New Roman" w:eastAsia="Times New Roman" w:hAnsi="Times New Roman"/>
          <w:sz w:val="20"/>
          <w:szCs w:val="20"/>
          <w:color w:val="auto"/>
        </w:rPr>
        <w:t>. The Administrator may accelerate the vesting of the RSUs in such circumstances as it,</w:t>
      </w:r>
    </w:p>
    <w:p>
      <w:pPr>
        <w:ind w:right="20"/>
        <w:spacing w:after="0" w:line="221" w:lineRule="auto"/>
        <w:rPr>
          <w:sz w:val="20"/>
          <w:szCs w:val="20"/>
          <w:color w:val="auto"/>
        </w:rPr>
      </w:pPr>
      <w:r>
        <w:rPr>
          <w:rFonts w:ascii="Times New Roman" w:cs="Times New Roman" w:eastAsia="Times New Roman" w:hAnsi="Times New Roman"/>
          <w:sz w:val="20"/>
          <w:szCs w:val="20"/>
          <w:color w:val="auto"/>
        </w:rPr>
        <w:t>in its sole discretion, may determine. Participant acknowledges that the RSUs are subject to adjustment, modification and termination in certain events as provided in this Agreement and Article IX of the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9" w:right="339" w:bottom="1440" w:gutter="0" w:footer="0" w:header="0"/>
        </w:sectPr>
      </w:pPr>
    </w:p>
    <w:bookmarkStart w:id="192" w:name="page193"/>
    <w:bookmarkEnd w:id="19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w:t>
      </w:r>
    </w:p>
    <w:p>
      <w:pPr>
        <w:spacing w:after="0" w:line="204" w:lineRule="auto"/>
        <w:rPr>
          <w:sz w:val="20"/>
          <w:szCs w:val="20"/>
          <w:color w:val="auto"/>
        </w:rPr>
      </w:pPr>
      <w:r>
        <w:rPr>
          <w:rFonts w:ascii="Times New Roman" w:cs="Times New Roman" w:eastAsia="Times New Roman" w:hAnsi="Times New Roman"/>
          <w:sz w:val="20"/>
          <w:szCs w:val="20"/>
          <w:color w:val="auto"/>
        </w:rPr>
        <w:t>care of the Secretary of the Company at the Company’s principal office, and any notice to be given to Participant shall be addressed to Participant at Participant’s last address reflected on the Company’s records. By a notice given pursuant to this Section 3.6, either party may</w:t>
      </w:r>
    </w:p>
    <w:p>
      <w:pPr>
        <w:spacing w:after="0" w:line="211" w:lineRule="auto"/>
        <w:rPr>
          <w:sz w:val="20"/>
          <w:szCs w:val="20"/>
          <w:color w:val="auto"/>
        </w:rPr>
      </w:pPr>
      <w:r>
        <w:rPr>
          <w:rFonts w:ascii="Times New Roman" w:cs="Times New Roman" w:eastAsia="Times New Roman" w:hAnsi="Times New Roman"/>
          <w:sz w:val="20"/>
          <w:szCs w:val="20"/>
          <w:color w:val="auto"/>
        </w:rPr>
        <w:t>hereafter designate a different address for notices to be given to that party. Any notice shall be deemed duly given when sent via email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when sent by certified mail (return receipt requested) and deposited (with postage prepaid) in a post office or branch post office regularly maintained by the United States Postal Service (or similar non-U.S. entity).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u w:val="single" w:color="auto"/>
          <w:color w:val="auto"/>
        </w:rPr>
        <w:t>Participant’s Representations</w:t>
      </w:r>
      <w:r>
        <w:rPr>
          <w:rFonts w:ascii="Times New Roman" w:cs="Times New Roman" w:eastAsia="Times New Roman" w:hAnsi="Times New Roman"/>
          <w:sz w:val="20"/>
          <w:szCs w:val="20"/>
          <w:color w:val="auto"/>
        </w:rPr>
        <w:t>. If the Shares issuable hereunder have not been registered under the Securities Act or any</w:t>
      </w:r>
    </w:p>
    <w:p>
      <w:pPr>
        <w:spacing w:after="0" w:line="221" w:lineRule="auto"/>
        <w:rPr>
          <w:sz w:val="20"/>
          <w:szCs w:val="20"/>
          <w:color w:val="auto"/>
        </w:rPr>
      </w:pPr>
      <w:r>
        <w:rPr>
          <w:rFonts w:ascii="Times New Roman" w:cs="Times New Roman" w:eastAsia="Times New Roman" w:hAnsi="Times New Roman"/>
          <w:sz w:val="20"/>
          <w:szCs w:val="20"/>
          <w:color w:val="auto"/>
        </w:rPr>
        <w:t>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laws of the State of Nevada shall govern the interpretation, validity, administration, enforcement and performance of the terms of this Agreement regardless of the law that might be applied under principles of conflicts of laws. By entering into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this Agreement, Participant irrevocably and unconditionally consents to submit to the exclusive jurisdiction of the courts of the State of Nevada and of the United States of America, in each case located in the State of Nevada, for any action arising out of or relating to this</w:t>
      </w:r>
    </w:p>
    <w:p>
      <w:pPr>
        <w:spacing w:after="0" w:line="211" w:lineRule="auto"/>
        <w:rPr>
          <w:sz w:val="20"/>
          <w:szCs w:val="20"/>
          <w:color w:val="auto"/>
        </w:rPr>
      </w:pPr>
      <w:r>
        <w:rPr>
          <w:rFonts w:ascii="Times New Roman" w:cs="Times New Roman" w:eastAsia="Times New Roman" w:hAnsi="Times New Roman"/>
          <w:sz w:val="20"/>
          <w:szCs w:val="20"/>
          <w:color w:val="auto"/>
        </w:rPr>
        <w:t>Agreement and the Plan (and agrees not to commence any litigation relating thereto except in such courts), and further agrees that service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process, summons, notice or document by U.S. registered mail to the address contained in the records of the Company shall be effective service of process for any litigation brought against it in any such court. By entering into this Agreement, Participant irrevocably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unconditionally waives any objection to the laying of venue of any litigation arising out of the Plan or this Agreement in the courts of the State of Nevada or the United States of America, in each case located in the State of Nevada, and further irrevocably and unconditionally</w:t>
      </w:r>
    </w:p>
    <w:p>
      <w:pPr>
        <w:spacing w:after="0" w:line="211" w:lineRule="auto"/>
        <w:rPr>
          <w:sz w:val="20"/>
          <w:szCs w:val="20"/>
          <w:color w:val="auto"/>
        </w:rPr>
      </w:pPr>
      <w:r>
        <w:rPr>
          <w:rFonts w:ascii="Times New Roman" w:cs="Times New Roman" w:eastAsia="Times New Roman" w:hAnsi="Times New Roman"/>
          <w:sz w:val="20"/>
          <w:szCs w:val="20"/>
          <w:color w:val="auto"/>
        </w:rPr>
        <w:t>waives and agrees not to plead or claim in any such court that any such litigation brought in any such court has been brought in 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and this Agreement are intended to conform to the</w:t>
      </w:r>
    </w:p>
    <w:p>
      <w:pPr>
        <w:spacing w:after="0" w:line="204" w:lineRule="auto"/>
        <w:rPr>
          <w:sz w:val="20"/>
          <w:szCs w:val="20"/>
          <w:color w:val="auto"/>
        </w:rPr>
      </w:pPr>
      <w:r>
        <w:rPr>
          <w:rFonts w:ascii="Times New Roman" w:cs="Times New Roman" w:eastAsia="Times New Roman" w:hAnsi="Times New Roman"/>
          <w:sz w:val="20"/>
          <w:szCs w:val="20"/>
          <w:color w:val="auto"/>
        </w:rPr>
        <w:t>extent necessary with all provisions of the Securities Act and the Exchange Act and any other Applicable Law. Notwithstanding anything herein to the contrary, the Plan shall be administered, and the RSUs are granted, only in such a manner as to conform to Applicable Law.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extent permitted by Applicable Law, the Plan and this Agreement shall be deemed amended to the extent necessary to conform to such Applicable Law.</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20"/>
          <w:szCs w:val="20"/>
          <w:i w:val="1"/>
          <w:iCs w:val="1"/>
          <w:color w:val="auto"/>
        </w:rPr>
        <w:t>provided,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adversely affect the RSUs in any material way without the prior written consent of Participant.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and delegate any of its obligations under this Agreement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to single or multiple assignees, and this Agreement shall inure to the benefit of the successors and assigns of the Company. Subject to the restrictions on transfer herein set forth in Section 3.2 hereof, this Agreement shall be binding upon Participant and his or her heirs, executors,</w:t>
      </w:r>
    </w:p>
    <w:p>
      <w:pPr>
        <w:spacing w:after="0"/>
        <w:rPr>
          <w:sz w:val="20"/>
          <w:szCs w:val="20"/>
          <w:color w:val="auto"/>
        </w:rPr>
      </w:pPr>
      <w:r>
        <w:rPr>
          <w:rFonts w:ascii="Times New Roman" w:cs="Times New Roman" w:eastAsia="Times New Roman" w:hAnsi="Times New Roman"/>
          <w:sz w:val="20"/>
          <w:szCs w:val="20"/>
          <w:color w:val="auto"/>
        </w:rPr>
        <w:t>administrators, successors and assigns.</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then the Plan,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color w:val="auto"/>
        </w:rPr>
        <w:t>RSUs and this Agreement shall be subject to any additional limitations set forth in any applicable exemptive rule under Section 16 of the</w:t>
      </w:r>
    </w:p>
    <w:p>
      <w:pPr>
        <w:spacing w:after="0" w:line="204" w:lineRule="auto"/>
        <w:rPr>
          <w:sz w:val="20"/>
          <w:szCs w:val="20"/>
          <w:color w:val="auto"/>
        </w:rPr>
      </w:pPr>
      <w:r>
        <w:rPr>
          <w:rFonts w:ascii="Times New Roman" w:cs="Times New Roman" w:eastAsia="Times New Roman" w:hAnsi="Times New Roman"/>
          <w:sz w:val="20"/>
          <w:szCs w:val="20"/>
          <w:color w:val="auto"/>
        </w:rPr>
        <w:t>Exchange Act (including any amendment to Rule 16b-3 of the Exchange Act) that are requirements for the application of such exemptive rule. To the extent permitted by Applicable Law, this Agreement shall be deemed amended to the extent necessary to conform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exemptive rule.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Not a Contract of Service Relationship</w:t>
      </w:r>
      <w:r>
        <w:rPr>
          <w:rFonts w:ascii="Times New Roman" w:cs="Times New Roman" w:eastAsia="Times New Roman" w:hAnsi="Times New Roman"/>
          <w:sz w:val="20"/>
          <w:szCs w:val="20"/>
          <w:color w:val="auto"/>
        </w:rPr>
        <w:t>. Nothing in this Agreement or in the Plan shall confer upon Participant any right to commence or continue to serve as an Employee or other Service Provider or shall interfere with or restrict in any way the rights of the</w:t>
      </w:r>
    </w:p>
    <w:p>
      <w:pPr>
        <w:spacing w:after="0" w:line="224" w:lineRule="auto"/>
        <w:rPr>
          <w:sz w:val="20"/>
          <w:szCs w:val="20"/>
          <w:color w:val="auto"/>
        </w:rPr>
      </w:pPr>
      <w:r>
        <w:rPr>
          <w:rFonts w:ascii="Times New Roman" w:cs="Times New Roman" w:eastAsia="Times New Roman" w:hAnsi="Times New Roman"/>
          <w:sz w:val="19"/>
          <w:szCs w:val="19"/>
          <w:color w:val="auto"/>
        </w:rPr>
        <w:t>Company and its Subsidiaries, which rights are hereby expressly reserved, to discharge or terminate the services of Participant at any time for</w:t>
      </w:r>
    </w:p>
    <w:p>
      <w:pPr>
        <w:spacing w:after="0" w:line="221" w:lineRule="auto"/>
        <w:rPr>
          <w:sz w:val="20"/>
          <w:szCs w:val="20"/>
          <w:color w:val="auto"/>
        </w:rPr>
      </w:pPr>
      <w:r>
        <w:rPr>
          <w:rFonts w:ascii="Times New Roman" w:cs="Times New Roman" w:eastAsia="Times New Roman" w:hAnsi="Times New Roman"/>
          <w:sz w:val="20"/>
          <w:szCs w:val="20"/>
          <w:color w:val="auto"/>
        </w:rPr>
        <w:t>any reason whatsoever, with or without Cause, except to the extent expressly provided otherwise by Applicable Law or in a written agreement between the Company or a Subsidiary (as applicable) and Participant.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the Country Provisions) constitute the entire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 of the parties and supersede in their entirety all prior undertakings and agreements of the Company and Participant with respect to the subject matter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RSUs shall be subject to any accelerated vesting provisions in any written agreement between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Participant and the Company (or any Subsidiary who is the employer of Participant) or a Company plan pursuant to which Participant is eligible to participate, in each case, in accordance with the terms therein.</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Award is not intended to constitute “nonqualified deferred compensation” within the meaning of Section</w:t>
      </w:r>
    </w:p>
    <w:p>
      <w:pPr>
        <w:spacing w:after="0" w:line="222" w:lineRule="auto"/>
        <w:rPr>
          <w:sz w:val="20"/>
          <w:szCs w:val="20"/>
          <w:color w:val="auto"/>
        </w:rPr>
      </w:pPr>
      <w:r>
        <w:rPr>
          <w:rFonts w:ascii="Times New Roman" w:cs="Times New Roman" w:eastAsia="Times New Roman" w:hAnsi="Times New Roman"/>
          <w:sz w:val="19"/>
          <w:szCs w:val="19"/>
          <w:color w:val="auto"/>
        </w:rPr>
        <w:t>409A of the Code (together with any Department of Treasury regulations and other interpretive guidance issued thereunder, including without</w:t>
      </w:r>
    </w:p>
    <w:p>
      <w:pPr>
        <w:spacing w:after="0" w:line="204" w:lineRule="auto"/>
        <w:rPr>
          <w:sz w:val="20"/>
          <w:szCs w:val="20"/>
          <w:color w:val="auto"/>
        </w:rPr>
      </w:pPr>
      <w:r>
        <w:rPr>
          <w:rFonts w:ascii="Times New Roman" w:cs="Times New Roman" w:eastAsia="Times New Roman" w:hAnsi="Times New Roman"/>
          <w:sz w:val="20"/>
          <w:szCs w:val="20"/>
          <w:color w:val="auto"/>
        </w:rPr>
        <w:t>limitation any such regulations or other guidance that may be issued after the date hereof,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thereof) may be subject to Section 409A, the Administrator shall have the right in its sole discretion (without any obligation to do so or to indemnify Participant or any other person for failure to do so) to adopt such amendments to the Plan, the Grant Notice or this Agreement, or</w:t>
      </w:r>
    </w:p>
    <w:p>
      <w:pPr>
        <w:spacing w:after="0" w:line="222" w:lineRule="auto"/>
        <w:rPr>
          <w:sz w:val="20"/>
          <w:szCs w:val="20"/>
          <w:color w:val="auto"/>
        </w:rPr>
      </w:pPr>
      <w:r>
        <w:rPr>
          <w:rFonts w:ascii="Times New Roman" w:cs="Times New Roman" w:eastAsia="Times New Roman" w:hAnsi="Times New Roman"/>
          <w:sz w:val="19"/>
          <w:szCs w:val="19"/>
          <w:color w:val="auto"/>
        </w:rPr>
        <w:t>adopt other policies and procedures (including amendments, policies and procedures with retroactive effect), or take any other actions, as the</w:t>
      </w:r>
    </w:p>
    <w:p>
      <w:pPr>
        <w:spacing w:after="0" w:line="221" w:lineRule="auto"/>
        <w:rPr>
          <w:sz w:val="20"/>
          <w:szCs w:val="20"/>
          <w:color w:val="auto"/>
        </w:rPr>
      </w:pPr>
      <w:r>
        <w:rPr>
          <w:rFonts w:ascii="Times New Roman" w:cs="Times New Roman" w:eastAsia="Times New Roman" w:hAnsi="Times New Roman"/>
          <w:sz w:val="20"/>
          <w:szCs w:val="20"/>
          <w:color w:val="auto"/>
        </w:rPr>
        <w:t>Administrator determines are necessary or appropriate for this Award either to be exempt from the application of Section 409A or to comply with the requirements of Section 409A.</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04" w:lineRule="auto"/>
        <w:rPr>
          <w:sz w:val="20"/>
          <w:szCs w:val="20"/>
          <w:color w:val="auto"/>
        </w:rPr>
      </w:pPr>
      <w:r>
        <w:rPr>
          <w:rFonts w:ascii="Times New Roman" w:cs="Times New Roman" w:eastAsia="Times New Roman" w:hAnsi="Times New Roman"/>
          <w:sz w:val="20"/>
          <w:szCs w:val="20"/>
          <w:color w:val="auto"/>
        </w:rPr>
        <w:t>Agreement creates only a contractual obligation on the part of the Company as to amounts payable and shall not be construed as creating a trust. Neither the Plan nor any underlying program, in and of itself, has any assets. Participant shall have only the rights of a general</w:t>
      </w:r>
    </w:p>
    <w:p>
      <w:pPr>
        <w:spacing w:after="0" w:line="211" w:lineRule="auto"/>
        <w:rPr>
          <w:sz w:val="20"/>
          <w:szCs w:val="20"/>
          <w:color w:val="auto"/>
        </w:rPr>
      </w:pPr>
      <w:r>
        <w:rPr>
          <w:rFonts w:ascii="Times New Roman" w:cs="Times New Roman" w:eastAsia="Times New Roman" w:hAnsi="Times New Roman"/>
          <w:sz w:val="20"/>
          <w:szCs w:val="20"/>
          <w:color w:val="auto"/>
        </w:rPr>
        <w:t>unsecured creditor of the Company and its Subsidiaries with respect to amounts credited and benefits payable, if any, with respect to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RSUs, and rights no greater than the right to receive the Shares as a general unsecured creditor with respect to RSUs, as and when payable hereunder.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u w:val="single" w:color="auto"/>
          <w:color w:val="auto"/>
        </w:rPr>
        <w:t>Rules Particular To Specific Countries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1304"/>
        <w:spacing w:after="0" w:line="239" w:lineRule="auto"/>
        <w:tabs>
          <w:tab w:leader="none" w:pos="193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Generally</w:t>
      </w:r>
      <w:r>
        <w:rPr>
          <w:rFonts w:ascii="Times New Roman" w:cs="Times New Roman" w:eastAsia="Times New Roman" w:hAnsi="Times New Roman"/>
          <w:sz w:val="19"/>
          <w:szCs w:val="19"/>
          <w:color w:val="auto"/>
        </w:rPr>
        <w:t>. Participant shall, if required by the Administrator, enter into an election with the Company or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(in a form approved by the Company) under which any liability to the Company’s (or a Subsidiary’s) Tax-Related Items, including, but not limited to, National Insurance Contributions (“</w:t>
      </w:r>
      <w:r>
        <w:rPr>
          <w:rFonts w:ascii="Times New Roman" w:cs="Times New Roman" w:eastAsia="Times New Roman" w:hAnsi="Times New Roman"/>
          <w:sz w:val="19"/>
          <w:szCs w:val="19"/>
          <w:b w:val="1"/>
          <w:bCs w:val="1"/>
          <w:i w:val="1"/>
          <w:iCs w:val="1"/>
          <w:color w:val="auto"/>
        </w:rPr>
        <w:t>NICs</w:t>
      </w:r>
      <w:r>
        <w:rPr>
          <w:rFonts w:ascii="Times New Roman" w:cs="Times New Roman" w:eastAsia="Times New Roman" w:hAnsi="Times New Roman"/>
          <w:sz w:val="19"/>
          <w:szCs w:val="19"/>
          <w:color w:val="auto"/>
        </w:rPr>
        <w:t>”) and the Fringe Benefit Tax, is transferred to and met by Participant.</w:t>
      </w:r>
    </w:p>
    <w:p>
      <w:pPr>
        <w:spacing w:after="0" w:line="157" w:lineRule="exact"/>
        <w:rPr>
          <w:rFonts w:ascii="Times New Roman" w:cs="Times New Roman" w:eastAsia="Times New Roman" w:hAnsi="Times New Roman"/>
          <w:sz w:val="19"/>
          <w:szCs w:val="19"/>
          <w:color w:val="auto"/>
        </w:rPr>
      </w:pPr>
    </w:p>
    <w:p>
      <w:pPr>
        <w:ind w:firstLine="1304"/>
        <w:spacing w:after="0" w:line="235"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Participant shall indemnify and keep indemnified the Company and any of its subsidiaries from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against any Tax-Related Items.</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Special Country Provisions for RSUs Granted to Participants</w:t>
      </w:r>
      <w:r>
        <w:rPr>
          <w:rFonts w:ascii="Times New Roman" w:cs="Times New Roman" w:eastAsia="Times New Roman" w:hAnsi="Times New Roman"/>
          <w:sz w:val="20"/>
          <w:szCs w:val="20"/>
          <w:color w:val="auto"/>
        </w:rPr>
        <w:t>. The RSUs shall be subject to the Country Provisions, if any,</w:t>
      </w:r>
    </w:p>
    <w:p>
      <w:pPr>
        <w:spacing w:after="0" w:line="221" w:lineRule="auto"/>
        <w:rPr>
          <w:sz w:val="20"/>
          <w:szCs w:val="20"/>
          <w:color w:val="auto"/>
        </w:rPr>
      </w:pPr>
      <w:r>
        <w:rPr>
          <w:rFonts w:ascii="Times New Roman" w:cs="Times New Roman" w:eastAsia="Times New Roman" w:hAnsi="Times New Roman"/>
          <w:sz w:val="20"/>
          <w:szCs w:val="20"/>
          <w:color w:val="auto"/>
        </w:rPr>
        <w:t>for Participant’s country of residence, as set forth in the Country Provisions. If Participant relocates to one of the countries included in the Country Provisions during the life of the RSUs, the special provisions for such country shall apply to Participant, to the extent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4"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color w:val="auto"/>
        </w:rPr>
        <w:t>Company determines that the application of such provisions is necessary or advisable in order to comply with local law or facilitate the</w:t>
      </w:r>
    </w:p>
    <w:p>
      <w:pPr>
        <w:spacing w:after="0" w:line="204" w:lineRule="auto"/>
        <w:rPr>
          <w:sz w:val="20"/>
          <w:szCs w:val="20"/>
          <w:color w:val="auto"/>
        </w:rPr>
      </w:pPr>
      <w:r>
        <w:rPr>
          <w:rFonts w:ascii="Times New Roman" w:cs="Times New Roman" w:eastAsia="Times New Roman" w:hAnsi="Times New Roman"/>
          <w:sz w:val="20"/>
          <w:szCs w:val="20"/>
          <w:color w:val="auto"/>
        </w:rPr>
        <w:t>administration of the Plan. The Company reserves the right to impose other requirements on the RSUs and the Shares issuable upon settlement of the RSUs, to the extent the Company determines it is necessary or advisable in order to comply with local laws or facilitate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administration of the Plan, and to require Participant to sign any additional agreements or undertakings that may be necessary to accomplish the foregoing.</w:t>
      </w:r>
    </w:p>
    <w:p>
      <w:pPr>
        <w:spacing w:after="0" w:line="171"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4" w:right="339" w:bottom="1440" w:gutter="0" w:footer="0" w:header="0"/>
        </w:sectPr>
      </w:pPr>
    </w:p>
    <w:bookmarkStart w:id="195" w:name="page196"/>
    <w:bookmarkEnd w:id="195"/>
    <w:p>
      <w:pPr>
        <w:ind w:left="5120"/>
        <w:spacing w:after="0"/>
        <w:rPr>
          <w:sz w:val="20"/>
          <w:szCs w:val="20"/>
          <w:color w:val="auto"/>
        </w:rPr>
      </w:pPr>
      <w:r>
        <w:rPr>
          <w:rFonts w:ascii="Times New Roman" w:cs="Times New Roman" w:eastAsia="Times New Roman" w:hAnsi="Times New Roman"/>
          <w:sz w:val="20"/>
          <w:szCs w:val="20"/>
          <w:b w:val="1"/>
          <w:bCs w:val="1"/>
          <w:color w:val="auto"/>
        </w:rPr>
        <w:t>APPENDIX</w:t>
      </w:r>
    </w:p>
    <w:p>
      <w:pPr>
        <w:spacing w:after="0" w:line="6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338" w:lineRule="exact"/>
        <w:rPr>
          <w:sz w:val="20"/>
          <w:szCs w:val="20"/>
          <w:color w:val="auto"/>
        </w:rPr>
      </w:pPr>
    </w:p>
    <w:p>
      <w:pPr>
        <w:jc w:val="center"/>
        <w:ind w:right="-19"/>
        <w:spacing w:after="0"/>
        <w:tabs>
          <w:tab w:leader="none" w:pos="2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b w:val="1"/>
          <w:bCs w:val="1"/>
          <w:color w:val="auto"/>
        </w:rPr>
        <w:t>Special Country Provisions for RSUs for Participants</w:t>
      </w:r>
    </w:p>
    <w:p>
      <w:pPr>
        <w:spacing w:after="0" w:line="220"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20"/>
          <w:szCs w:val="20"/>
          <w:color w:val="auto"/>
        </w:rPr>
        <w:t>This Appendix includes special terms and conditions applicable to Participants in the countries below. These terms and conditions are in addition to those set forth in the Restricted Stock Unit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accepting the RSUs, Participant acknowledges, understands and agrees that:</w:t>
      </w:r>
    </w:p>
    <w:p>
      <w:pPr>
        <w:spacing w:after="0" w:line="256" w:lineRule="exact"/>
        <w:rPr>
          <w:sz w:val="20"/>
          <w:szCs w:val="20"/>
          <w:color w:val="auto"/>
        </w:rPr>
      </w:pPr>
    </w:p>
    <w:p>
      <w:pPr>
        <w:ind w:left="660" w:hanging="328"/>
        <w:spacing w:after="0" w:line="283"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amended, suspended or terminated by the Company at any time, to the extent permitted by the Plan;</w:t>
      </w:r>
    </w:p>
    <w:p>
      <w:pPr>
        <w:spacing w:after="0" w:line="173"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restricted stock units or other grants, if any, will be at the sole discretion of the Company;</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5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labor law purposes, the RSUs and the Common Stock subject to the RSUs are an extraordinary item that does not constitute wages of any kind for services of any kind rendered to the Company or to Participant’s service entity, and the award of the RSUs is outside the scope of Participant’s service contract, if any;</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labor law purposes, the RSUs and the Common Stock subject to the RSUs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any Subsidiary, Participant’s employer, its parent, or any affiliate of the Company;</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Common Stock subject to the RSUs are not intended to replace any pension rights or compensation;</w:t>
      </w:r>
    </w:p>
    <w:p>
      <w:pPr>
        <w:spacing w:after="0" w:line="256" w:lineRule="exact"/>
        <w:rPr>
          <w:rFonts w:ascii="Times New Roman" w:cs="Times New Roman" w:eastAsia="Times New Roman" w:hAnsi="Times New Roman"/>
          <w:sz w:val="20"/>
          <w:szCs w:val="20"/>
          <w:color w:val="auto"/>
        </w:rPr>
      </w:pPr>
    </w:p>
    <w:p>
      <w:pPr>
        <w:jc w:val="both"/>
        <w:ind w:left="660" w:right="20" w:hanging="328"/>
        <w:spacing w:after="0" w:line="261"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RSUs nor any provision of this Agreement, the Plan or the policies adopted pursuant to the Plan confer upon Participant any right with respect to service or continuation of current service and shall not be interpreted to form a service contract or relationship with the Company or any subsidiary or affiliate;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Appendix-1</w:t>
      </w:r>
    </w:p>
    <w:p>
      <w:pPr>
        <w:sectPr>
          <w:pgSz w:w="11900" w:h="16838" w:orient="portrait"/>
          <w:cols w:equalWidth="0" w:num="1">
            <w:col w:w="11240"/>
          </w:cols>
          <w:pgMar w:left="320" w:top="1409" w:right="339" w:bottom="1440" w:gutter="0" w:footer="0" w:header="0"/>
        </w:sectPr>
      </w:pPr>
    </w:p>
    <w:bookmarkStart w:id="196" w:name="page197"/>
    <w:bookmarkEnd w:id="196"/>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Common Stock is unknown and cannot be predicted with certainty; and</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the Common Stock acquired upon vesting of the RSUs may increase or decrease in value.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3.22</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noted, neither the Company nor the Shares are registered with any local stock exchange or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control of any local securities regulator 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243" w:lineRule="exact"/>
        <w:rPr>
          <w:sz w:val="20"/>
          <w:szCs w:val="20"/>
          <w:color w:val="auto"/>
        </w:rPr>
      </w:pPr>
    </w:p>
    <w:p>
      <w:pPr>
        <w:ind w:right="13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b w:val="1"/>
          <w:bCs w:val="1"/>
          <w:color w:val="auto"/>
        </w:rPr>
        <w:t xml:space="preserve">. Participant acknowledges and agrees to the data privacy provisions set forth in Section 11.8 of the Plan. </w:t>
      </w:r>
      <w:r>
        <w:rPr>
          <w:rFonts w:ascii="Times New Roman" w:cs="Times New Roman" w:eastAsia="Times New Roman" w:hAnsi="Times New Roman"/>
          <w:sz w:val="20"/>
          <w:szCs w:val="20"/>
          <w:color w:val="auto"/>
        </w:rPr>
        <w:t>3.23</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3.24 </w:t>
      </w:r>
      <w:r>
        <w:rPr>
          <w:rFonts w:ascii="Times New Roman" w:cs="Times New Roman" w:eastAsia="Times New Roman" w:hAnsi="Times New Roman"/>
          <w:sz w:val="19"/>
          <w:szCs w:val="19"/>
          <w:b w:val="1"/>
          <w:bCs w:val="1"/>
          <w:u w:val="single" w:color="auto"/>
          <w:color w:val="auto"/>
        </w:rPr>
        <w:t>Notifications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This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 [______], 2021. Such laws are often complex and change frequently. As a result, the Company strongly</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recommends that Participant not rely on the information herein as the only source of information relating to the consequences of participation in the Plan because the information may be out of date at the time the RSUs vest or Shares acquired under the Plan are sold. 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English Language</w:t>
      </w:r>
      <w:r>
        <w:rPr>
          <w:rFonts w:ascii="Times New Roman" w:cs="Times New Roman" w:eastAsia="Times New Roman" w:hAnsi="Times New Roman"/>
          <w:sz w:val="20"/>
          <w:szCs w:val="20"/>
          <w:color w:val="auto"/>
        </w:rPr>
        <w:t>. By participating in the Plan, Participant acknowledges that Participant is proficient in the English language, or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consulted with an advisor who is sufficiently 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Currency</w:t>
      </w:r>
      <w:r>
        <w:rPr>
          <w:rFonts w:ascii="Times New Roman" w:cs="Times New Roman" w:eastAsia="Times New Roman" w:hAnsi="Times New Roman"/>
          <w:sz w:val="20"/>
          <w:szCs w:val="20"/>
          <w:color w:val="auto"/>
        </w:rPr>
        <w:t>. Participant understands that, any amounts related to the RSUs will be denominated in U.S. dollars and will be converted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RSUs, or of any amounts due to Participant or as a result of the subsequent sale of any Shares acquired under the RSUs.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Appendix-2</w:t>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Exchange Controls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country of residence may have certain foreign asset and/or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reporting or exchange control requirements which may affect his or her ability to acquire or hold Shares under the Agreement or cash received (including proceeds arising from the sale of Shares) in a brokerage or bank account outside Participant’s country. Participant may be required to report such accounts, assets or transactions to the tax or other authorities in his or her country. Participant may also be required to repatriate sale proceeds or other funds received as a result of his/her participation in the Plan to his or her country through a designated broker or bank and/or within a certain time after receipt. Participant is responsible for ensuring compliance with such regulations and should consult with his or her personal legal advisor for any details.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recommendations regarding Participant’s participation in the Plan or the Agreement or any receipt of the RSUs or sale of Shares acquired upon settlement of the RSUs. Participant should consult his or her own personal tax, legal and financial advisors regarding his or her participation in the Plan and the Agreement before taking any action related to the RSUs or the Shares.</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Participant, on the RSUs and/or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issuable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Individual Country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Appendix-3</w:t>
      </w:r>
    </w:p>
    <w:p>
      <w:pPr>
        <w:sectPr>
          <w:pgSz w:w="11900" w:h="16838" w:orient="portrait"/>
          <w:cols w:equalWidth="0" w:num="1">
            <w:col w:w="11240"/>
          </w:cols>
          <w:pgMar w:left="320" w:top="1409" w:right="339" w:bottom="1440" w:gutter="0" w:footer="0" w:header="0"/>
        </w:sectPr>
      </w:pPr>
    </w:p>
    <w:bookmarkStart w:id="198" w:name="page199"/>
    <w:bookmarkEnd w:id="19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Brilliant Earth Group,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 AND ADVANCEMENT AGREEMENT</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Indemnification and Advancement Agreement (“Agreement”) is effective as of the Effective Date (as defined below) by and between Brilliant Earth Group, Inc., a Nevada corporation (the “Company”), and ___________, [a member of the Board</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of Directors/an officer/an employee] of the Company (“Indemnitee”). This Agreement supersedes and replaces any and all previous Agreements between the Company and Indemnitee covering indemnification and advancement.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(the “Bylaws”) and the Articles of Incorporation of the Company (the “Articles of Incorporation”) require indemnification of the officers and directors of the Company. Indemnitee may also be entitled to indemnification pursuant to the Nevada Revised Statutes (as amended from time to time, the “NRS”). The Bylaws and the NRS expressly provide that the indemnification provisions set forth therein are not exclusive, and thereby contemplate that contracts may be entered into between the Company and members of the board of directors, officers and other Persons with respect to indemnification and advancement of expenses;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uncertainties relating to such insurance, to indemnification, and to advancement of expenses may increase the difficulty of attracting and retaining such Persons;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Board has determined that the increased difficulty in attracting and retaining such Persons is detrimental to the best interests of the Company and its stockholders</w:t>
      </w:r>
    </w:p>
    <w:p>
      <w:pPr>
        <w:sectPr>
          <w:pgSz w:w="11900" w:h="16838" w:orient="portrait"/>
          <w:cols w:equalWidth="0" w:num="1">
            <w:col w:w="11240"/>
          </w:cols>
          <w:pgMar w:left="320" w:top="1418"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and that the Company should act to assure such Persons that there will be increased certainty of such protection in the future;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this Agreement is a supplement to and in furtherance of the Bylaws, Articles of Incorporation, the NRS and any resolutions adopted pursuant thereto, and is not a substitute therefor, nor diminishes or abrogates any rights of Indemnitee thereunder; and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Indemnitee does not regard the protection available under the Bylaws, Articles of Incorporation, the NRS and insurance as adequate in the present circumstances, and may not be willing to serve or continue to serve as an officer or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Indemnitee do hereby covenant and agree as follows:</w:t>
      </w:r>
    </w:p>
    <w:p>
      <w:pPr>
        <w:spacing w:after="0" w:line="1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Services to the Company</w:t>
      </w:r>
      <w:r>
        <w:rPr>
          <w:rFonts w:ascii="Times New Roman" w:cs="Times New Roman" w:eastAsia="Times New Roman" w:hAnsi="Times New Roman"/>
          <w:sz w:val="22"/>
          <w:szCs w:val="22"/>
          <w:color w:val="auto"/>
        </w:rPr>
        <w:t>. Indemnitee agrees to serve as [a/an] [director/officer/employee]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w:t>
      </w:r>
    </w:p>
    <w:p>
      <w:pPr>
        <w:spacing w:after="0" w:line="179" w:lineRule="exact"/>
        <w:rPr>
          <w:sz w:val="20"/>
          <w:szCs w:val="20"/>
          <w:color w:val="auto"/>
        </w:rPr>
      </w:pPr>
    </w:p>
    <w:p>
      <w:pPr>
        <w:ind w:firstLine="1304"/>
        <w:spacing w:after="0" w:line="236" w:lineRule="auto"/>
        <w:tabs>
          <w:tab w:leader="none" w:pos="194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means any Person (as defined below) who is authorized by the Company or an Enterprise to act for or represent the interests of the Company or an Enterprise, respectively.</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occurs upon the earliest to occur after the date of this Agreement of any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events:</w:t>
      </w:r>
    </w:p>
    <w:p>
      <w:pPr>
        <w:spacing w:after="0" w:line="155"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9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Board of Directors. During any period of two (2) consecutive years (not including any period prior to the execution of this Agreement), individuals who at the beginning of such period constitute the Board, and any new director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00" w:name="page201"/>
    <w:bookmarkEnd w:id="200"/>
    <w:p>
      <w:pPr>
        <w:jc w:val="both"/>
        <w:spacing w:after="0" w:line="217" w:lineRule="auto"/>
        <w:rPr>
          <w:sz w:val="20"/>
          <w:szCs w:val="20"/>
          <w:color w:val="auto"/>
        </w:rPr>
      </w:pPr>
      <w:r>
        <w:rPr>
          <w:rFonts w:ascii="Times New Roman" w:cs="Times New Roman" w:eastAsia="Times New Roman" w:hAnsi="Times New Roman"/>
          <w:sz w:val="22"/>
          <w:szCs w:val="22"/>
          <w:color w:val="auto"/>
        </w:rPr>
        <w:t>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52" w:lineRule="exact"/>
        <w:rPr>
          <w:sz w:val="20"/>
          <w:szCs w:val="20"/>
          <w:color w:val="auto"/>
        </w:rPr>
      </w:pPr>
    </w:p>
    <w:p>
      <w:pPr>
        <w:jc w:val="both"/>
        <w:ind w:firstLine="1952"/>
        <w:spacing w:after="0" w:line="215" w:lineRule="auto"/>
        <w:tabs>
          <w:tab w:leader="none" w:pos="258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7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The approval by the stockholders of the Company of a complete liquidation of the Company or an agreement for the sale or disposition by the Company of all or substantially all of the Company’s assets;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7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2(b), the following terms have the following meanings:</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 means the Securities Exchange Act of 1934, as amended from time to time.</w:t>
      </w:r>
    </w:p>
    <w:p>
      <w:pPr>
        <w:spacing w:after="0" w:line="190" w:lineRule="exact"/>
        <w:rPr>
          <w:rFonts w:ascii="Times New Roman" w:cs="Times New Roman" w:eastAsia="Times New Roman" w:hAnsi="Times New Roman"/>
          <w:sz w:val="21"/>
          <w:szCs w:val="21"/>
          <w:color w:val="auto"/>
        </w:rPr>
      </w:pPr>
    </w:p>
    <w:p>
      <w:pPr>
        <w:jc w:val="both"/>
        <w:ind w:left="3240" w:hanging="640"/>
        <w:spacing w:after="0" w:line="217" w:lineRule="auto"/>
        <w:tabs>
          <w:tab w:leader="none" w:pos="324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52" w:lineRule="exact"/>
        <w:rPr>
          <w:rFonts w:ascii="Times New Roman" w:cs="Times New Roman" w:eastAsia="Times New Roman" w:hAnsi="Times New Roman"/>
          <w:sz w:val="22"/>
          <w:szCs w:val="22"/>
          <w:color w:val="auto"/>
        </w:rPr>
      </w:pPr>
    </w:p>
    <w:p>
      <w:pPr>
        <w:jc w:val="both"/>
        <w:ind w:left="3240" w:hanging="640"/>
        <w:spacing w:after="0" w:line="220" w:lineRule="auto"/>
        <w:tabs>
          <w:tab w:leader="none" w:pos="324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 Person who is or was acting as a director, officer, employee, fiduciary or Agent of the Company or an Enterprise.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the Proceeding in respect of which indemnification is sought by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01" w:name="page202"/>
    <w:bookmarkEnd w:id="201"/>
    <w:p>
      <w:pPr>
        <w:jc w:val="both"/>
        <w:ind w:firstLine="1304"/>
        <w:spacing w:after="0" w:line="225" w:lineRule="auto"/>
        <w:tabs>
          <w:tab w:leader="none" w:pos="19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“Enterprise” means any other corporation, limited liability company, partnership, joint venture, trust, employee benefit plan or other entity for which Indemnitee is or was serving at the request of the Company as a director, officer, trustee, employee, fiduciary or Agent.</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w:t>
      </w:r>
    </w:p>
    <w:p>
      <w:pPr>
        <w:spacing w:after="0" w:line="16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The Company agrees to pay the reasonable fees of the Independent Counsel referred to above and to fully indemnify such counsel against any and all Expenses, claims, liabilities and damages arising out of or relating to this Agreement or its engagement pursuant hereto.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49"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“Sponsor Entities” means Mainsail Partners III, L.P., Mainsail Incentive Program, LLC, Mainsail Management Company, LLC or any of the respective affiliates of the foregoing,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02" w:name="page203"/>
    <w:bookmarkEnd w:id="202"/>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Indemnity in Third-Party Proceedings</w:t>
      </w:r>
      <w:r>
        <w:rPr>
          <w:rFonts w:ascii="Times New Roman" w:cs="Times New Roman" w:eastAsia="Times New Roman" w:hAnsi="Times New Roman"/>
          <w:sz w:val="22"/>
          <w:szCs w:val="22"/>
          <w:color w:val="auto"/>
        </w:rPr>
        <w:t>. The Company will indemnify Indemnitee in accordance with the provisions of this Section 3 if Indemnitee was or is a party,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either (i) Indemnitee would not be liable, pursuant to NRS 78.138 or any successor statute, for damages as a result of Indemnitee’s acts or failures to act pursuant to Corporate Status, or (ii) Indemnitee acted in good faith and in a manner Indemnitee reasonably believed to be in or not opposed to the best interests of the Company and, in the case of a criminal Proceeding, had no reasonable cause to believe that the conduct was unlawful.</w:t>
      </w:r>
    </w:p>
    <w:p>
      <w:pPr>
        <w:spacing w:after="0" w:line="15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Indemnity in Proceedings by or in the Right of the Company</w:t>
      </w:r>
      <w:r>
        <w:rPr>
          <w:rFonts w:ascii="Times New Roman" w:cs="Times New Roman" w:eastAsia="Times New Roman" w:hAnsi="Times New Roman"/>
          <w:sz w:val="22"/>
          <w:szCs w:val="22"/>
          <w:color w:val="auto"/>
        </w:rPr>
        <w:t>. The Company will indemnify Indemnitee in accordance with the provisions of this Section 4 if Indemnitee was or is a party,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either (i) Indemnitee would not be liable, pursuant to NRS 78.138 or any successor statute, for damages as a result of Indemnitee’s acts or failures to act pursuant to Corporate Status, or (ii) Indemnitee acted in good faith and in a manner Indemnitee reasonably believed to be in or not opposed to the best interests of the Company.</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Indemnification for Expenses of a Party Who is Wholly or Partly Successful</w:t>
      </w:r>
      <w:r>
        <w:rPr>
          <w:rFonts w:ascii="Times New Roman" w:cs="Times New Roman" w:eastAsia="Times New Roman" w:hAnsi="Times New Roman"/>
          <w:sz w:val="22"/>
          <w:szCs w:val="22"/>
          <w:color w:val="auto"/>
        </w:rPr>
        <w:t>. To the fullest extent permitted by applicable law, the Company will indemnify Indemnitee against all Expenses actually and reasonably incurred by Indemnitee in connection with any Proceeding or any claim, issue or matter therein,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Indemnification For Expenses of a Witness</w:t>
      </w:r>
      <w:r>
        <w:rPr>
          <w:rFonts w:ascii="Times New Roman" w:cs="Times New Roman" w:eastAsia="Times New Roman" w:hAnsi="Times New Roman"/>
          <w:sz w:val="22"/>
          <w:szCs w:val="22"/>
          <w:color w:val="auto"/>
        </w:rPr>
        <w:t>.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Partial Indemnification</w:t>
      </w:r>
      <w:r>
        <w:rPr>
          <w:rFonts w:ascii="Times New Roman" w:cs="Times New Roman" w:eastAsia="Times New Roman" w:hAnsi="Times New Roman"/>
          <w:sz w:val="22"/>
          <w:szCs w:val="22"/>
          <w:color w:val="auto"/>
        </w:rPr>
        <w:t>.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Additional Indemnification</w:t>
      </w:r>
      <w:r>
        <w:rPr>
          <w:rFonts w:ascii="Times New Roman" w:cs="Times New Roman" w:eastAsia="Times New Roman" w:hAnsi="Times New Roman"/>
          <w:sz w:val="22"/>
          <w:szCs w:val="22"/>
          <w:color w:val="auto"/>
        </w:rPr>
        <w:t>. Notwithstanding any limitation in Sections 3, 4, or 5, the Company will indemnify Indemnitee to the fullest extent permitted by applicable law (including but not limited to, the NRS and any amendments to or replacements of the NRS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03" w:name="page204"/>
    <w:bookmarkEnd w:id="203"/>
    <w:p>
      <w:pPr>
        <w:jc w:val="both"/>
        <w:spacing w:after="0" w:line="225" w:lineRule="auto"/>
        <w:rPr>
          <w:sz w:val="20"/>
          <w:szCs w:val="20"/>
          <w:color w:val="auto"/>
        </w:rPr>
      </w:pPr>
      <w:r>
        <w:rPr>
          <w:rFonts w:ascii="Times New Roman" w:cs="Times New Roman" w:eastAsia="Times New Roman" w:hAnsi="Times New Roman"/>
          <w:sz w:val="22"/>
          <w:szCs w:val="22"/>
          <w:color w:val="auto"/>
        </w:rPr>
        <w:t>adopted after the date of this Agreement that expand the Company’s ability to indemnify its officers and directors) if Indemnitee is a party to or threatened to be made a party to any Proceeding (including a Proceeding by or in the right of the Company to procure a judgment in its favor).</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Exclusions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indemnify Indemnitee for Expenses under Section 3 or Section 4 related to any claim, issue or matter in a Proceeding for which Indemnitee has been adjudged by a court of competent jurisdiction, after exhaustion of any appeals taken therefrom, to be liable to the Company or for amounts paid in settlement to the Company, unless, and only to the extent that, the court in which the Proceeding was brought, or other court of competent jurisdiction, determines upon application by Indemnitee that in view of all the circumstances of the case, Indemnitee is fairly and reasonably entitled to indemnity for such expenses as the court deems proper.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the Company is not obligated under this Agreement to make any indemnification payment to Indemnitee in connection with any Proceeding:</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payment has actually been made to or on behalf of Indemnitee under any insurance policy or other indemnity provision, except to the extent provided in Section 15(b) and except with respect to any excess beyond the amount paid under any insurance policy or other indemnity provision; or</w:t>
      </w:r>
    </w:p>
    <w:p>
      <w:pPr>
        <w:spacing w:after="0" w:line="152" w:lineRule="exact"/>
        <w:rPr>
          <w:rFonts w:ascii="Times New Roman" w:cs="Times New Roman" w:eastAsia="Times New Roman" w:hAnsi="Times New Roman"/>
          <w:sz w:val="22"/>
          <w:szCs w:val="22"/>
          <w:color w:val="auto"/>
        </w:rPr>
      </w:pPr>
    </w:p>
    <w:p>
      <w:pPr>
        <w:jc w:val="both"/>
        <w:ind w:firstLine="1952"/>
        <w:spacing w:after="0" w:line="210" w:lineRule="auto"/>
        <w:tabs>
          <w:tab w:leader="none" w:pos="259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 an accounting of profits made from the purchase and sale (or sale and purchase) by Indemnitee of securities of the Company within the meaning of Section 15(b) of the Exchange Act (as defined in Section 2(b) hereof)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57"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Advances of Expenses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advance, to the fullest extent not prohibited by applicable law, the Expenses incurred by Indemnitee in connection with any Proceeding (or any part of any Proceeding) not initiated by Indemnitee or any Proceeding (or any part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04" w:name="page205"/>
    <w:bookmarkEnd w:id="204"/>
    <w:p>
      <w:pPr>
        <w:jc w:val="both"/>
        <w:spacing w:after="0" w:line="217" w:lineRule="auto"/>
        <w:rPr>
          <w:sz w:val="20"/>
          <w:szCs w:val="20"/>
          <w:color w:val="auto"/>
        </w:rPr>
      </w:pPr>
      <w:r>
        <w:rPr>
          <w:rFonts w:ascii="Times New Roman" w:cs="Times New Roman" w:eastAsia="Times New Roman" w:hAnsi="Times New Roman"/>
          <w:sz w:val="22"/>
          <w:szCs w:val="22"/>
          <w:color w:val="auto"/>
        </w:rPr>
        <w:t>Proceeding) initiated by Indemnitee if (i) the Proceeding or part of any Proceeding is to enforce Indemnitee’s rights to obtain indemnification or advancement of Expenses from the Company or Enterprise, including a proceeding initiated pursuant to Section 14 or (ii)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w:t>
      </w:r>
    </w:p>
    <w:p>
      <w:pPr>
        <w:spacing w:after="0" w:line="152" w:lineRule="exact"/>
        <w:rPr>
          <w:sz w:val="20"/>
          <w:szCs w:val="20"/>
          <w:color w:val="auto"/>
        </w:rPr>
      </w:pPr>
    </w:p>
    <w:p>
      <w:pPr>
        <w:jc w:val="both"/>
        <w:ind w:firstLine="1304"/>
        <w:spacing w:after="0" w:line="212" w:lineRule="auto"/>
        <w:tabs>
          <w:tab w:leader="none" w:pos="19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will be unsecured and interest free. Indemnitee hereby undertakes, and the Company agrees that the execution and delivery of this Agreement constitutes an undertaking by or on behalf of Indemnitee, and Indemnitee hereby so undertakes, to repay the amounts advanced (without interest) to the extent that it is finally adjudged by a court of competent jurisdiction, after exhaustion of any appeals taken therefrom, that Indemnitee is liable for intentional misconduct, fraud or a knowing violation of law, and such misconduct, fraud or violation was material to the cause of action.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Procedure for Notification of Claim for Indemnification or Advancement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be entitled to participate in the Proceeding at its own expense.</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Procedure Upon Application for Indemnification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 Change in Control has occurred, the determination of Indemnitee’s entitlement to indemnification</w:t>
      </w:r>
    </w:p>
    <w:p>
      <w:pPr>
        <w:spacing w:after="0"/>
        <w:rPr>
          <w:sz w:val="20"/>
          <w:szCs w:val="20"/>
          <w:color w:val="auto"/>
        </w:rPr>
      </w:pPr>
      <w:r>
        <w:rPr>
          <w:rFonts w:ascii="Times New Roman" w:cs="Times New Roman" w:eastAsia="Times New Roman" w:hAnsi="Times New Roman"/>
          <w:sz w:val="22"/>
          <w:szCs w:val="22"/>
          <w:color w:val="auto"/>
        </w:rPr>
        <w:t>will be made:</w:t>
      </w:r>
    </w:p>
    <w:p>
      <w:pPr>
        <w:spacing w:after="0" w:line="142" w:lineRule="exact"/>
        <w:rPr>
          <w:sz w:val="20"/>
          <w:szCs w:val="20"/>
          <w:color w:val="auto"/>
        </w:rPr>
      </w:pPr>
    </w:p>
    <w:p>
      <w:pPr>
        <w:ind w:left="2600" w:hanging="648"/>
        <w:spacing w:after="0"/>
        <w:tabs>
          <w:tab w:leader="none" w:pos="26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Board or by a majority vote of a quorum of the Disinterested Directors, even though less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than a quorum of the Board;</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majority vote of a quorum of a committee of Disinterested Directors designated by a majority vote of the Disinterested Directors, even though less than a quorum of the Board;</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 such quorum of Disinterested Directors or, if such Disinterested Directors so direct, by written opinion provided by Independent Counsel selected by the Board;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205" w:name="page206"/>
    <w:bookmarkEnd w:id="205"/>
    <w:p>
      <w:pPr>
        <w:ind w:left="2580" w:hanging="628"/>
        <w:spacing w:after="0"/>
        <w:tabs>
          <w:tab w:leader="none" w:pos="258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directed by the Board, by the stockholders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Eighth Judicial District Court of the State of Nevada, Clark County, Nevada (or, if the Eighth Judicial District Court does not have, or declines, jurisdiction over such action, any other court of the State of Nevada with jurisdiction) has determined that such objection is without merit. If, within thirty (30) days after the later of submission by Indemnitee of a written request for indemnification pursuant to Section 11(a) hereof and the final disposition of the Proceeding, Independent Counsel has not been selected or, if selected, any objection to has not been resolved, either the Company or Indemnitee may petition the Eighth Judicial District Court of the State of Nevada, Clark County, Nevada (or, if the Eighth Judicial District Court does not have, or declines, jurisdiction over such action, any other court of the State of Nevada with jurisdiction)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57"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49" w:lineRule="exact"/>
        <w:rPr>
          <w:rFonts w:ascii="Times New Roman" w:cs="Times New Roman" w:eastAsia="Times New Roman" w:hAnsi="Times New Roman"/>
          <w:sz w:val="21"/>
          <w:szCs w:val="21"/>
          <w:color w:val="auto"/>
        </w:rPr>
      </w:pPr>
    </w:p>
    <w:p>
      <w:pPr>
        <w:ind w:right="20" w:firstLine="1304"/>
        <w:spacing w:after="0" w:line="236"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determined that Indemnitee is entitled to indemnification, the Company will make payment to Indemnitee within thirty (30) days after such determination.</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Presumptions and Effect of Certain Proceedings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11(a)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06" w:name="page207"/>
    <w:bookmarkEnd w:id="206"/>
    <w:p>
      <w:pPr>
        <w:jc w:val="both"/>
        <w:spacing w:after="0" w:line="215" w:lineRule="auto"/>
        <w:rPr>
          <w:sz w:val="20"/>
          <w:szCs w:val="20"/>
          <w:color w:val="auto"/>
        </w:rPr>
      </w:pPr>
      <w:r>
        <w:rPr>
          <w:rFonts w:ascii="Times New Roman" w:cs="Times New Roman" w:eastAsia="Times New Roman" w:hAnsi="Times New Roman"/>
          <w:sz w:val="22"/>
          <w:szCs w:val="22"/>
          <w:color w:val="auto"/>
        </w:rPr>
        <w:t>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52" w:lineRule="exact"/>
        <w:rPr>
          <w:sz w:val="20"/>
          <w:szCs w:val="20"/>
          <w:color w:val="auto"/>
        </w:rPr>
      </w:pPr>
    </w:p>
    <w:p>
      <w:pPr>
        <w:jc w:val="both"/>
        <w:ind w:firstLine="1304"/>
        <w:spacing w:after="0" w:line="21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determination of the Indemnitee’s entitlement to indemnification has not been made pursuant to Section 12 within sixty (60) days after the later of (i) receipt by the Company of Indemnitee’s request for indemnification pursuant to Section 11(a)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12(a)(iv) of this Agreement.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07" w:name="page208"/>
    <w:bookmarkEnd w:id="207"/>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Remedies of Indemnitee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may commence litigation against the Company in the Eighth Judicial District Court of the State of Nevada, Clark County, Nevada (or, if the Eighth Judicial District Court does not have, or declines, jurisdiction over such action, any other court of the State of Nevada with jurisdiction) to obtain indemnification or advancement of Expenses provided by this Agreement in the event that (i) a determination is made pursuant to Section 12 of this Agreement that Indemnitee is not entitled to indemnification under this Agreement, (ii) the Company does not advance the full amount of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45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w:t>
      </w:r>
    </w:p>
    <w:p>
      <w:pPr>
        <w:spacing w:after="0" w:line="4" w:lineRule="exact"/>
        <w:rPr>
          <w:rFonts w:ascii="Times New Roman" w:cs="Times New Roman" w:eastAsia="Times New Roman" w:hAnsi="Times New Roman"/>
          <w:sz w:val="21"/>
          <w:szCs w:val="21"/>
          <w:color w:val="auto"/>
        </w:rPr>
      </w:pPr>
    </w:p>
    <w:p>
      <w:pPr>
        <w:jc w:val="both"/>
        <w:ind w:firstLine="8"/>
        <w:spacing w:after="0" w:line="214" w:lineRule="auto"/>
        <w:tabs>
          <w:tab w:leader="none" w:pos="58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following the date on which Indemnitee first has the right to commence such Proceeding pursuant to this Section 14(a);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53"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determination is made pursuant to Section 12 of this Agreement that Indemnitee is entitled to indemnification, the Company will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to the fullest extent not prohibited by law, precluded from asserting in any judicial proceeding or arbitration commenced pursuant to this Section 14 that the procedures and presumptions of this Agreement are not valid, binding and enforceable and will stipulate in any such court or before any such arbitrator that the Company is bound by all the provisions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intended to be extended to the Indemnitee hereunder. The Company, to the fullest extent permitted by law, will (within thirty</w:t>
      </w:r>
    </w:p>
    <w:p>
      <w:pPr>
        <w:jc w:val="both"/>
        <w:ind w:firstLine="8"/>
        <w:spacing w:after="0" w:line="212" w:lineRule="auto"/>
        <w:tabs>
          <w:tab w:leader="none" w:pos="41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action were made in bad faith or were frivolous or are prohibited by law.</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Non-exclusivity; Survival of Rights; Insurance; Subrogation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and advancement of Expenses provided by this Agreement are not exclusive of any other rights to which Indemnitee may at any time be entitled under applicable law, the Articles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Nevada law, whether by statute or judicial decision, permits greater indemnification or advancement of Expenses than would be afforded currently under the Bylaws, Articles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acknowledges that Indemnitee may have certain rights to indemnification, advancement of Expenses and/or insurance provided by one or more other Persons with whom or which Indemnitee may be associated (including, without limitation, any Sponsor Entities). The relationship between the Company and such other Persons, other than an Enterprise, with respect to the Indemnitee’s rights to indemnification, advancement of Expenses, and insurance is described by this subsection, subject to the provisions of subsection (d) of this Section 15 with respect to a Proceeding concerning Indemnitee’s Corporate Status with an Enterprise.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acknowledges and agrees:</w:t>
      </w:r>
    </w:p>
    <w:p>
      <w:pPr>
        <w:spacing w:after="0" w:line="179" w:lineRule="exact"/>
        <w:rPr>
          <w:rFonts w:ascii="Times New Roman" w:cs="Times New Roman" w:eastAsia="Times New Roman" w:hAnsi="Times New Roman"/>
          <w:sz w:val="22"/>
          <w:szCs w:val="22"/>
          <w:color w:val="auto"/>
        </w:rPr>
      </w:pPr>
    </w:p>
    <w:p>
      <w:pPr>
        <w:ind w:left="3240" w:right="20" w:hanging="640"/>
        <w:spacing w:after="0" w:line="255" w:lineRule="auto"/>
        <w:tabs>
          <w:tab w:leader="none" w:pos="3240"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the indemnitor of first resort with respect to any request for indemnification or advancement of Expenses made pursuant to this Agreement concerning any Proceeding;</w:t>
      </w:r>
    </w:p>
    <w:p>
      <w:pPr>
        <w:spacing w:after="0" w:line="134" w:lineRule="exact"/>
        <w:rPr>
          <w:rFonts w:ascii="Times New Roman" w:cs="Times New Roman" w:eastAsia="Times New Roman" w:hAnsi="Times New Roman"/>
          <w:sz w:val="21"/>
          <w:szCs w:val="21"/>
          <w:color w:val="auto"/>
        </w:rPr>
      </w:pPr>
    </w:p>
    <w:p>
      <w:pPr>
        <w:jc w:val="both"/>
        <w:ind w:left="3240" w:hanging="640"/>
        <w:spacing w:after="0" w:line="225" w:lineRule="auto"/>
        <w:tabs>
          <w:tab w:leader="none" w:pos="324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primarily liable for all indemnification and advancement of Expenses obligations for any Proceeding, whether created by law, organizational or constituent documents, contract (including this Agreement) or otherwise;</w:t>
      </w:r>
    </w:p>
    <w:p>
      <w:pPr>
        <w:spacing w:after="0" w:line="152" w:lineRule="exact"/>
        <w:rPr>
          <w:rFonts w:ascii="Times New Roman" w:cs="Times New Roman" w:eastAsia="Times New Roman" w:hAnsi="Times New Roman"/>
          <w:sz w:val="22"/>
          <w:szCs w:val="22"/>
          <w:color w:val="auto"/>
        </w:rPr>
      </w:pPr>
    </w:p>
    <w:p>
      <w:pPr>
        <w:jc w:val="both"/>
        <w:ind w:left="3240" w:hanging="640"/>
        <w:spacing w:after="0" w:line="225" w:lineRule="auto"/>
        <w:tabs>
          <w:tab w:leader="none" w:pos="324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any other Persons with whom or which Indemnitee may be associated (including, without limitation, any Sponsor Entities) to indemnify Indemnitee and/or advance Expenses to Indemnitee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82" w:right="339" w:bottom="1440" w:gutter="0" w:footer="0" w:header="0"/>
        </w:sectPr>
      </w:pPr>
    </w:p>
    <w:bookmarkStart w:id="209" w:name="page210"/>
    <w:bookmarkEnd w:id="209"/>
    <w:p>
      <w:pPr>
        <w:ind w:left="3240"/>
        <w:spacing w:after="0"/>
        <w:rPr>
          <w:sz w:val="20"/>
          <w:szCs w:val="20"/>
          <w:color w:val="auto"/>
        </w:rPr>
      </w:pPr>
      <w:r>
        <w:rPr>
          <w:rFonts w:ascii="Times New Roman" w:cs="Times New Roman" w:eastAsia="Times New Roman" w:hAnsi="Times New Roman"/>
          <w:sz w:val="22"/>
          <w:szCs w:val="22"/>
          <w:color w:val="auto"/>
        </w:rPr>
        <w:t>proceeding are secondary to the obligations of the Company’s obligations;</w:t>
      </w:r>
    </w:p>
    <w:p>
      <w:pPr>
        <w:spacing w:after="0" w:line="179" w:lineRule="exact"/>
        <w:rPr>
          <w:sz w:val="20"/>
          <w:szCs w:val="20"/>
          <w:color w:val="auto"/>
        </w:rPr>
      </w:pPr>
    </w:p>
    <w:p>
      <w:pPr>
        <w:jc w:val="both"/>
        <w:ind w:left="3240" w:hanging="640"/>
        <w:spacing w:after="0" w:line="220" w:lineRule="auto"/>
        <w:tabs>
          <w:tab w:leader="none" w:pos="324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indemnify Indemnitee and advance Expenses to Indemnitee hereunder to the fullest extent provided herein without regard to any rights Indemnitee may have against any other Person with whom or which Indemnitee may be associated (including, without limitation, any Sponsor Entities) or insurer of any such Person;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9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irrevocably waives, relinquishes and releases (A) any other Person with whom or which Indemnitee may be associated (including, without limitation, any Sponsor Entities)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any Sponsor Entities), whether or not such claim, remedy or right arises in equity or under contract, statute or common law, including, without limitation, the right to take or receive from any Person (including, without limitation, any Sponsor Entities), directly or indirectly, in cash or other property or by set-off or in any other manner, payment or security on account of such claim, remedy or right.</w:t>
      </w:r>
    </w:p>
    <w:p>
      <w:pPr>
        <w:spacing w:after="0" w:line="156"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other Person with whom or which Indemnitee may be associated (including, without limitation, any Sponsor Entities)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Sponsor Entities) or their insurers affect the obligations of the Company hereunder or shift primary liability for the Company’s obligation to indemnify or advance of Expenses to any other Person with whom or which Indemnitee may be associated (including, without limitation, any Sponsor Entities).</w:t>
      </w:r>
    </w:p>
    <w:p>
      <w:pPr>
        <w:spacing w:after="0" w:line="156"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7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or advancement of Expenses provided by any other Person with whom or which Indemnitee may be associated (including, without limitation, any Sponsor Entities)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10" w:name="page211"/>
    <w:bookmarkEnd w:id="210"/>
    <w:p>
      <w:pPr>
        <w:jc w:val="both"/>
        <w:ind w:firstLine="1304"/>
        <w:spacing w:after="0" w:line="222" w:lineRule="auto"/>
        <w:tabs>
          <w:tab w:leader="none" w:pos="193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57"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Duration of Agreement</w:t>
      </w:r>
      <w:r>
        <w:rPr>
          <w:rFonts w:ascii="Times New Roman" w:cs="Times New Roman" w:eastAsia="Times New Roman" w:hAnsi="Times New Roman"/>
          <w:sz w:val="22"/>
          <w:szCs w:val="22"/>
          <w:color w:val="auto"/>
        </w:rPr>
        <w:t>. To the fullest extent permitted by law, this Agreement shall (i) be effective as of the earliest date that Indemnitee commenced serving as a director, officer or employee of the Company (the “Effective Date”), and (ii) apply to any claim for indemnification by Indemnitee with respect to any matters arising from such time and thereafter. 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or has otherwise ceased to have Corporate Status with respect to, the Company or of any other Enterprise, and inure to the benefit of Indemnitee and Indemnitee’s spouse, assigns, heirs, devisees, executors and administrators and other legal representatives.</w:t>
      </w:r>
    </w:p>
    <w:p>
      <w:pPr>
        <w:spacing w:after="0" w:line="16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11" w:name="page212"/>
    <w:bookmarkEnd w:id="211"/>
    <w:p>
      <w:pPr>
        <w:spacing w:after="0" w:line="236" w:lineRule="auto"/>
        <w:rPr>
          <w:sz w:val="20"/>
          <w:szCs w:val="20"/>
          <w:color w:val="auto"/>
        </w:rPr>
      </w:pPr>
      <w:r>
        <w:rPr>
          <w:rFonts w:ascii="Times New Roman" w:cs="Times New Roman" w:eastAsia="Times New Roman" w:hAnsi="Times New Roman"/>
          <w:sz w:val="22"/>
          <w:szCs w:val="22"/>
          <w:color w:val="auto"/>
        </w:rPr>
        <w:t>excess of that expressly provided, without limitation, by the Articles of Incorporation, the Bylaws, vote of the Company stockholders or disinterested directors, or applicable law.</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Articles of Incorporation, the Bylaws and applicable law, and is not a substitute therefor, nor to diminish or abrogate any rights of Indemnitee thereunder.</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seek from a court, or agree to, a “bar order” which would have the effect of prohibiting or limiting Indemnitee’s rights to receive advances of expenses under this Agreement.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Notice by Indemnitee</w:t>
      </w:r>
      <w:r>
        <w:rPr>
          <w:rFonts w:ascii="Times New Roman" w:cs="Times New Roman" w:eastAsia="Times New Roman" w:hAnsi="Times New Roman"/>
          <w:sz w:val="22"/>
          <w:szCs w:val="22"/>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52" w:lineRule="exact"/>
        <w:rPr>
          <w:sz w:val="20"/>
          <w:szCs w:val="20"/>
          <w:color w:val="auto"/>
        </w:rPr>
      </w:pPr>
    </w:p>
    <w:p>
      <w:pPr>
        <w:ind w:firstLine="1304"/>
        <w:spacing w:after="0" w:line="236"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at the address indicated on the signature page of this Agreement, or such other address as Indemnitee provides to the Company.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0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Brilliant Earth Group, Inc.</w:t>
      </w:r>
    </w:p>
    <w:p>
      <w:pPr>
        <w:spacing w:after="0" w:line="27"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300 Grant Avenue, 3rd Floor San Francisco, CA 94108</w:t>
      </w:r>
    </w:p>
    <w:p>
      <w:pPr>
        <w:spacing w:after="0" w:line="3" w:lineRule="exact"/>
        <w:rPr>
          <w:rFonts w:ascii="Times New Roman" w:cs="Times New Roman" w:eastAsia="Times New Roman" w:hAnsi="Times New Roman"/>
          <w:sz w:val="22"/>
          <w:szCs w:val="22"/>
          <w:color w:val="auto"/>
        </w:rPr>
      </w:pPr>
    </w:p>
    <w:p>
      <w:pPr>
        <w:ind w:left="1960" w:right="69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General Counsel Email:</w:t>
      </w:r>
    </w:p>
    <w:p>
      <w:pPr>
        <w:spacing w:after="0" w:line="168"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to any other address as may have been furnished to Indemnitee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12" w:name="page213"/>
    <w:bookmarkEnd w:id="212"/>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rise to such Proceeding; and/or (ii) the relative fault of the Company (and its directors, officers, employees and agents) and Indemnitee in connection with such event(s) and/or transaction(s).</w:t>
      </w:r>
    </w:p>
    <w:p>
      <w:pPr>
        <w:spacing w:after="0" w:line="15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Applicable Law and Consent to Jurisdiction</w:t>
      </w:r>
      <w:r>
        <w:rPr>
          <w:rFonts w:ascii="Times New Roman" w:cs="Times New Roman" w:eastAsia="Times New Roman" w:hAnsi="Times New Roman"/>
          <w:sz w:val="22"/>
          <w:szCs w:val="22"/>
          <w:color w:val="auto"/>
        </w:rPr>
        <w:t>. This Agreement and the legal relations among the parties are governed by, and construed and enforced in accordance with, the laws of the State of Nevada,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may be brought only in the Eighth Judicial District Court of the State of Nevada, Clark County, Nevada (or, if the Eighth Judicial District Court does not have, or declines, jurisdiction over such action, any other court of the State of Nevada with jurisdiction) and not in any other state or federal court in the United States of America or any court in any other country, (ii) consent to submit to the exclusive jurisdiction of the Eighth Judicial District Court of the State of Nevada, Clark County, Nevada (or, if the Eighth Judicial District Court does not have, or declines, jurisdiction over such action, any other court of the State of Nevada with jurisdiction) for purposes of any action or Proceeding arising out of or in connection with this Agreement, (iii) waive any objection to the laying of venue of any such action or Proceeding in the Eighth Judicial District Court of the State of Nevada, Clark County, Nevada (or, if the Eighth Judicial District Court does not have, or declines, jurisdiction over such action, any other court of the State of Nevada with jurisdiction), and (iv) waive, and agree not to plead or to make, any claim that any such action or Proceeding brought in the Eighth Judicial District Court of the State of Nevada, Clark County, Nevada (or, if the Eighth Judicial District Court does not have, or declines, jurisdiction over such action, any other court of the State of Nevada with jurisdiction) has been brought in an improper or inconvenient forum.</w:t>
      </w:r>
    </w:p>
    <w:p>
      <w:pPr>
        <w:spacing w:after="0" w:line="16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Identical Counterparts</w:t>
      </w:r>
      <w:r>
        <w:rPr>
          <w:rFonts w:ascii="Times New Roman" w:cs="Times New Roman" w:eastAsia="Times New Roman" w:hAnsi="Times New Roman"/>
          <w:sz w:val="22"/>
          <w:szCs w:val="22"/>
          <w:color w:val="auto"/>
        </w:rPr>
        <w:t>. 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this Agreement are inserted for convenience only and do not constitute part of this Agreement or affect the construction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signed as of the day and year first above written.</w:t>
      </w:r>
    </w:p>
    <w:p>
      <w:pPr>
        <w:sectPr>
          <w:pgSz w:w="11900" w:h="16838" w:orient="portrait"/>
          <w:cols w:equalWidth="0" w:num="1">
            <w:col w:w="11180"/>
          </w:cols>
          <w:pgMar w:left="320" w:top="1422" w:right="39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BRILLIANT EARTH GROUP, INC.</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INDEMNITEE</w:t>
      </w:r>
    </w:p>
    <w:p>
      <w:pPr>
        <w:spacing w:after="0" w:line="200" w:lineRule="exact"/>
        <w:rPr>
          <w:sz w:val="20"/>
          <w:szCs w:val="20"/>
          <w:color w:val="auto"/>
        </w:rPr>
      </w:pPr>
    </w:p>
    <w:p>
      <w:pPr>
        <w:sectPr>
          <w:pgSz w:w="11900" w:h="16838" w:orient="portrait"/>
          <w:cols w:equalWidth="0" w:num="2">
            <w:col w:w="3200" w:space="280"/>
            <w:col w:w="7700"/>
          </w:cols>
          <w:pgMar w:left="320" w:top="1422" w:right="399" w:bottom="1440" w:gutter="0" w:footer="0" w:header="0"/>
          <w:type w:val="continuous"/>
        </w:sectPr>
      </w:pP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11" w:lineRule="exact"/>
        <w:rPr>
          <w:sz w:val="20"/>
          <w:szCs w:val="20"/>
          <w:color w:val="auto"/>
        </w:rPr>
      </w:pPr>
    </w:p>
    <w:p>
      <w:pPr>
        <w:sectPr>
          <w:pgSz w:w="11900" w:h="16838" w:orient="portrait"/>
          <w:cols w:equalWidth="0" w:num="2">
            <w:col w:w="4960" w:space="720"/>
            <w:col w:w="5500"/>
          </w:cols>
          <w:pgMar w:left="320" w:top="14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80"/>
          </w:cols>
          <w:pgMar w:left="320" w:top="1422" w:right="399" w:bottom="1440" w:gutter="0" w:footer="0" w:header="0"/>
          <w:type w:val="continuous"/>
        </w:sectPr>
      </w:pPr>
    </w:p>
    <w:bookmarkStart w:id="214" w:name="page215"/>
    <w:bookmarkEnd w:id="21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 333-290111), and Form S-8 (Nos. 333-259736, 333-266807, 333-270725, 333-278351 and 333-285801) of Brilliant Earth Group, Inc. of our report dated March 17, 2026, relating to the consolidated financial statements, which appears in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Denver, Colorado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17, 2026</w:t>
      </w:r>
    </w:p>
    <w:p>
      <w:pPr>
        <w:sectPr>
          <w:pgSz w:w="11900" w:h="16838" w:orient="portrait"/>
          <w:cols w:equalWidth="0" w:num="1">
            <w:col w:w="11240"/>
          </w:cols>
          <w:pgMar w:left="320" w:top="1395"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Beth Gerstein, certify that:</w:t>
      </w:r>
    </w:p>
    <w:p>
      <w:pPr>
        <w:spacing w:after="0" w:line="225"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Brilliant Earth Group, Inc.;</w:t>
      </w:r>
    </w:p>
    <w:p>
      <w:pPr>
        <w:spacing w:after="0" w:line="238"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right="140" w:firstLine="656"/>
        <w:spacing w:after="0" w:line="250" w:lineRule="auto"/>
        <w:tabs>
          <w:tab w:leader="none" w:pos="89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right="40" w:firstLine="656"/>
        <w:spacing w:after="0" w:line="250" w:lineRule="auto"/>
        <w:tabs>
          <w:tab w:leader="none" w:pos="90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ind w:right="640" w:firstLine="656"/>
        <w:spacing w:after="0" w:line="266" w:lineRule="auto"/>
        <w:tabs>
          <w:tab w:leader="none" w:pos="89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right="120" w:firstLine="656"/>
        <w:spacing w:after="0" w:line="250" w:lineRule="auto"/>
        <w:tabs>
          <w:tab w:leader="none" w:pos="90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right="40" w:firstLine="656"/>
        <w:spacing w:after="0" w:line="266" w:lineRule="auto"/>
        <w:tabs>
          <w:tab w:leader="none" w:pos="89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right="540" w:firstLine="656"/>
        <w:spacing w:after="0" w:line="266" w:lineRule="auto"/>
        <w:tabs>
          <w:tab w:leader="none" w:pos="90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ind w:left="4540"/>
        <w:spacing w:after="0" w:line="203"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/s/Beth Gerstein</w:t>
      </w:r>
    </w:p>
    <w:p>
      <w:pPr>
        <w:ind w:left="4540"/>
        <w:spacing w:after="0" w:line="219" w:lineRule="auto"/>
        <w:rPr>
          <w:sz w:val="20"/>
          <w:szCs w:val="20"/>
          <w:color w:val="auto"/>
        </w:rPr>
      </w:pPr>
      <w:r>
        <w:rPr>
          <w:rFonts w:ascii="Times New Roman" w:cs="Times New Roman" w:eastAsia="Times New Roman" w:hAnsi="Times New Roman"/>
          <w:sz w:val="18"/>
          <w:szCs w:val="18"/>
          <w:color w:val="auto"/>
        </w:rPr>
        <w:t>Name: Beth Gerstein</w:t>
      </w:r>
    </w:p>
    <w:p>
      <w:pPr>
        <w:ind w:left="4540"/>
        <w:spacing w:after="0" w:line="204" w:lineRule="auto"/>
        <w:rPr>
          <w:sz w:val="20"/>
          <w:szCs w:val="20"/>
          <w:color w:val="auto"/>
        </w:rPr>
      </w:pPr>
      <w:r>
        <w:rPr>
          <w:rFonts w:ascii="Times New Roman" w:cs="Times New Roman" w:eastAsia="Times New Roman" w:hAnsi="Times New Roman"/>
          <w:sz w:val="18"/>
          <w:szCs w:val="18"/>
          <w:color w:val="auto"/>
        </w:rPr>
        <w:t>Title: Chief Executive Officer</w:t>
      </w: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91"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Kuo,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Brilliant Earth Group, Inc.;</w:t>
      </w:r>
    </w:p>
    <w:p>
      <w:pPr>
        <w:spacing w:after="0" w:line="238"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right="140" w:firstLine="656"/>
        <w:spacing w:after="0" w:line="250" w:lineRule="auto"/>
        <w:tabs>
          <w:tab w:leader="none" w:pos="89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right="40" w:firstLine="656"/>
        <w:spacing w:after="0" w:line="250" w:lineRule="auto"/>
        <w:tabs>
          <w:tab w:leader="none" w:pos="90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ind w:right="640" w:firstLine="656"/>
        <w:spacing w:after="0" w:line="266" w:lineRule="auto"/>
        <w:tabs>
          <w:tab w:leader="none" w:pos="89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right="120" w:firstLine="656"/>
        <w:spacing w:after="0" w:line="250" w:lineRule="auto"/>
        <w:tabs>
          <w:tab w:leader="none" w:pos="90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right="40" w:firstLine="656"/>
        <w:spacing w:after="0" w:line="266" w:lineRule="auto"/>
        <w:tabs>
          <w:tab w:leader="none" w:pos="89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right="540" w:firstLine="656"/>
        <w:spacing w:after="0" w:line="266" w:lineRule="auto"/>
        <w:tabs>
          <w:tab w:leader="none" w:pos="90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ind w:left="4540"/>
        <w:spacing w:after="0" w:line="203"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Jeffrey Kuo</w:t>
      </w:r>
    </w:p>
    <w:p>
      <w:pPr>
        <w:ind w:left="4540"/>
        <w:spacing w:after="0" w:line="219" w:lineRule="auto"/>
        <w:rPr>
          <w:sz w:val="20"/>
          <w:szCs w:val="20"/>
          <w:color w:val="auto"/>
        </w:rPr>
      </w:pPr>
      <w:r>
        <w:rPr>
          <w:rFonts w:ascii="Times New Roman" w:cs="Times New Roman" w:eastAsia="Times New Roman" w:hAnsi="Times New Roman"/>
          <w:sz w:val="18"/>
          <w:szCs w:val="18"/>
          <w:color w:val="auto"/>
        </w:rPr>
        <w:t>Name: Jeffrey Kuo</w:t>
      </w:r>
    </w:p>
    <w:p>
      <w:pPr>
        <w:ind w:left="4540"/>
        <w:spacing w:after="0" w:line="204" w:lineRule="auto"/>
        <w:rPr>
          <w:sz w:val="20"/>
          <w:szCs w:val="20"/>
          <w:color w:val="auto"/>
        </w:rPr>
      </w:pPr>
      <w:r>
        <w:rPr>
          <w:rFonts w:ascii="Times New Roman" w:cs="Times New Roman" w:eastAsia="Times New Roman" w:hAnsi="Times New Roman"/>
          <w:sz w:val="18"/>
          <w:szCs w:val="18"/>
          <w:color w:val="auto"/>
        </w:rPr>
        <w:t>Title: Chief Financial Officer</w:t>
      </w: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91"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180" w:lineRule="exact"/>
        <w:rPr>
          <w:sz w:val="20"/>
          <w:szCs w:val="20"/>
          <w:color w:val="auto"/>
        </w:rPr>
      </w:pPr>
    </w:p>
    <w:p>
      <w:pPr>
        <w:jc w:val="both"/>
        <w:ind w:right="200"/>
        <w:spacing w:after="0" w:line="230" w:lineRule="auto"/>
        <w:rPr>
          <w:sz w:val="20"/>
          <w:szCs w:val="20"/>
          <w:color w:val="auto"/>
        </w:rPr>
      </w:pPr>
      <w:r>
        <w:rPr>
          <w:rFonts w:ascii="Times New Roman" w:cs="Times New Roman" w:eastAsia="Times New Roman" w:hAnsi="Times New Roman"/>
          <w:sz w:val="20"/>
          <w:szCs w:val="20"/>
          <w:color w:val="auto"/>
        </w:rPr>
        <w:t>In connection with the Annual Report on Form 10-K of Brilliant Earth Group, Inc. (the “Company”) for the year ended December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76" w:lineRule="exact"/>
        <w:rPr>
          <w:sz w:val="20"/>
          <w:szCs w:val="20"/>
          <w:color w:val="auto"/>
        </w:rPr>
      </w:pPr>
    </w:p>
    <w:p>
      <w:pPr>
        <w:ind w:left="280" w:hanging="272"/>
        <w:spacing w:after="0"/>
        <w:tabs>
          <w:tab w:leader="none" w:pos="2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right="320" w:firstLine="8"/>
        <w:spacing w:after="0"/>
        <w:tabs>
          <w:tab w:leader="none" w:pos="2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17, 2026</w:t>
      </w:r>
    </w:p>
    <w:p>
      <w:pPr>
        <w:ind w:left="3900"/>
        <w:spacing w:after="0" w:line="211" w:lineRule="auto"/>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Beth Gerstein</w:t>
      </w:r>
    </w:p>
    <w:p>
      <w:pPr>
        <w:ind w:left="3900"/>
        <w:spacing w:after="0" w:line="197" w:lineRule="auto"/>
        <w:rPr>
          <w:sz w:val="20"/>
          <w:szCs w:val="20"/>
          <w:color w:val="auto"/>
        </w:rPr>
      </w:pPr>
      <w:r>
        <w:rPr>
          <w:rFonts w:ascii="Times New Roman" w:cs="Times New Roman" w:eastAsia="Times New Roman" w:hAnsi="Times New Roman"/>
          <w:sz w:val="20"/>
          <w:szCs w:val="20"/>
          <w:color w:val="auto"/>
        </w:rPr>
        <w:t>Name: Beth Gerstein</w:t>
      </w:r>
    </w:p>
    <w:p>
      <w:pPr>
        <w:ind w:left="3900"/>
        <w:spacing w:after="0" w:line="211" w:lineRule="auto"/>
        <w:rPr>
          <w:sz w:val="20"/>
          <w:szCs w:val="20"/>
          <w:color w:val="auto"/>
        </w:rPr>
      </w:pPr>
      <w:r>
        <w:rPr>
          <w:rFonts w:ascii="Times New Roman" w:cs="Times New Roman" w:eastAsia="Times New Roman" w:hAnsi="Times New Roman"/>
          <w:sz w:val="20"/>
          <w:szCs w:val="20"/>
          <w:color w:val="auto"/>
        </w:rPr>
        <w:t>Title: Chief Executive Officer</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1" w:right="339" w:bottom="1440" w:gutter="0" w:footer="0" w:header="0"/>
        </w:sectPr>
      </w:pPr>
    </w:p>
    <w:bookmarkStart w:id="218" w:name="page219"/>
    <w:bookmarkEnd w:id="218"/>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180" w:lineRule="exact"/>
        <w:rPr>
          <w:sz w:val="20"/>
          <w:szCs w:val="20"/>
          <w:color w:val="auto"/>
        </w:rPr>
      </w:pPr>
    </w:p>
    <w:p>
      <w:pPr>
        <w:jc w:val="both"/>
        <w:ind w:right="200"/>
        <w:spacing w:after="0" w:line="230" w:lineRule="auto"/>
        <w:rPr>
          <w:sz w:val="20"/>
          <w:szCs w:val="20"/>
          <w:color w:val="auto"/>
        </w:rPr>
      </w:pPr>
      <w:r>
        <w:rPr>
          <w:rFonts w:ascii="Times New Roman" w:cs="Times New Roman" w:eastAsia="Times New Roman" w:hAnsi="Times New Roman"/>
          <w:sz w:val="20"/>
          <w:szCs w:val="20"/>
          <w:color w:val="auto"/>
        </w:rPr>
        <w:t>In connection with the Annual Report on Form 10-K of Brilliant Earth Group, Inc. (the “Company”) for the year ended December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76" w:lineRule="exact"/>
        <w:rPr>
          <w:sz w:val="20"/>
          <w:szCs w:val="20"/>
          <w:color w:val="auto"/>
        </w:rPr>
      </w:pPr>
    </w:p>
    <w:p>
      <w:pPr>
        <w:ind w:left="280" w:hanging="272"/>
        <w:spacing w:after="0"/>
        <w:tabs>
          <w:tab w:leader="none" w:pos="2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right="320" w:firstLine="8"/>
        <w:spacing w:after="0"/>
        <w:tabs>
          <w:tab w:leader="none" w:pos="2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17, 2026</w:t>
      </w:r>
    </w:p>
    <w:p>
      <w:pPr>
        <w:ind w:left="4540"/>
        <w:spacing w:after="0" w:line="211" w:lineRule="auto"/>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Jeffrey Kuo</w:t>
      </w:r>
    </w:p>
    <w:p>
      <w:pPr>
        <w:ind w:left="4540"/>
        <w:spacing w:after="0" w:line="197" w:lineRule="auto"/>
        <w:rPr>
          <w:sz w:val="20"/>
          <w:szCs w:val="20"/>
          <w:color w:val="auto"/>
        </w:rPr>
      </w:pPr>
      <w:r>
        <w:rPr>
          <w:rFonts w:ascii="Times New Roman" w:cs="Times New Roman" w:eastAsia="Times New Roman" w:hAnsi="Times New Roman"/>
          <w:sz w:val="20"/>
          <w:szCs w:val="20"/>
          <w:color w:val="auto"/>
        </w:rPr>
        <w:t>Name: Jeffrey Kuo</w:t>
      </w:r>
    </w:p>
    <w:p>
      <w:pPr>
        <w:ind w:left="4540"/>
        <w:spacing w:after="0" w:line="211" w:lineRule="auto"/>
        <w:rPr>
          <w:sz w:val="20"/>
          <w:szCs w:val="20"/>
          <w:color w:val="auto"/>
        </w:rPr>
      </w:pPr>
      <w:r>
        <w:rPr>
          <w:rFonts w:ascii="Times New Roman" w:cs="Times New Roman" w:eastAsia="Times New Roman" w:hAnsi="Times New Roman"/>
          <w:sz w:val="20"/>
          <w:szCs w:val="20"/>
          <w:color w:val="auto"/>
        </w:rPr>
        <w:t>Title: Chief Financial Officer</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Financial Officer</w:t>
      </w:r>
      <w:r>
        <w:rPr>
          <w:rFonts w:ascii="Times New Roman" w:cs="Times New Roman" w:eastAsia="Times New Roman" w:hAnsi="Times New Roman"/>
          <w:sz w:val="20"/>
          <w:szCs w:val="20"/>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2"/>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1)"/>
      <w:numFmt w:val="decimal"/>
      <w:start w:val="1"/>
    </w:lvl>
  </w:abstractNum>
  <w:abstractNum w:abstractNumId="30">
    <w:nsid w:val="51D9C564"/>
    <w:multiLevelType w:val="hybridMultilevel"/>
    <w:lvl w:ilvl="0">
      <w:lvlJc w:val="left"/>
      <w:lvlText w:val="(%1)"/>
      <w:numFmt w:val="upperLetter"/>
      <w:start w:val="2"/>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1."/>
      <w:numFmt w:val="lowerLetter"/>
      <w:start w:val="1"/>
    </w:lvl>
  </w:abstractNum>
  <w:abstractNum w:abstractNumId="34">
    <w:nsid w:val="42963E5A"/>
    <w:multiLevelType w:val="hybridMultilevel"/>
    <w:lvl w:ilvl="0">
      <w:lvlJc w:val="left"/>
      <w:lvlText w:val="%1."/>
      <w:numFmt w:val="lowerLetter"/>
      <w:start w:val="2"/>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1."/>
      <w:numFmt w:val="decimal"/>
      <w:start w:val="2"/>
    </w:lvl>
  </w:abstractNum>
  <w:abstractNum w:abstractNumId="40">
    <w:nsid w:val="4962813B"/>
    <w:multiLevelType w:val="hybridMultilevel"/>
    <w:lvl w:ilvl="0">
      <w:lvlJc w:val="left"/>
      <w:lvlText w:val="%1."/>
      <w:numFmt w:val="decimal"/>
      <w:start w:val="4"/>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1)"/>
      <w:numFmt w:val="lowerLetter"/>
      <w:start w:val="1"/>
    </w:lvl>
    <w:lvl w:ilvl="1">
      <w:lvlJc w:val="left"/>
      <w:lvlText w:val="(%2)"/>
      <w:numFmt w:val="lowerRoman"/>
      <w:start w:val="1"/>
    </w:lvl>
  </w:abstractNum>
  <w:abstractNum w:abstractNumId="43">
    <w:nsid w:val="14330624"/>
    <w:multiLevelType w:val="hybridMultilevel"/>
    <w:lvl w:ilvl="0">
      <w:lvlJc w:val="left"/>
      <w:lvlText w:val="(%1)"/>
      <w:numFmt w:val="lowerLetter"/>
      <w:start w:val="4"/>
    </w:lvl>
  </w:abstractNum>
  <w:abstractNum w:abstractNumId="44">
    <w:nsid w:val="7FFFCA11"/>
    <w:multiLevelType w:val="hybridMultilevel"/>
    <w:lvl w:ilvl="0">
      <w:lvlJc w:val="left"/>
      <w:lvlText w:val="(%1)"/>
      <w:numFmt w:val="lowerLetter"/>
      <w:start w:val="1"/>
    </w:lvl>
  </w:abstractNum>
  <w:abstractNum w:abstractNumId="45">
    <w:nsid w:val="1A27709E"/>
    <w:multiLevelType w:val="hybridMultilevel"/>
    <w:lvl w:ilvl="0">
      <w:lvlJc w:val="left"/>
      <w:lvlText w:val="(%1)"/>
      <w:numFmt w:val="lowerLetter"/>
      <w:start w:val="1"/>
    </w:lvl>
  </w:abstractNum>
  <w:abstractNum w:abstractNumId="46">
    <w:nsid w:val="71EA1109"/>
    <w:multiLevelType w:val="hybridMultilevel"/>
    <w:lvl w:ilvl="0">
      <w:lvlJc w:val="left"/>
      <w:lvlText w:val="(%1)"/>
      <w:numFmt w:val="lowerLetter"/>
      <w:start w:val="1"/>
    </w:lvl>
  </w:abstractNum>
  <w:abstractNum w:abstractNumId="47">
    <w:nsid w:val="100F59DC"/>
    <w:multiLevelType w:val="hybridMultilevel"/>
    <w:lvl w:ilvl="0">
      <w:lvlJc w:val="left"/>
      <w:lvlText w:val="(%1)"/>
      <w:numFmt w:val="lowerLetter"/>
      <w:start w:val="1"/>
    </w:lvl>
  </w:abstractNum>
  <w:abstractNum w:abstractNumId="48">
    <w:nsid w:val="7FB7E0AA"/>
    <w:multiLevelType w:val="hybridMultilevel"/>
    <w:lvl w:ilvl="0">
      <w:lvlJc w:val="left"/>
      <w:lvlText w:val="(%1)"/>
      <w:numFmt w:val="lowerLetter"/>
      <w:start w:val="3"/>
    </w:lvl>
  </w:abstractNum>
  <w:abstractNum w:abstractNumId="49">
    <w:nsid w:val="6EB5BD4"/>
    <w:multiLevelType w:val="hybridMultilevel"/>
    <w:lvl w:ilvl="0">
      <w:lvlJc w:val="left"/>
      <w:lvlText w:val="(%1)"/>
      <w:numFmt w:val="lowerLetter"/>
      <w:start w:val="1"/>
    </w:lvl>
  </w:abstractNum>
  <w:abstractNum w:abstractNumId="50">
    <w:nsid w:val="6F6DD9AC"/>
    <w:multiLevelType w:val="hybridMultilevel"/>
    <w:lvl w:ilvl="0">
      <w:lvlJc w:val="left"/>
      <w:lvlText w:val="(%1)"/>
      <w:numFmt w:val="lowerLetter"/>
      <w:start w:val="1"/>
    </w:lvl>
  </w:abstractNum>
  <w:abstractNum w:abstractNumId="51">
    <w:nsid w:val="94211F2"/>
    <w:multiLevelType w:val="hybridMultilevel"/>
    <w:lvl w:ilvl="0">
      <w:lvlJc w:val="left"/>
      <w:lvlText w:val="(%1)"/>
      <w:numFmt w:val="lowerLetter"/>
      <w:start w:val="1"/>
    </w:lvl>
  </w:abstractNum>
  <w:abstractNum w:abstractNumId="52">
    <w:nsid w:val="885E1B"/>
    <w:multiLevelType w:val="hybridMultilevel"/>
    <w:lvl w:ilvl="0">
      <w:lvlJc w:val="left"/>
      <w:lvlText w:val="(%1)"/>
      <w:numFmt w:val="lowerLetter"/>
      <w:start w:val="3"/>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lowerLetter"/>
      <w:start w:val="2"/>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1"/>
      <w:numFmt w:val="upperLetter"/>
      <w:start w:val="1"/>
    </w:lvl>
    <w:lvl w:ilvl="1">
      <w:lvlJc w:val="left"/>
      <w:lvlText w:val="(%2)"/>
      <w:numFmt w:val="lowerLetter"/>
      <w:start w:val="1"/>
    </w:lvl>
  </w:abstractNum>
  <w:abstractNum w:abstractNumId="57">
    <w:nsid w:val="3222E7CD"/>
    <w:multiLevelType w:val="hybridMultilevel"/>
    <w:lvl w:ilvl="0">
      <w:lvlJc w:val="left"/>
      <w:lvlText w:val="(%1)"/>
      <w:numFmt w:val="upperLetter"/>
      <w:start w:val="2"/>
    </w:lvl>
    <w:lvl w:ilvl="1">
      <w:lvlJc w:val="left"/>
      <w:lvlText w:val="(%2)"/>
      <w:numFmt w:val="lowerLetter"/>
      <w:start w:val="2"/>
    </w:lvl>
  </w:abstractNum>
  <w:abstractNum w:abstractNumId="58">
    <w:nsid w:val="74DE0EE3"/>
    <w:multiLevelType w:val="hybridMultilevel"/>
    <w:lvl w:ilvl="0">
      <w:lvlJc w:val="left"/>
      <w:lvlText w:val="(%1)"/>
      <w:numFmt w:val="lowerLetter"/>
      <w:start w:val="4"/>
    </w:lvl>
  </w:abstractNum>
  <w:abstractNum w:abstractNumId="59">
    <w:nsid w:val="68EBC550"/>
    <w:multiLevelType w:val="hybridMultilevel"/>
    <w:lvl w:ilvl="0">
      <w:lvlJc w:val="left"/>
      <w:lvlText w:val="%1"/>
      <w:numFmt w:val="lowerLetter"/>
      <w:start w:val="1"/>
    </w:lvl>
    <w:lvl w:ilvl="1">
      <w:lvlJc w:val="left"/>
      <w:lvlText w:val="(%2)"/>
      <w:numFmt w:val="lowerLetter"/>
      <w:start w:val="1"/>
    </w:lvl>
  </w:abstractNum>
  <w:abstractNum w:abstractNumId="60">
    <w:nsid w:val="2DF6D648"/>
    <w:multiLevelType w:val="hybridMultilevel"/>
    <w:lvl w:ilvl="0">
      <w:lvlJc w:val="left"/>
      <w:lvlText w:val="(%1)"/>
      <w:numFmt w:val="lowerLetter"/>
      <w:start w:val="4"/>
    </w:lvl>
    <w:lvl w:ilvl="1">
      <w:lvlJc w:val="left"/>
      <w:lvlText w:val="%2"/>
      <w:numFmt w:val="lowerLetter"/>
      <w:start w:val="1"/>
    </w:lvl>
  </w:abstractNum>
  <w:abstractNum w:abstractNumId="61">
    <w:nsid w:val="46B7D447"/>
    <w:multiLevelType w:val="hybridMultilevel"/>
    <w:lvl w:ilvl="0">
      <w:lvlJc w:val="left"/>
      <w:lvlText w:val="(%1)"/>
      <w:numFmt w:val="lowerLetter"/>
      <w:start w:val="5"/>
    </w:lvl>
    <w:lvl w:ilvl="1">
      <w:lvlJc w:val="left"/>
      <w:lvlText w:val="(%2)"/>
      <w:numFmt w:val="lowerLetter"/>
      <w:start w:val="6"/>
    </w:lvl>
  </w:abstractNum>
  <w:abstractNum w:abstractNumId="62">
    <w:nsid w:val="4A2AC315"/>
    <w:multiLevelType w:val="hybridMultilevel"/>
    <w:lvl w:ilvl="0">
      <w:lvlJc w:val="left"/>
      <w:lvlText w:val="(%1)"/>
      <w:numFmt w:val="lowerLetter"/>
      <w:start w:val="8"/>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1)"/>
      <w:numFmt w:val="lowerLetter"/>
      <w:start w:val="2"/>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lowerLetter"/>
      <w:start w:val="1"/>
    </w:lvl>
  </w:abstractNum>
  <w:abstractNum w:abstractNumId="69">
    <w:nsid w:val="7F01579B"/>
    <w:multiLevelType w:val="hybridMultilevel"/>
    <w:lvl w:ilvl="0">
      <w:lvlJc w:val="left"/>
      <w:lvlText w:val="%1"/>
      <w:numFmt w:val="lowerLetter"/>
      <w:start w:val="1"/>
    </w:lvl>
    <w:lvl w:ilvl="1">
      <w:lvlJc w:val="left"/>
      <w:lvlText w:val="(%2)"/>
      <w:numFmt w:val="lowerLetter"/>
      <w:start w:val="1"/>
    </w:lvl>
  </w:abstractNum>
  <w:abstractNum w:abstractNumId="70">
    <w:nsid w:val="49DA307D"/>
    <w:multiLevelType w:val="hybridMultilevel"/>
    <w:lvl w:ilvl="0">
      <w:lvlJc w:val="left"/>
      <w:lvlText w:val="(%1)"/>
      <w:numFmt w:val="lowerLetter"/>
      <w:start w:val="9"/>
    </w:lvl>
    <w:lvl w:ilvl="1">
      <w:lvlJc w:val="left"/>
      <w:lvlText w:val="(%2)"/>
      <w:numFmt w:val="lowerLetter"/>
      <w:start w:val="2"/>
    </w:lvl>
  </w:abstractNum>
  <w:abstractNum w:abstractNumId="71">
    <w:nsid w:val="7055A5F5"/>
    <w:multiLevelType w:val="hybridMultilevel"/>
    <w:lvl w:ilvl="0">
      <w:lvlJc w:val="left"/>
      <w:lvlText w:val="(%1)"/>
      <w:numFmt w:val="lowerLetter"/>
      <w:start w:val="1"/>
    </w:lvl>
    <w:lvl w:ilvl="1">
      <w:lvlJc w:val="left"/>
      <w:lvlText w:val="(%2)"/>
      <w:numFmt w:val="lowerRoman"/>
      <w:start w:val="1"/>
    </w:lvl>
  </w:abstractNum>
  <w:abstractNum w:abstractNumId="72">
    <w:nsid w:val="5FB8370B"/>
    <w:multiLevelType w:val="hybridMultilevel"/>
    <w:lvl w:ilvl="0">
      <w:lvlJc w:val="left"/>
      <w:lvlText w:val="(%1)"/>
      <w:numFmt w:val="lowerLetter"/>
      <w:start w:val="4"/>
    </w:lvl>
  </w:abstractNum>
  <w:abstractNum w:abstractNumId="73">
    <w:nsid w:val="50801EE1"/>
    <w:multiLevelType w:val="hybridMultilevel"/>
    <w:lvl w:ilvl="0">
      <w:lvlJc w:val="left"/>
      <w:lvlText w:val="(%1)"/>
      <w:numFmt w:val="lowerLetter"/>
      <w:start w:val="1"/>
    </w:lvl>
    <w:lvl w:ilvl="1">
      <w:lvlJc w:val="left"/>
      <w:lvlText w:val="(%2)"/>
      <w:numFmt w:val="lowerRoman"/>
      <w:start w:val="1"/>
    </w:lvl>
  </w:abstractNum>
  <w:abstractNum w:abstractNumId="74">
    <w:nsid w:val="488AC1A"/>
    <w:multiLevelType w:val="hybridMultilevel"/>
    <w:lvl w:ilvl="0">
      <w:lvlJc w:val="left"/>
      <w:lvlText w:val="(%1)"/>
      <w:numFmt w:val="lowerLetter"/>
      <w:start w:val="3"/>
    </w:lvl>
  </w:abstractNum>
  <w:abstractNum w:abstractNumId="75">
    <w:nsid w:val="5FB8011C"/>
    <w:multiLevelType w:val="hybridMultilevel"/>
    <w:lvl w:ilvl="0">
      <w:lvlJc w:val="left"/>
      <w:lvlText w:val="(%1)"/>
      <w:numFmt w:val="lowerLetter"/>
      <w:start w:val="2"/>
    </w:lvl>
  </w:abstractNum>
  <w:abstractNum w:abstractNumId="76">
    <w:nsid w:val="6AA78F7F"/>
    <w:multiLevelType w:val="hybridMultilevel"/>
    <w:lvl w:ilvl="0">
      <w:lvlJc w:val="left"/>
      <w:lvlText w:val="(%1)"/>
      <w:numFmt w:val="lowerLetter"/>
      <w:start w:val="1"/>
    </w:lvl>
  </w:abstractNum>
  <w:abstractNum w:abstractNumId="77">
    <w:nsid w:val="7672BD23"/>
    <w:multiLevelType w:val="hybridMultilevel"/>
    <w:lvl w:ilvl="0">
      <w:lvlJc w:val="left"/>
      <w:lvlText w:val="(%1)"/>
      <w:numFmt w:val="lowerLetter"/>
      <w:start w:val="1"/>
    </w:lvl>
  </w:abstractNum>
  <w:abstractNum w:abstractNumId="78">
    <w:nsid w:val="6FC75AF8"/>
    <w:multiLevelType w:val="hybridMultilevel"/>
    <w:lvl w:ilvl="0">
      <w:lvlJc w:val="left"/>
      <w:lvlText w:val="(%1)"/>
      <w:numFmt w:val="lowerLetter"/>
      <w:start w:val="2"/>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2"/>
    </w:lvl>
  </w:abstractNum>
  <w:abstractNum w:abstractNumId="81">
    <w:nsid w:val="5F3534A4"/>
    <w:multiLevelType w:val="hybridMultilevel"/>
    <w:lvl w:ilvl="0">
      <w:lvlJc w:val="left"/>
      <w:lvlText w:val="(%1)"/>
      <w:numFmt w:val="lowerLetter"/>
      <w:start w:val="1"/>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8"/>
    </w:lvl>
  </w:abstractNum>
  <w:abstractNum w:abstractNumId="86">
    <w:nsid w:val="14FCE74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7">
    <w:nsid w:val="6A3DD3E8"/>
    <w:multiLevelType w:val="hybridMultilevel"/>
    <w:lvl w:ilvl="0">
      <w:lvlJc w:val="left"/>
      <w:lvlText w:val="(%1)"/>
      <w:numFmt w:val="lowerRoman"/>
      <w:start w:val="5"/>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1)"/>
      <w:numFmt w:val="lowerLetter"/>
      <w:start w:val="1"/>
    </w:lvl>
    <w:lvl w:ilvl="1">
      <w:lvlJc w:val="left"/>
      <w:lvlText w:val="%2."/>
      <w:numFmt w:val="lowerRoman"/>
      <w:start w:val="1"/>
    </w:lvl>
  </w:abstractNum>
  <w:abstractNum w:abstractNumId="92">
    <w:nsid w:val="5092CA79"/>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93">
    <w:nsid w:val="1D545C4D"/>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94">
    <w:nsid w:val="59ADEA3D"/>
    <w:multiLevelType w:val="hybridMultilevel"/>
    <w:lvl w:ilvl="0">
      <w:lvlJc w:val="left"/>
      <w:lvlText w:val="(%1)"/>
      <w:numFmt w:val="lowerLetter"/>
      <w:start w:val="5"/>
    </w:lvl>
  </w:abstractNum>
  <w:abstractNum w:abstractNumId="95">
    <w:nsid w:val="288F1A34"/>
    <w:multiLevelType w:val="hybridMultilevel"/>
    <w:lvl w:ilvl="0">
      <w:lvlJc w:val="left"/>
      <w:lvlText w:val="(%1)"/>
      <w:numFmt w:val="lowerLetter"/>
      <w:start w:val="1"/>
    </w:lvl>
    <w:lvl w:ilvl="1">
      <w:lvlJc w:val="left"/>
      <w:lvlText w:val="%2."/>
      <w:numFmt w:val="lowerRoman"/>
      <w:start w:val="1"/>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2"/>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lowerRoman"/>
      <w:start w:val="1"/>
    </w:lvl>
  </w:abstractNum>
  <w:abstractNum w:abstractNumId="101">
    <w:nsid w:val="53584BCB"/>
    <w:multiLevelType w:val="hybridMultilevel"/>
    <w:lvl w:ilvl="0">
      <w:lvlJc w:val="left"/>
      <w:lvlText w:val="%1"/>
      <w:numFmt w:val="lowerLetter"/>
      <w:start w:val="1"/>
    </w:lvl>
    <w:lvl w:ilvl="1">
      <w:lvlJc w:val="left"/>
      <w:lvlText w:val="%2."/>
      <w:numFmt w:val="lowerRoman"/>
      <w:start w:val="4"/>
    </w:lvl>
  </w:abstractNum>
  <w:abstractNum w:abstractNumId="102">
    <w:nsid w:val="415E286C"/>
    <w:multiLevelType w:val="hybridMultilevel"/>
    <w:lvl w:ilvl="0">
      <w:lvlJc w:val="left"/>
      <w:lvlText w:val="(%1)"/>
      <w:numFmt w:val="lowerLetter"/>
      <w:start w:val="2"/>
    </w:lvl>
    <w:lvl w:ilvl="1">
      <w:lvlJc w:val="left"/>
      <w:lvlText w:val="%2"/>
      <w:numFmt w:val="lowerRoman"/>
      <w:start w:val="1"/>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2"/>
    </w:lvl>
  </w:abstractNum>
  <w:abstractNum w:abstractNumId="105">
    <w:nsid w:val="45E6D486"/>
    <w:multiLevelType w:val="hybridMultilevel"/>
    <w:lvl w:ilvl="0">
      <w:lvlJc w:val="left"/>
      <w:lvlText w:val="%1"/>
      <w:numFmt w:val="decimal"/>
      <w:start w:val="1"/>
    </w:lvl>
    <w:lvl w:ilvl="1">
      <w:lvlJc w:val="left"/>
      <w:lvlText w:val="(%2)"/>
      <w:numFmt w:val="lowerLetter"/>
      <w:start w:val="1"/>
    </w:lvl>
  </w:abstractNum>
  <w:abstractNum w:abstractNumId="106">
    <w:nsid w:val="5C10FE21"/>
    <w:multiLevelType w:val="hybridMultilevel"/>
    <w:lvl w:ilvl="0">
      <w:lvlJc w:val="left"/>
      <w:lvlText w:val="(%1)"/>
      <w:numFmt w:val="decimal"/>
      <w:start w:val="30"/>
    </w:lvl>
    <w:lvl w:ilvl="1">
      <w:lvlJc w:val="left"/>
      <w:lvlText w:val="%2"/>
      <w:numFmt w:val="lowerLetter"/>
      <w:start w:val="1"/>
    </w:lvl>
  </w:abstractNum>
  <w:abstractNum w:abstractNumId="107">
    <w:nsid w:val="E7FFA2B"/>
    <w:multiLevelType w:val="hybridMultilevel"/>
    <w:lvl w:ilvl="0">
      <w:lvlJc w:val="left"/>
      <w:lvlText w:val="(%1)"/>
      <w:numFmt w:val="decimal"/>
      <w:start w:val="180"/>
    </w:lvl>
    <w:lvl w:ilvl="1">
      <w:lvlJc w:val="left"/>
      <w:lvlText w:val="(%2)"/>
      <w:numFmt w:val="lowerLetter"/>
      <w:start w:val="2"/>
    </w:lvl>
  </w:abstractNum>
  <w:abstractNum w:abstractNumId="108">
    <w:nsid w:val="3C5991AA"/>
    <w:multiLevelType w:val="hybridMultilevel"/>
    <w:lvl w:ilvl="0">
      <w:lvlJc w:val="left"/>
      <w:lvlText w:val="(%1)"/>
      <w:numFmt w:val="decimal"/>
      <w:start w:val="30"/>
    </w:lvl>
  </w:abstractNum>
  <w:abstractNum w:abstractNumId="109">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0">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111">
    <w:nsid w:val="39B7AAA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12">
    <w:nsid w:val="2B0D8DB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13">
    <w:nsid w:val="6C80EC70"/>
    <w:multiLevelType w:val="hybridMultilevel"/>
    <w:lvl w:ilvl="0">
      <w:lvlJc w:val="left"/>
      <w:lvlText w:val="(%1)"/>
      <w:numFmt w:val="lowerLetter"/>
      <w:start w:val="4"/>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6"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36" Type="http://schemas.openxmlformats.org/officeDocument/2006/relationships/hyperlink" Target="https://www.sec.gov/Archives/edgar/data/1866757/000114036125046408/ny20061505x1_ex3-1.htm" TargetMode="External"/><Relationship Id="rId137" Type="http://schemas.openxmlformats.org/officeDocument/2006/relationships/hyperlink" Target="https://www.sec.gov/Archives/edgar/data/1866757/000114036125046408/ny20061505x1_ex3-2.htm" TargetMode="External"/><Relationship Id="rId138" Type="http://schemas.openxmlformats.org/officeDocument/2006/relationships/hyperlink" Target="https://www.sec.gov/Archives/edgar/data/0001866757/000119312521284281/d61525dex101.htm" TargetMode="External"/><Relationship Id="rId139" Type="http://schemas.openxmlformats.org/officeDocument/2006/relationships/hyperlink" Target="https://www.sec.gov/Archives/edgar/data/0001866757/000119312521284281/d61525dex102.htm" TargetMode="External"/><Relationship Id="rId140" Type="http://schemas.openxmlformats.org/officeDocument/2006/relationships/hyperlink" Target="https://www.sec.gov/Archives/edgar/data/0001866757/000119312521284281/d61525dex103.htm" TargetMode="External"/><Relationship Id="rId141" Type="http://schemas.openxmlformats.org/officeDocument/2006/relationships/hyperlink" Target="https://www.sec.gov/Archives/edgar/data/0001866757/000119312521284281/d61525dex104.htm" TargetMode="External"/><Relationship Id="rId142" Type="http://schemas.openxmlformats.org/officeDocument/2006/relationships/hyperlink" Target="https://www.sec.gov/Archives/edgar/data/1866757/000186675723000097/exhibit101conformed510exec.htm" TargetMode="External"/><Relationship Id="rId143" Type="http://schemas.openxmlformats.org/officeDocument/2006/relationships/hyperlink" Target="https://www.sec.gov/Archives/edgar/data/1866757/000186675723000097/exhibit102conformedesgexec.htm" TargetMode="External"/><Relationship Id="rId144" Type="http://schemas.openxmlformats.org/officeDocument/2006/relationships/hyperlink" Target="https://www.sec.gov/Archives/edgar/data/1866757/000186675723000097/exhibit103conformedkuoexec.htm" TargetMode="External"/><Relationship Id="rId145" Type="http://schemas.openxmlformats.org/officeDocument/2006/relationships/hyperlink" Target="https://www.sec.gov/Archives/edgar/data/1866757/000186675724000166/ex101conformedsdexecutiv.htm" TargetMode="External"/><Relationship Id="rId147" Type="http://schemas.openxmlformats.org/officeDocument/2006/relationships/hyperlink" Target="https://www.sec.gov/Archives/edgar/data/0001866757/000119312521272138/d64351dex109.htm" TargetMode="External"/><Relationship Id="rId148" Type="http://schemas.openxmlformats.org/officeDocument/2006/relationships/hyperlink" Target="https://www.sec.gov/Archives/edgar/data/0001866757/000119312521272138/d64351dex1014.htm" TargetMode="External"/><Relationship Id="rId149" Type="http://schemas.openxmlformats.org/officeDocument/2006/relationships/hyperlink" Target="https://www.sec.gov/Archives/edgar/data/1866757/000186675725000038/exhibit1017amendmentno1t.htm" TargetMode="External"/><Relationship Id="rId150" Type="http://schemas.openxmlformats.org/officeDocument/2006/relationships/hyperlink" Target="https://www.sec.gov/Archives/edgar/data/1866757/000186675725000038/exhibit191brltinsidertra.htm" TargetMode="External"/><Relationship Id="rId151" Type="http://schemas.openxmlformats.org/officeDocument/2006/relationships/hyperlink" Target="https://www.sec.gov/Archives/edgar/data/1866757/000186675722000064/exhibit21.htm" TargetMode="External"/><Relationship Id="rId152" Type="http://schemas.openxmlformats.org/officeDocument/2006/relationships/hyperlink" Target="https://www.sec.gov/Archives/edgar/data/1866757/000186675724000040/exhibit971policyrecove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2026-03-17T15:35:30Z</dcterms:created>
  <dcterms:modified xsi:type="dcterms:W3CDTF">2026-03-17T15:35:30Z</dcterms:modified>
</cp:coreProperties>
</file>