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dd5c2d45bc4e42ffbdc11498e154c1dd_7">
        <w:r>
          <w:rPr>
            <w:rStyle w:val="InternetLink"/>
            <w:rFonts w:ascii="Times New Roman;serif" w:hAnsi="Times New Roman;serif"/>
            <w:b w:val="false"/>
            <w:color w:val="0000FF"/>
            <w:sz w:val="20"/>
            <w:u w:val="single"/>
          </w:rPr>
          <w:t>Table of Contents</w:t>
        </w:r>
      </w:hyperlink>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Brilliant Earth Group, Inc.</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300 Grant Avenue, Third Floor</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(800) 691-0952</w:t>
      </w:r>
    </w:p>
    <w:p>
      <w:pPr>
        <w:pStyle w:val="TextBody"/>
        <w:bidi w:val="0"/>
        <w:spacing w:lineRule="auto" w:line="216"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The Nasdaq Global Market </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both"/>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erif" w:hAnsi="Times New Roman;serif"/>
          <w:b w:val="false"/>
          <w:color w:val="000000"/>
          <w:sz w:val="16"/>
        </w:rPr>
        <w:t>large accelerated filer,</w:t>
      </w:r>
      <w:r>
        <w:rPr>
          <w:color w:val="000000"/>
        </w:rPr>
        <w:t>” “</w:t>
      </w:r>
      <w:r>
        <w:rPr>
          <w:rFonts w:ascii="Times New Roman;serif" w:hAnsi="Times New Roman;serif"/>
          <w:b w:val="false"/>
          <w:color w:val="000000"/>
          <w:sz w:val="16"/>
        </w:rPr>
        <w:t>accelerated filer,</w:t>
      </w:r>
      <w:r>
        <w:rPr>
          <w:color w:val="000000"/>
        </w:rPr>
        <w:t>” “</w:t>
      </w:r>
      <w:r>
        <w:rPr>
          <w:rFonts w:ascii="Times New Roman;serif" w:hAnsi="Times New Roman;serif"/>
          <w:b w:val="false"/>
          <w:color w:val="000000"/>
          <w:sz w:val="16"/>
        </w:rPr>
        <w:t>smaller reporting company</w:t>
      </w:r>
      <w:r>
        <w:rPr>
          <w:color w:val="000000"/>
        </w:rPr>
        <w:t xml:space="preserve">” </w:t>
      </w:r>
      <w:r>
        <w:rPr>
          <w:rFonts w:ascii="Times New Roman;serif" w:hAnsi="Times New Roman;serif"/>
          <w:b w:val="false"/>
          <w:color w:val="000000"/>
          <w:sz w:val="16"/>
        </w:rPr>
        <w:t xml:space="preserve">and </w:t>
      </w:r>
      <w:r>
        <w:rPr>
          <w:color w:val="000000"/>
        </w:rPr>
        <w:t>“</w:t>
      </w:r>
      <w:r>
        <w:rPr>
          <w:rFonts w:ascii="Times New Roman;serif" w:hAnsi="Times New Roman;serif"/>
          <w:b w:val="false"/>
          <w:color w:val="000000"/>
          <w:sz w:val="16"/>
        </w:rPr>
        <w:t>emerging growth company</w:t>
      </w:r>
      <w:r>
        <w:rPr>
          <w:color w:val="000000"/>
        </w:rPr>
        <w:t xml:space="preserve">” </w:t>
      </w:r>
      <w:r>
        <w:rPr>
          <w:rFonts w:ascii="Times New Roman;serif" w:hAnsi="Times New Roman;serif"/>
          <w:b w:val="false"/>
          <w:color w:val="000000"/>
          <w:sz w:val="16"/>
        </w:rPr>
        <w:t>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6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bl>
    <w:p>
      <w:pPr>
        <w:pStyle w:val="TextBody"/>
        <w:bidi w:val="0"/>
        <w:spacing w:lineRule="auto" w:line="288" w:before="0" w:after="60"/>
        <w:ind w:left="0" w:right="0" w:firstLine="9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405"/>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300" w:before="0" w:after="2"/>
        <w:jc w:val="both"/>
        <w:rPr/>
      </w:pPr>
      <w:r>
        <w:rPr>
          <w:rFonts w:ascii="Times New Roman;serif" w:hAnsi="Times New Roman;serif"/>
          <w:b w:val="false"/>
          <w:color w:val="000000"/>
          <w:sz w:val="16"/>
        </w:rPr>
        <w:t xml:space="preserve">As of </w:t>
      </w:r>
      <w:r>
        <w:rPr>
          <w:rFonts w:ascii="Times New Roman;serif" w:hAnsi="Times New Roman;serif"/>
          <w:b w:val="false"/>
          <w:color w:val="000000"/>
          <w:sz w:val="16"/>
          <w:shd w:fill="FFFFFF" w:val="clear"/>
        </w:rPr>
        <w:t>November 3, 2025</w:t>
      </w:r>
      <w:r>
        <w:rPr>
          <w:rFonts w:ascii="Times New Roman;serif" w:hAnsi="Times New Roman;serif"/>
          <w:b w:val="false"/>
          <w:color w:val="000000"/>
          <w:sz w:val="16"/>
        </w:rPr>
        <w:t xml:space="preserve">, there were </w:t>
      </w:r>
      <w:r>
        <w:rPr>
          <w:rFonts w:ascii="Times New Roman;serif" w:hAnsi="Times New Roman;serif"/>
          <w:b w:val="false"/>
          <w:color w:val="000000"/>
          <w:sz w:val="16"/>
          <w:shd w:fill="FFFFFF" w:val="clear"/>
        </w:rPr>
        <w:t>15,170,213</w:t>
      </w:r>
      <w:r>
        <w:rPr>
          <w:color w:val="000000"/>
        </w:rPr>
        <w:t xml:space="preserve"> </w:t>
      </w:r>
      <w:r>
        <w:rPr>
          <w:rFonts w:ascii="Times New Roman;serif" w:hAnsi="Times New Roman;serif"/>
          <w:b w:val="false"/>
          <w:color w:val="000000"/>
          <w:sz w:val="16"/>
        </w:rPr>
        <w:t xml:space="preserve">shares of the registrant's Class A common stock, $0.0001 par value per share, outstanding, </w:t>
      </w:r>
      <w:r>
        <w:rPr>
          <w:rFonts w:ascii="Times New Roman;serif" w:hAnsi="Times New Roman;serif"/>
          <w:b w:val="false"/>
          <w:color w:val="000000"/>
          <w:sz w:val="16"/>
          <w:shd w:fill="FFFFFF" w:val="clear"/>
        </w:rPr>
        <w:t>35,822,342</w:t>
      </w:r>
      <w:r>
        <w:rPr>
          <w:color w:val="000000"/>
        </w:rPr>
        <w:t xml:space="preserve"> </w:t>
      </w:r>
      <w:r>
        <w:rPr>
          <w:rFonts w:ascii="Times New Roman;serif" w:hAnsi="Times New Roman;serif"/>
          <w:b w:val="false"/>
          <w:color w:val="000000"/>
          <w:sz w:val="16"/>
        </w:rPr>
        <w:t xml:space="preserve">shares of the registrant's Class B common stock, $0.0001 par value per share, outstanding, </w:t>
      </w:r>
      <w:r>
        <w:rPr>
          <w:rFonts w:ascii="Times New Roman;serif" w:hAnsi="Times New Roman;serif"/>
          <w:b w:val="false"/>
          <w:color w:val="000000"/>
          <w:sz w:val="16"/>
          <w:shd w:fill="FFFFFF" w:val="clear"/>
        </w:rPr>
        <w:t>49,119,976</w:t>
      </w:r>
      <w:r>
        <w:rPr>
          <w:color w:val="000000"/>
        </w:rPr>
        <w:t xml:space="preserve"> </w:t>
      </w:r>
      <w:r>
        <w:rPr>
          <w:rFonts w:ascii="Times New Roman;serif" w:hAnsi="Times New Roman;serif"/>
          <w:b w:val="false"/>
          <w:color w:val="000000"/>
          <w:sz w:val="16"/>
        </w:rPr>
        <w:t>shares of the registrant's Class C common stock, $0.0001 par value per share, outstanding an</w:t>
      </w:r>
      <w:r>
        <w:rPr>
          <w:rFonts w:ascii="Times New Roman;serif" w:hAnsi="Times New Roman;serif"/>
          <w:b w:val="false"/>
          <w:color w:val="000000"/>
          <w:sz w:val="16"/>
          <w:shd w:fill="FFFFFF" w:val="clear"/>
        </w:rPr>
        <w:t>d no sh</w:t>
      </w:r>
      <w:r>
        <w:rPr>
          <w:rFonts w:ascii="Times New Roman;serif" w:hAnsi="Times New Roman;serif"/>
          <w:b w:val="false"/>
          <w:color w:val="000000"/>
          <w:sz w:val="16"/>
        </w:rPr>
        <w:t>ares of the registrant's Class D common stock,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before="0" w:after="2"/>
        <w:jc w:val="center"/>
        <w:rPr/>
      </w:pPr>
      <w:r>
        <w:rPr/>
      </w:r>
    </w:p>
    <w:tbl>
      <w:tblPr>
        <w:tblW w:w="8536" w:type="dxa"/>
        <w:jc w:val="left"/>
        <w:tblInd w:w="0" w:type="dxa"/>
        <w:tblLayout w:type="fixed"/>
        <w:tblCellMar>
          <w:top w:w="28" w:type="dxa"/>
          <w:left w:w="28" w:type="dxa"/>
          <w:bottom w:w="28" w:type="dxa"/>
          <w:right w:w="28" w:type="dxa"/>
        </w:tblCellMar>
      </w:tblPr>
      <w:tblGrid>
        <w:gridCol w:w="2892"/>
        <w:gridCol w:w="2545"/>
        <w:gridCol w:w="2558"/>
        <w:gridCol w:w="158"/>
        <w:gridCol w:w="158"/>
        <w:gridCol w:w="225"/>
      </w:tblGrid>
      <w:tr>
        <w:trPr/>
        <w:tc>
          <w:tcPr>
            <w:tcW w:w="289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6">
              <w:r>
                <w:rPr>
                  <w:rStyle w:val="InternetLink"/>
                  <w:rFonts w:ascii="Times New Roman;serif" w:hAnsi="Times New Roman;serif"/>
                  <w:b w:val="false"/>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9">
              <w:r>
                <w:rPr>
                  <w:rStyle w:val="InternetLink"/>
                  <w:rFonts w:ascii="Times New Roman;serif" w:hAnsi="Times New Roman;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9">
              <w:r>
                <w:rPr>
                  <w:rStyle w:val="InternetLink"/>
                  <w:rFonts w:ascii="Times New Roman;serif" w:hAnsi="Times New Roman;serif"/>
                  <w:b w:val="false"/>
                  <w:color w:val="0000FF"/>
                  <w:sz w:val="20"/>
                  <w:u w:val="single"/>
                </w:rPr>
                <w:t>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70">
              <w:r>
                <w:rPr>
                  <w:rStyle w:val="InternetLink"/>
                  <w:rFonts w:ascii="Times New Roman;serif" w:hAnsi="Times New Roman;serif"/>
                  <w:b w:val="false"/>
                  <w:color w:val="0000FF"/>
                  <w:sz w:val="20"/>
                  <w:u w:val="single"/>
                </w:rPr>
                <w:t>23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0">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00">
              <w:r>
                <w:rPr>
                  <w:rStyle w:val="InternetLink"/>
                  <w:rFonts w:ascii="Times New Roman;serif" w:hAnsi="Times New Roman;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3">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03">
              <w:r>
                <w:rPr>
                  <w:rStyle w:val="InternetLink"/>
                  <w:rFonts w:ascii="Times New Roman;serif" w:hAnsi="Times New Roman;serif"/>
                  <w:b w:val="false"/>
                  <w:color w:val="0000FF"/>
                  <w:sz w:val="20"/>
                  <w:u w:val="singl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6">
              <w:r>
                <w:rPr>
                  <w:rStyle w:val="InternetLink"/>
                  <w:rFonts w:ascii="Times New Roman;serif" w:hAnsi="Times New Roman;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dd5c2d45bc4e42ffbdc11498e154c1dd_109">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09">
              <w:r>
                <w:rPr>
                  <w:rStyle w:val="InternetLink"/>
                  <w:rFonts w:ascii="Times New Roman;serif" w:hAnsi="Times New Roman;serif"/>
                  <w:b w:val="false"/>
                  <w:color w:val="0000FF"/>
                  <w:sz w:val="20"/>
                  <w:u w:val="single"/>
                </w:rPr>
                <w:t>40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12">
              <w:r>
                <w:rPr>
                  <w:rStyle w:val="InternetLink"/>
                  <w:rFonts w:ascii="Times New Roman;serif" w:hAnsi="Times New Roman;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12">
              <w:r>
                <w:rPr>
                  <w:rStyle w:val="InternetLink"/>
                  <w:rFonts w:ascii="Times New Roman;serif" w:hAnsi="Times New Roman;serif"/>
                  <w:b w:val="false"/>
                  <w:color w:val="0000FF"/>
                  <w:sz w:val="20"/>
                  <w:u w:val="single"/>
                </w:rPr>
                <w:t>40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15">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15">
              <w:r>
                <w:rPr>
                  <w:rStyle w:val="InternetLink"/>
                  <w:rFonts w:ascii="Times New Roman;serif" w:hAnsi="Times New Roman;serif"/>
                  <w:b w:val="false"/>
                  <w:color w:val="0000FF"/>
                  <w:sz w:val="20"/>
                  <w:u w:val="single"/>
                </w:rPr>
                <w:t>40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18">
              <w:r>
                <w:rPr>
                  <w:rStyle w:val="InternetLink"/>
                  <w:rFonts w:ascii="Times New Roman;serif" w:hAnsi="Times New Roman;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18">
              <w:r>
                <w:rPr>
                  <w:rStyle w:val="InternetLink"/>
                  <w:rFonts w:ascii="Times New Roman;serif" w:hAnsi="Times New Roman;serif"/>
                  <w:b w:val="false"/>
                  <w:color w:val="0000FF"/>
                  <w:sz w:val="20"/>
                  <w:u w:val="single"/>
                </w:rPr>
                <w:t>41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21">
              <w:r>
                <w:rPr>
                  <w:rStyle w:val="InternetLink"/>
                  <w:rFonts w:ascii="Times New Roman;serif" w:hAnsi="Times New Roman;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21">
              <w:r>
                <w:rPr>
                  <w:rStyle w:val="InternetLink"/>
                  <w:rFonts w:ascii="Times New Roman;serif" w:hAnsi="Times New Roman;serif"/>
                  <w:b w:val="false"/>
                  <w:color w:val="0000FF"/>
                  <w:sz w:val="20"/>
                  <w:u w:val="single"/>
                </w:rPr>
                <w:t>41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24">
              <w:r>
                <w:rPr>
                  <w:rStyle w:val="InternetLink"/>
                  <w:rFonts w:ascii="Times New Roman;serif" w:hAnsi="Times New Roman;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24">
              <w:r>
                <w:rPr>
                  <w:rStyle w:val="InternetLink"/>
                  <w:rFonts w:ascii="Times New Roman;serif" w:hAnsi="Times New Roman;serif"/>
                  <w:b w:val="false"/>
                  <w:color w:val="0000FF"/>
                  <w:sz w:val="20"/>
                  <w:u w:val="single"/>
                </w:rPr>
                <w:t>41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30">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30">
              <w:r>
                <w:rPr>
                  <w:rStyle w:val="InternetLink"/>
                  <w:rFonts w:ascii="Times New Roman;serif" w:hAnsi="Times New Roman;serif"/>
                  <w:b w:val="false"/>
                  <w:color w:val="0000FF"/>
                  <w:sz w:val="20"/>
                  <w:u w:val="single"/>
                </w:rPr>
                <w:t>43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dd5c2d45bc4e42ffbdc11498e154c1dd_133">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dd5c2d45bc4e42ffbdc11498e154c1dd_133">
              <w:r>
                <w:rPr>
                  <w:rStyle w:val="InternetLink"/>
                  <w:rFonts w:ascii="Times New Roman;serif" w:hAnsi="Times New Roman;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before="0" w:after="2"/>
        <w:jc w:val="center"/>
        <w:rPr/>
      </w:pPr>
      <w:r>
        <w:rPr/>
      </w:r>
    </w:p>
    <w:p>
      <w:pPr>
        <w:pStyle w:val="TextBody"/>
        <w:bidi w:val="0"/>
        <w:spacing w:lineRule="auto" w:line="268" w:before="0" w:after="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introduction of new products, market opportunity, future capital expenditures, and any potential future declarations of cash dividends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 </w:t>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repurposed precious metals such as gold; increases in labor costs for manufacturing such as wage rate increases, as well as inflation, and energy prices; risks related to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to acquire new customers; our rapid growth in recent years and limited operating experience at our current scale of operations; our ability to manage growth effectively; increased lead times, and supply shortages and supply changes; our expansion plans in the United States; our ability to compete in the fine jewelry retail industry; our ability to maintain and enhance our brand and to engage or expand our base of customers may be impaired and our business, financial condition, and results of operations may suffer; our ability to effectively develop and expand our sales and marketing capabilities and increase our customer base and achieve broader market acceptance of our e-commerce and omnichannel approach to shopping for fine jewelry; our profitability and cash flows may be negatively affected if we are not successful in managing our inventory balances and inventory shrinkage; a decline in sales of Design Your Own rings; our heavy reliance on our information technology systems, as well as those of our third-party vendors and service providers, for our business to effectively operate and to safeguard confidential information and risks related to any significant failure, inadequacy or interruption of these systems, security breaches or loss of data; the impact of environmental, social, and governance matters on our business and reputation; our ability to manage risks related to our e-commerce and omnichannel business; our ability to effectively anticipate and respond to changes in consumer preferences and shopping patterns, and introduce new products and programs that appeal to new or existing customers; our dependence on distributions from Brilliant Earth, LLC, our principal asset, to pay our taxes and expenses, including payments under the Tax Receivable Agreement (as defined herein) to Continuing Equity Owners (as defined herein) in respect to certain tax benefits; risks related to our obligations to make substantial cash payments under the Tax Receivable Agreement and risks related to our organizational structure; and the other risks, uncertainties and factors described in Part I, Item 1A, “Risk Factors” in our Annual Report on Form 10-K for the fiscal year ended December 31, 2024 (the “2024 Form 10-K”) filed with the Securities and Exchange Commission (the “SEC”) on March 13, 2025. Other sections of this Quarterly Report on Form 10-Q, including Part I, Item 2. “Management's Discussion and Analysis of Financial Condition and Results of Operations”, include additional factors that could adversely impact our business and financial performance. </w:t>
      </w:r>
    </w:p>
    <w:p>
      <w:pPr>
        <w:pStyle w:val="TextBody"/>
        <w:bidi w:val="0"/>
        <w:spacing w:before="0" w:after="2"/>
        <w:jc w:val="left"/>
        <w:rPr/>
      </w:pPr>
      <w:r>
        <w:rPr/>
      </w:r>
    </w:p>
    <w:p>
      <w:pPr>
        <w:pStyle w:val="TextBody"/>
        <w:bidi w:val="0"/>
        <w:spacing w:lineRule="auto" w:line="268" w:before="0" w:after="2"/>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Moreover, we operate in a very competitive and rapidly changing environment and new risks emerge from time to time. In light of these risks, uncertainties, and assumptions, the future events and trends discussed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2"/>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Quarterly Report on Form 10-Q may not occur and actual results could differ materially and adversely from those anticipated or implied in the forward-looking statements.</w:t>
      </w:r>
    </w:p>
    <w:p>
      <w:pPr>
        <w:pStyle w:val="TextBody"/>
        <w:bidi w:val="0"/>
        <w:spacing w:before="0" w:after="2"/>
        <w:jc w:val="left"/>
        <w:rPr/>
      </w:pPr>
      <w:r>
        <w:rPr/>
      </w:r>
    </w:p>
    <w:p>
      <w:pPr>
        <w:pStyle w:val="TextBody"/>
        <w:bidi w:val="0"/>
        <w:spacing w:lineRule="auto" w:line="268" w:before="0" w:after="2"/>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BASIS OF PRESENTATION</w:t>
      </w:r>
    </w:p>
    <w:p>
      <w:pPr>
        <w:pStyle w:val="TextBody"/>
        <w:bidi w:val="0"/>
        <w:spacing w:before="0" w:after="2"/>
        <w:jc w:val="center"/>
        <w:rPr/>
      </w:pPr>
      <w:r>
        <w:rPr/>
      </w:r>
    </w:p>
    <w:p>
      <w:pPr>
        <w:pStyle w:val="TextBody"/>
        <w:bidi w:val="0"/>
        <w:spacing w:lineRule="auto" w:line="300" w:before="0" w:after="2"/>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w:t>
      </w:r>
    </w:p>
    <w:p>
      <w:pPr>
        <w:pStyle w:val="TextBody"/>
        <w:bidi w:val="0"/>
        <w:spacing w:before="0" w:after="2"/>
        <w:jc w:val="center"/>
        <w:rPr/>
      </w:pPr>
      <w:r>
        <w:rPr/>
      </w:r>
    </w:p>
    <w:p>
      <w:pPr>
        <w:pStyle w:val="TextBody"/>
        <w:bidi w:val="0"/>
        <w:spacing w:before="0" w:after="0"/>
        <w:jc w:val="left"/>
        <w:rPr/>
      </w:pPr>
      <w:r>
        <w:rPr/>
      </w:r>
    </w:p>
    <w:p>
      <w:pPr>
        <w:pStyle w:val="TextBody"/>
        <w:bidi w:val="0"/>
        <w:spacing w:lineRule="auto" w:line="268" w:before="0" w:after="120"/>
        <w:ind w:left="0" w:right="0" w:hanging="360"/>
        <w:jc w:val="left"/>
        <w:rPr/>
      </w:pPr>
      <w:r>
        <w:rPr>
          <w:color w:val="000000"/>
        </w:rPr>
        <w:t>•</w:t>
      </w:r>
      <w:r>
        <w:rPr>
          <w:color w:val="000000"/>
          <w:shd w:fill="FFFFFF" w:val="clear"/>
        </w:rPr>
        <w:t>“</w:t>
      </w:r>
      <w:r>
        <w:rPr>
          <w:rFonts w:ascii="Times New Roman;serif" w:hAnsi="Times New Roman;serif"/>
          <w:b w:val="false"/>
          <w:color w:val="000000"/>
          <w:sz w:val="20"/>
        </w:rPr>
        <w:t>we,</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us,</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our,</w:t>
      </w:r>
      <w:r>
        <w:rPr>
          <w:color w:val="000000"/>
          <w:shd w:fill="FFFFFF" w:val="clear"/>
        </w:rPr>
        <w:t>”</w:t>
      </w:r>
      <w:r>
        <w:rPr>
          <w:color w:val="000000"/>
        </w:rPr>
        <w:t xml:space="preserve"> </w:t>
      </w:r>
      <w:r>
        <w:rPr>
          <w:rFonts w:ascii="Times New Roman;serif" w:hAnsi="Times New Roman;serif"/>
          <w:b w:val="false"/>
          <w:color w:val="000000"/>
          <w:sz w:val="20"/>
        </w:rPr>
        <w:t xml:space="preserve">the </w:t>
      </w:r>
      <w:r>
        <w:rPr>
          <w:color w:val="000000"/>
          <w:shd w:fill="FFFFFF" w:val="clear"/>
        </w:rPr>
        <w:t>“</w:t>
      </w:r>
      <w:r>
        <w:rPr>
          <w:rFonts w:ascii="Times New Roman;serif" w:hAnsi="Times New Roman;serif"/>
          <w:b w:val="false"/>
          <w:color w:val="000000"/>
          <w:sz w:val="20"/>
        </w:rPr>
        <w:t>Company,</w:t>
      </w:r>
      <w:r>
        <w:rPr>
          <w:color w:val="000000"/>
          <w:shd w:fill="FFFFFF" w:val="clear"/>
        </w:rPr>
        <w:t>”</w:t>
      </w:r>
      <w:r>
        <w:rPr>
          <w:color w:val="000000"/>
        </w:rPr>
        <w:t xml:space="preserve"> </w:t>
      </w:r>
      <w:r>
        <w:rPr>
          <w:color w:val="000000"/>
          <w:shd w:fill="FFFFFF" w:val="clear"/>
        </w:rPr>
        <w:t>“</w:t>
      </w:r>
      <w:r>
        <w:rPr>
          <w:rFonts w:ascii="Times New Roman;serif" w:hAnsi="Times New Roman;serif"/>
          <w:b w:val="false"/>
          <w:color w:val="000000"/>
          <w:sz w:val="20"/>
        </w:rPr>
        <w:t>Brilliant Earth,</w:t>
      </w:r>
      <w:r>
        <w:rPr>
          <w:color w:val="000000"/>
          <w:shd w:fill="FFFFFF" w:val="clear"/>
        </w:rPr>
        <w:t>”</w:t>
      </w:r>
      <w:r>
        <w:rPr>
          <w:color w:val="000000"/>
        </w:rPr>
        <w:t xml:space="preserve"> </w:t>
      </w:r>
      <w:r>
        <w:rPr>
          <w:rFonts w:ascii="Times New Roman;serif" w:hAnsi="Times New Roman;serif"/>
          <w:b w:val="false"/>
          <w:color w:val="000000"/>
          <w:sz w:val="20"/>
        </w:rPr>
        <w:t>and similar references refer to Brilliant Earth Group, Inc., and, unless otherwise stated, all of its subsidiaries, including Brilliant Earth, LLC.</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Continuing Equity Owners</w:t>
      </w:r>
      <w:r>
        <w:rPr>
          <w:color w:val="000000"/>
          <w:shd w:fill="FFFFFF" w:val="clear"/>
        </w:rPr>
        <w:t>”</w:t>
      </w:r>
      <w:r>
        <w:rPr>
          <w:color w:val="000000"/>
        </w:rPr>
        <w:t xml:space="preserve"> </w:t>
      </w:r>
      <w:r>
        <w:rPr>
          <w:rFonts w:ascii="Times New Roman;serif" w:hAnsi="Times New Roman;serif"/>
          <w:b w:val="false"/>
          <w:color w:val="000000"/>
          <w:sz w:val="20"/>
        </w:rPr>
        <w:t>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Founders</w:t>
      </w:r>
      <w:r>
        <w:rPr>
          <w:color w:val="000000"/>
          <w:shd w:fill="FFFFFF" w:val="clear"/>
        </w:rPr>
        <w:t>”</w:t>
      </w:r>
      <w:r>
        <w:rPr>
          <w:color w:val="000000"/>
        </w:rPr>
        <w:t xml:space="preserve"> </w:t>
      </w:r>
      <w:r>
        <w:rPr>
          <w:rFonts w:ascii="Times New Roman;serif" w:hAnsi="Times New Roman;serif"/>
          <w:b w:val="false"/>
          <w:color w:val="000000"/>
          <w:sz w:val="20"/>
        </w:rPr>
        <w:t>refers to Beth Gerstein, our Co-Founder and Chief Executive Officer, Eric Grossberg, our Co-Founder and Executive Chairman, and Just Rocks, Inc., a Delaware corporation, which is jointly owned and controlled by our Founders.    </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LLC Interests</w:t>
      </w:r>
      <w:r>
        <w:rPr>
          <w:color w:val="000000"/>
          <w:shd w:fill="FFFFFF" w:val="clear"/>
        </w:rPr>
        <w:t>”</w:t>
      </w:r>
      <w:r>
        <w:rPr>
          <w:color w:val="000000"/>
        </w:rPr>
        <w:t xml:space="preserve"> </w:t>
      </w:r>
      <w:r>
        <w:rPr>
          <w:rFonts w:ascii="Times New Roman;serif" w:hAnsi="Times New Roman;serif"/>
          <w:b w:val="false"/>
          <w:color w:val="000000"/>
          <w:sz w:val="20"/>
        </w:rPr>
        <w:t xml:space="preserve">or </w:t>
      </w:r>
      <w:r>
        <w:rPr>
          <w:color w:val="000000"/>
          <w:shd w:fill="FFFFFF" w:val="clear"/>
        </w:rPr>
        <w:t>“</w:t>
      </w:r>
      <w:r>
        <w:rPr>
          <w:rFonts w:ascii="Times New Roman;serif" w:hAnsi="Times New Roman;serif"/>
          <w:b w:val="false"/>
          <w:color w:val="000000"/>
          <w:sz w:val="20"/>
        </w:rPr>
        <w:t>LLC Units</w:t>
      </w:r>
      <w:r>
        <w:rPr>
          <w:color w:val="000000"/>
          <w:shd w:fill="FFFFFF" w:val="clear"/>
        </w:rPr>
        <w:t>”</w:t>
      </w:r>
      <w:r>
        <w:rPr>
          <w:color w:val="000000"/>
        </w:rPr>
        <w:t xml:space="preserve"> </w:t>
      </w:r>
      <w:r>
        <w:rPr>
          <w:rFonts w:ascii="Times New Roman;serif" w:hAnsi="Times New Roman;serif"/>
          <w:b w:val="false"/>
          <w:color w:val="000000"/>
          <w:sz w:val="20"/>
        </w:rPr>
        <w:t>refers to the common units of Brilliant Earth, LLC, including those that we purchased with the net proceeds from our initial public offering (</w:t>
      </w:r>
      <w:r>
        <w:rPr>
          <w:color w:val="000000"/>
          <w:shd w:fill="FFFFFF" w:val="clear"/>
        </w:rPr>
        <w:t>“</w:t>
      </w:r>
      <w:r>
        <w:rPr>
          <w:rFonts w:ascii="Times New Roman;serif" w:hAnsi="Times New Roman;serif"/>
          <w:b w:val="false"/>
          <w:color w:val="000000"/>
          <w:sz w:val="20"/>
        </w:rPr>
        <w:t>IPO</w:t>
      </w:r>
      <w:r>
        <w:rPr>
          <w:color w:val="000000"/>
          <w:shd w:fill="FFFFFF" w:val="clear"/>
        </w:rPr>
        <w:t>”</w:t>
      </w:r>
      <w:r>
        <w:rPr>
          <w:rFonts w:ascii="Times New Roman;serif" w:hAnsi="Times New Roman;serif"/>
          <w:b w:val="false"/>
          <w:color w:val="000000"/>
          <w:sz w:val="20"/>
        </w:rPr>
        <w:t>), which occurred on September 23, 2021.</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LLC Agreement</w:t>
      </w:r>
      <w:r>
        <w:rPr>
          <w:color w:val="000000"/>
          <w:shd w:fill="FFFFFF" w:val="clear"/>
        </w:rPr>
        <w:t>”</w:t>
      </w:r>
      <w:r>
        <w:rPr>
          <w:color w:val="000000"/>
        </w:rPr>
        <w:t xml:space="preserve"> </w:t>
      </w:r>
      <w:r>
        <w:rPr>
          <w:rFonts w:ascii="Times New Roman;serif" w:hAnsi="Times New Roman;serif"/>
          <w:b w:val="false"/>
          <w:color w:val="000000"/>
          <w:sz w:val="20"/>
        </w:rPr>
        <w:t xml:space="preserve">refers to Brilliant Earth, LLC's amended and restated limited liability company agreement, which became effective prior to the consummation of the IPO. </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Mainsail</w:t>
      </w:r>
      <w:r>
        <w:rPr>
          <w:color w:val="000000"/>
          <w:shd w:fill="FFFFFF" w:val="clear"/>
        </w:rPr>
        <w:t>”</w:t>
      </w:r>
      <w:r>
        <w:rPr>
          <w:color w:val="000000"/>
        </w:rPr>
        <w:t xml:space="preserve"> </w:t>
      </w:r>
      <w:r>
        <w:rPr>
          <w:rFonts w:ascii="Times New Roman;serif" w:hAnsi="Times New Roman;serif"/>
          <w:b w:val="false"/>
          <w:color w:val="000000"/>
          <w:sz w:val="20"/>
        </w:rPr>
        <w:t>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shd w:fill="FFFFFF" w:val="clear"/>
        </w:rPr>
        <w:t>SVB Credit Agreement”</w:t>
      </w:r>
      <w:r>
        <w:rPr>
          <w:color w:val="000000"/>
        </w:rPr>
        <w:t xml:space="preserve"> </w:t>
      </w:r>
      <w:r>
        <w:rPr>
          <w:rFonts w:ascii="Times New Roman;serif" w:hAnsi="Times New Roman;serif"/>
          <w:b w:val="false"/>
          <w:color w:val="000000"/>
          <w:sz w:val="20"/>
        </w:rPr>
        <w:t xml:space="preserve">refers to the credit agreement entered into on May 24, 2022, and as subsequently amended, by Brilliant Earth, LLC, as borrower, and Silicon Valley Bank, as administrative agent and collateral agent for the lenders, which provides for a secured term loan credit facility of $65.0 million (the </w:t>
      </w:r>
      <w:r>
        <w:rPr>
          <w:color w:val="000000"/>
          <w:shd w:fill="FFFFFF" w:val="clear"/>
        </w:rPr>
        <w:t>“</w:t>
      </w:r>
      <w:r>
        <w:rPr>
          <w:rFonts w:ascii="Times New Roman;serif" w:hAnsi="Times New Roman;serif"/>
          <w:b w:val="false"/>
          <w:color w:val="000000"/>
          <w:sz w:val="20"/>
          <w:shd w:fill="FFFFFF" w:val="clear"/>
        </w:rPr>
        <w:t>SVB Term Loan”) and a secured revolving credit facility in an amount of up to $40.0 million (the “SVB Revolving Facility”, and together with the SVB Term Loan, the “SVB Credit Facilities”). In August 2025, the Company prepaid all principal amounts outstanding of $34.8 million under the SVB Term Loan and terminated all commitments outstanding under the SVB Credit Agreement.</w:t>
      </w:r>
    </w:p>
    <w:p>
      <w:pPr>
        <w:pStyle w:val="TextBody"/>
        <w:bidi w:val="0"/>
        <w:spacing w:lineRule="auto" w:line="268" w:before="0" w:after="120"/>
        <w:ind w:left="0" w:right="0" w:hanging="360"/>
        <w:jc w:val="both"/>
        <w:rPr/>
      </w:pPr>
      <w:r>
        <w:rPr>
          <w:color w:val="000000"/>
        </w:rPr>
        <w:t>•</w:t>
      </w:r>
      <w:r>
        <w:rPr>
          <w:color w:val="000000"/>
          <w:shd w:fill="FFFFFF" w:val="clear"/>
        </w:rPr>
        <w:t>“</w:t>
      </w:r>
      <w:r>
        <w:rPr>
          <w:rFonts w:ascii="Times New Roman;serif" w:hAnsi="Times New Roman;serif"/>
          <w:b w:val="false"/>
          <w:color w:val="000000"/>
          <w:sz w:val="20"/>
        </w:rPr>
        <w:t>TRA</w:t>
      </w:r>
      <w:r>
        <w:rPr>
          <w:color w:val="000000"/>
          <w:shd w:fill="FFFFFF" w:val="clear"/>
        </w:rPr>
        <w:t>”</w:t>
      </w:r>
      <w:r>
        <w:rPr>
          <w:color w:val="000000"/>
        </w:rPr>
        <w:t xml:space="preserve"> </w:t>
      </w:r>
      <w:r>
        <w:rPr>
          <w:rFonts w:ascii="Times New Roman;serif" w:hAnsi="Times New Roman;serif"/>
          <w:b w:val="false"/>
          <w:color w:val="000000"/>
          <w:sz w:val="20"/>
        </w:rPr>
        <w:t>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pPr>
      <w:hyperlink w:anchor="idd5c2d45bc4e42ffbdc11498e154c1dd_7">
        <w:r>
          <w:rPr>
            <w:rStyle w:val="InternetLink"/>
            <w:rFonts w:ascii="Times New Roman;serif" w:hAnsi="Times New Roman;serif"/>
            <w:b/>
            <w:color w:val="000000"/>
            <w:sz w:val="20"/>
            <w:u w:val="single"/>
          </w:rPr>
          <w:t>Part I -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Brilliant Earth Group, Inc.</w:t>
      </w:r>
    </w:p>
    <w:p>
      <w:pPr>
        <w:pStyle w:val="TextBody"/>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UNAUDITED CONDENSED CONSOLIDATED BALANCE SHEETS</w:t>
      </w:r>
    </w:p>
    <w:p>
      <w:pPr>
        <w:pStyle w:val="TextBody"/>
        <w:bidi w:val="0"/>
        <w:spacing w:lineRule="auto" w:line="276" w:before="0" w:after="1"/>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906"/>
        <w:gridCol w:w="2337"/>
        <w:gridCol w:w="2319"/>
        <w:gridCol w:w="201"/>
        <w:gridCol w:w="774"/>
        <w:gridCol w:w="112"/>
        <w:gridCol w:w="109"/>
        <w:gridCol w:w="109"/>
        <w:gridCol w:w="109"/>
        <w:gridCol w:w="198"/>
        <w:gridCol w:w="762"/>
        <w:gridCol w:w="110"/>
        <w:gridCol w:w="159"/>
      </w:tblGrid>
      <w:tr>
        <w:trPr/>
        <w:tc>
          <w:tcPr>
            <w:tcW w:w="290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73,429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161,925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347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216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49,132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38,292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12,743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10,980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135,651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211,413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19,942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21,626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9,581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9,636</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 of use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33,845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35,222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3,947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3,348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 xml:space="preserve">Total assets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202,966</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281,245</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20,851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15,733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29,293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31,714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25,676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18,926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7,100</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6,108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5,688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 xml:space="preserve">Total current liabilities </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82,920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78,169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debt issuance costs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50,010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33,255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35,856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Payable pursuant to the Tax Receivable Agreement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7,737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7,828</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123,912</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171,863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(Note 10)</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10,000,000 shares authorized, none issued and outstanding at September 30, 2025 and December 31, 2024,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6"/>
              </w:rPr>
              <w:t xml:space="preserve">Class A common stock, $0.0001 par value, 1,200,000,000 shares authorized; </w:t>
            </w:r>
            <w:r>
              <w:rPr>
                <w:rFonts w:ascii="Times New Roman;serif" w:hAnsi="Times New Roman;serif"/>
                <w:b w:val="false"/>
                <w:color w:val="000000"/>
                <w:sz w:val="16"/>
                <w:shd w:fill="FFFFFF" w:val="clear"/>
              </w:rPr>
              <w:t xml:space="preserve">15,744,890 shares issued </w:t>
            </w:r>
            <w:r>
              <w:rPr>
                <w:rFonts w:ascii="Times New Roman;serif" w:hAnsi="Times New Roman;serif"/>
                <w:b w:val="false"/>
                <w:color w:val="000000"/>
                <w:sz w:val="16"/>
              </w:rPr>
              <w:t xml:space="preserve">and </w:t>
            </w:r>
            <w:r>
              <w:rPr>
                <w:rFonts w:ascii="Times New Roman;serif" w:hAnsi="Times New Roman;serif"/>
                <w:b w:val="false"/>
                <w:color w:val="000000"/>
                <w:sz w:val="16"/>
                <w:shd w:fill="FFFFFF" w:val="clear"/>
              </w:rPr>
              <w:t>15,170,213</w:t>
            </w:r>
            <w:r>
              <w:rPr>
                <w:color w:val="000000"/>
              </w:rPr>
              <w:t xml:space="preserve"> </w:t>
            </w:r>
            <w:r>
              <w:rPr>
                <w:rFonts w:ascii="Times New Roman;serif" w:hAnsi="Times New Roman;serif"/>
                <w:b w:val="false"/>
                <w:color w:val="000000"/>
                <w:sz w:val="16"/>
              </w:rPr>
              <w:t>shares outstanding at September 30, 2025; 14,125,925 shares issued and 13,843,944 shares outstanding at December 31, 2024</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6"/>
              </w:rPr>
              <w:t xml:space="preserve">Class B common stock, $0.0001 par value, 150,000,000 shares authorized; </w:t>
            </w:r>
            <w:r>
              <w:rPr>
                <w:rFonts w:ascii="Times New Roman;serif" w:hAnsi="Times New Roman;serif"/>
                <w:b w:val="false"/>
                <w:color w:val="000000"/>
                <w:sz w:val="16"/>
                <w:shd w:fill="CCEEFF" w:val="clear"/>
              </w:rPr>
              <w:t>35,822,342</w:t>
            </w:r>
            <w:r>
              <w:rPr>
                <w:color w:val="000000"/>
              </w:rPr>
              <w:t xml:space="preserve"> </w:t>
            </w:r>
            <w:r>
              <w:rPr>
                <w:rFonts w:ascii="Times New Roman;serif" w:hAnsi="Times New Roman;serif"/>
                <w:b w:val="false"/>
                <w:color w:val="000000"/>
                <w:sz w:val="16"/>
              </w:rPr>
              <w:t>and 35,820,912 shares outstanding at September 30, 2025 and December 31, 2024,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4</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150,000,000 shares authorized; 49,119,976 shares outstanding at September 30, 2025 and December 31, 2024, respectively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5</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150,000,000 shares authorized; none issued and outstanding at September 30, 2025 and December 31, 2024,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12,806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11,169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6"/>
              </w:rPr>
              <w:t xml:space="preserve">Treasury stock, at cost; </w:t>
            </w:r>
            <w:r>
              <w:rPr>
                <w:rFonts w:ascii="Times New Roman;serif" w:hAnsi="Times New Roman;serif"/>
                <w:b w:val="false"/>
                <w:color w:val="000000"/>
                <w:sz w:val="16"/>
                <w:shd w:fill="CCEEFF" w:val="clear"/>
              </w:rPr>
              <w:t xml:space="preserve">574,677 and </w:t>
            </w:r>
            <w:r>
              <w:rPr>
                <w:rFonts w:ascii="Times New Roman;serif" w:hAnsi="Times New Roman;serif"/>
                <w:b w:val="false"/>
                <w:color w:val="000000"/>
                <w:sz w:val="16"/>
              </w:rPr>
              <w:t xml:space="preserve">281,981 shares at September 30, 2025 and December 31, 2024, respectively </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(1,094)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(638)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256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4,788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Stockholders' equity attributable to Brilliant Earth Group, Inc.</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11,979</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15,329</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attributable to Brilliant Earth, LLC</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67,075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94,053</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79,054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109,382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202,966</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281,245</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Brilliant Earth Group, Inc.</w:t>
      </w:r>
    </w:p>
    <w:p>
      <w:pPr>
        <w:pStyle w:val="TextBody"/>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UNAUDITED CONDENSED CONSOLIDATED STATEMENTS OF OPERATIONS</w:t>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(Dollars in thousands, except per share amounts)</w:t>
      </w:r>
    </w:p>
    <w:p>
      <w:pPr>
        <w:pStyle w:val="TextBody"/>
        <w:bidi w:val="0"/>
        <w:spacing w:before="0" w:after="2"/>
        <w:jc w:val="center"/>
        <w:rPr/>
      </w:pPr>
      <w:r>
        <w:rPr/>
      </w:r>
    </w:p>
    <w:tbl>
      <w:tblPr>
        <w:tblW w:w="9927" w:type="dxa"/>
        <w:jc w:val="left"/>
        <w:tblInd w:w="0" w:type="dxa"/>
        <w:tblLayout w:type="fixed"/>
        <w:tblCellMar>
          <w:top w:w="28" w:type="dxa"/>
          <w:left w:w="28" w:type="dxa"/>
          <w:bottom w:w="28" w:type="dxa"/>
          <w:right w:w="28" w:type="dxa"/>
        </w:tblCellMar>
      </w:tblPr>
      <w:tblGrid>
        <w:gridCol w:w="1486"/>
        <w:gridCol w:w="1311"/>
        <w:gridCol w:w="1328"/>
        <w:gridCol w:w="202"/>
        <w:gridCol w:w="774"/>
        <w:gridCol w:w="109"/>
        <w:gridCol w:w="109"/>
        <w:gridCol w:w="109"/>
        <w:gridCol w:w="109"/>
        <w:gridCol w:w="223"/>
        <w:gridCol w:w="753"/>
        <w:gridCol w:w="109"/>
        <w:gridCol w:w="109"/>
        <w:gridCol w:w="109"/>
        <w:gridCol w:w="109"/>
        <w:gridCol w:w="202"/>
        <w:gridCol w:w="774"/>
        <w:gridCol w:w="109"/>
        <w:gridCol w:w="109"/>
        <w:gridCol w:w="109"/>
        <w:gridCol w:w="109"/>
        <w:gridCol w:w="202"/>
        <w:gridCol w:w="774"/>
        <w:gridCol w:w="109"/>
        <w:gridCol w:w="109"/>
        <w:gridCol w:w="109"/>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110,252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99,873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313,072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302,636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46,801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39,103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131,075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119,483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63,451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60,770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181,997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183,153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26,132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26,678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75,365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77,122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37,939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35,161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111,988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105,091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64,071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61,839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187,353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182,213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(1,069)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940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(3,827)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837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tax</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(864)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(4,996)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1,589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income </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allocable to non-controlling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(4,313)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allocable to Brilliant Earth Group, Inc.</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shares of common stock outstanding: </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14,993,768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13,545,256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14,555,854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13,203,551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14,993,768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13,545,256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14,555,854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98,527,171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Brilliant Earth Group, Inc.</w:t>
      </w:r>
    </w:p>
    <w:p>
      <w:pPr>
        <w:pStyle w:val="TextBody"/>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UNAUDITED CONDENSED CONSOLIDATED STATEMENTS OF CHANGES IN STOCKHOLDERS' EQUITY </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(Dollars in thousands)</w:t>
      </w:r>
    </w:p>
    <w:p>
      <w:pPr>
        <w:pStyle w:val="TextBody"/>
        <w:bidi w:val="0"/>
        <w:spacing w:before="0" w:after="2"/>
        <w:jc w:val="center"/>
        <w:rPr/>
      </w:pPr>
      <w:r>
        <w:rPr/>
      </w:r>
    </w:p>
    <w:tbl>
      <w:tblPr>
        <w:tblW w:w="14797" w:type="dxa"/>
        <w:jc w:val="center"/>
        <w:tblInd w:w="0" w:type="dxa"/>
        <w:tblLayout w:type="fixed"/>
        <w:tblCellMar>
          <w:top w:w="28" w:type="dxa"/>
          <w:left w:w="28" w:type="dxa"/>
          <w:bottom w:w="28" w:type="dxa"/>
          <w:right w:w="28" w:type="dxa"/>
        </w:tblCellMar>
      </w:tblPr>
      <w:tblGrid>
        <w:gridCol w:w="471"/>
        <w:gridCol w:w="177"/>
        <w:gridCol w:w="178"/>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166"/>
        <w:gridCol w:w="496"/>
        <w:gridCol w:w="109"/>
        <w:gridCol w:w="109"/>
        <w:gridCol w:w="109"/>
        <w:gridCol w:w="109"/>
        <w:gridCol w:w="166"/>
        <w:gridCol w:w="421"/>
        <w:gridCol w:w="109"/>
        <w:gridCol w:w="109"/>
        <w:gridCol w:w="109"/>
        <w:gridCol w:w="109"/>
        <w:gridCol w:w="166"/>
        <w:gridCol w:w="436"/>
        <w:gridCol w:w="109"/>
        <w:gridCol w:w="109"/>
        <w:gridCol w:w="109"/>
        <w:gridCol w:w="109"/>
        <w:gridCol w:w="200"/>
        <w:gridCol w:w="598"/>
        <w:gridCol w:w="133"/>
        <w:gridCol w:w="109"/>
        <w:gridCol w:w="109"/>
        <w:gridCol w:w="109"/>
        <w:gridCol w:w="706"/>
        <w:gridCol w:w="141"/>
        <w:gridCol w:w="327"/>
        <w:gridCol w:w="166"/>
        <w:gridCol w:w="496"/>
        <w:gridCol w:w="109"/>
        <w:gridCol w:w="327"/>
        <w:gridCol w:w="184"/>
        <w:gridCol w:w="619"/>
        <w:gridCol w:w="173"/>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6" w:type="dxa"/>
            <w:gridSpan w:val="57"/>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Brilliant Earth Group,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Class C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Total Stockholders'</w:t>
              <w:br/>
              <w:t>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 xml:space="preserve">Balance, January 1, 2025 </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13,843,944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35,820,912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11,169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15,329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84,940,888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94,053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109,382</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members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(5,349)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2,700</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(2,700)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(2,700)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661,156</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(102,460)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21,191</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21,191</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compensation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2,342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2,369</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(466)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(3,267)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Rebalancing of controlling and noncontrolling interests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(2,114)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2,114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Balance, March 31, 2025</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14,405,340</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35,839,403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11,397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4,322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14,928</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84,959,379</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88,044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102,972</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members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(1,308)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Class B to Class A common stock</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RSU vesting during period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581,177</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(132,124)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(197)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3,712</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3,712</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2,318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2,328</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(1,113)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Rebalancing of controlling and noncontrolling interests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Balance, June 30, 2025</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14,854,393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35,843,115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12,113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15,281</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84,963,091</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87,401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102,682</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Dividends and distributions to members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(21,323)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(21,323)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20,773</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(20,773)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(20,773)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353,159</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(58,112)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shd w:fill="CCEEFF" w:val="clear"/>
              </w:rPr>
            </w:pPr>
            <w:r>
              <w:rPr>
                <w:rFonts w:ascii="Times New Roman;serif" w:hAnsi="Times New Roman;serif"/>
                <w:b w:val="false"/>
                <w:color w:val="000000"/>
                <w:sz w:val="12"/>
                <w:shd w:fill="CCEEFF" w:val="clear"/>
              </w:rPr>
              <w:t>Equity-based compensation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shd w:fill="CCEEFF" w:val="clear"/>
              </w:rPr>
              <w:t>2,256</w:t>
            </w: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shd w:fill="CCEEFF" w:val="clear"/>
              </w:rPr>
              <w:t>2,256</w:t>
            </w:r>
            <w:r>
              <w:rPr>
                <w:color w:val="000000"/>
                <w:shd w:fill="CCEEFF" w:val="clear"/>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shd w:fill="CCEEFF" w:val="clear"/>
              </w:rPr>
              <w:t>2,256</w:t>
            </w:r>
            <w:r>
              <w:rPr>
                <w:color w:val="000000"/>
                <w:shd w:fill="CCEEFF" w:val="clea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shd w:fill="FFFFFF" w:val="clear"/>
              </w:rPr>
            </w:pPr>
            <w:r>
              <w:rPr>
                <w:rFonts w:ascii="Times New Roman;serif" w:hAnsi="Times New Roman;serif"/>
                <w:b w:val="false"/>
                <w:color w:val="000000"/>
                <w:sz w:val="12"/>
                <w:shd w:fill="FFFFFF" w:val="clear"/>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shd w:fill="FFFFFF" w:val="clear"/>
              </w:rPr>
            </w:pPr>
            <w:r>
              <w:rPr>
                <w:rFonts w:ascii="Times New Roman;serif" w:hAnsi="Times New Roman;serif"/>
                <w:b/>
                <w:color w:val="000000"/>
                <w:sz w:val="12"/>
                <w:shd w:fill="FFFFFF" w:val="clear"/>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shd w:fill="FFFFFF" w:val="clear"/>
              </w:rPr>
            </w:pPr>
            <w:r>
              <w:rPr>
                <w:rFonts w:ascii="Times New Roman;serif" w:hAnsi="Times New Roman;serif"/>
                <w:b/>
                <w:color w:val="000000"/>
                <w:sz w:val="12"/>
                <w:shd w:fill="FFFFFF" w:val="clear"/>
              </w:rPr>
              <w:t>(107)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shd w:fill="FFFFFF" w:val="clear"/>
              </w:rPr>
            </w:pPr>
            <w:r>
              <w:rPr>
                <w:color w:val="000000"/>
                <w:shd w:fill="FFFFFF" w:val="clear"/>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shd w:fill="FFFFFF" w:val="clear"/>
              </w:rPr>
            </w:pPr>
            <w:r>
              <w:rPr>
                <w:rFonts w:ascii="Times New Roman;serif" w:hAnsi="Times New Roman;serif"/>
                <w:b/>
                <w:color w:val="000000"/>
                <w:sz w:val="12"/>
                <w:shd w:fill="FFFFFF" w:val="clear"/>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shd w:fill="FFFFFF" w:val="clear"/>
              </w:rPr>
            </w:pPr>
            <w:r>
              <w:rPr>
                <w:rFonts w:ascii="Times New Roman;serif" w:hAnsi="Times New Roman;serif"/>
                <w:b/>
                <w:color w:val="000000"/>
                <w:sz w:val="12"/>
                <w:shd w:fill="FFFFFF" w:val="clear"/>
              </w:rPr>
              <w:t>(672)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Dividends paid on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(3,793)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(3,793)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(3,793)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Rebalancing of controlling and noncontrolling interests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(1,562)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Balance, September 30, 2025</w:t>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15,170,213</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35,822,342</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12,806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(1,094)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11,979</w:t>
            </w:r>
            <w:r>
              <w:rPr>
                <w:color w:val="000000"/>
              </w:rPr>
              <w:t>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84,942,318</w:t>
            </w:r>
            <w:r>
              <w:rPr>
                <w:color w:val="000000"/>
              </w:rPr>
              <w:t>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67,075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79,054</w:t>
            </w:r>
            <w:r>
              <w:rPr>
                <w:color w:val="000000"/>
              </w:rPr>
              <w:t>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Brilliant Earth Group, Inc.</w:t>
      </w:r>
    </w:p>
    <w:p>
      <w:pPr>
        <w:pStyle w:val="TextBody"/>
        <w:bidi w:val="0"/>
        <w:spacing w:lineRule="auto" w:line="300" w:before="0" w:after="2"/>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UNAUDITED CONDENSED CONSOLIDATED STATEMENTS OF CHANGES IN STOCKHOLDERS' EQUITY </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(Dollars in thousands)</w:t>
      </w:r>
    </w:p>
    <w:p>
      <w:pPr>
        <w:pStyle w:val="TextBody"/>
        <w:bidi w:val="0"/>
        <w:spacing w:before="0" w:after="2"/>
        <w:jc w:val="center"/>
        <w:rPr/>
      </w:pPr>
      <w:r>
        <w:rPr/>
      </w:r>
    </w:p>
    <w:tbl>
      <w:tblPr>
        <w:tblW w:w="14827" w:type="dxa"/>
        <w:jc w:val="center"/>
        <w:tblInd w:w="0" w:type="dxa"/>
        <w:tblLayout w:type="fixed"/>
        <w:tblCellMar>
          <w:top w:w="28" w:type="dxa"/>
          <w:left w:w="28" w:type="dxa"/>
          <w:bottom w:w="28" w:type="dxa"/>
          <w:right w:w="28" w:type="dxa"/>
        </w:tblCellMar>
      </w:tblPr>
      <w:tblGrid>
        <w:gridCol w:w="516"/>
        <w:gridCol w:w="177"/>
        <w:gridCol w:w="178"/>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353"/>
        <w:gridCol w:w="353"/>
        <w:gridCol w:w="171"/>
        <w:gridCol w:w="109"/>
        <w:gridCol w:w="109"/>
        <w:gridCol w:w="109"/>
        <w:gridCol w:w="211"/>
        <w:gridCol w:w="251"/>
        <w:gridCol w:w="109"/>
        <w:gridCol w:w="109"/>
        <w:gridCol w:w="109"/>
        <w:gridCol w:w="109"/>
        <w:gridCol w:w="166"/>
        <w:gridCol w:w="496"/>
        <w:gridCol w:w="109"/>
        <w:gridCol w:w="109"/>
        <w:gridCol w:w="109"/>
        <w:gridCol w:w="109"/>
        <w:gridCol w:w="166"/>
        <w:gridCol w:w="406"/>
        <w:gridCol w:w="109"/>
        <w:gridCol w:w="109"/>
        <w:gridCol w:w="109"/>
        <w:gridCol w:w="109"/>
        <w:gridCol w:w="166"/>
        <w:gridCol w:w="436"/>
        <w:gridCol w:w="109"/>
        <w:gridCol w:w="109"/>
        <w:gridCol w:w="109"/>
        <w:gridCol w:w="109"/>
        <w:gridCol w:w="200"/>
        <w:gridCol w:w="598"/>
        <w:gridCol w:w="133"/>
        <w:gridCol w:w="109"/>
        <w:gridCol w:w="109"/>
        <w:gridCol w:w="109"/>
        <w:gridCol w:w="706"/>
        <w:gridCol w:w="141"/>
        <w:gridCol w:w="327"/>
        <w:gridCol w:w="166"/>
        <w:gridCol w:w="496"/>
        <w:gridCol w:w="109"/>
        <w:gridCol w:w="327"/>
        <w:gridCol w:w="184"/>
        <w:gridCol w:w="619"/>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1" w:type="dxa"/>
            <w:gridSpan w:val="57"/>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Total Stockholders'</w:t>
              <w:br/>
              <w:t>Equity</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 xml:space="preserve">Balance, January 1, 2024 </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12,522,146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35,688,349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4,247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12,532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84,808,325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97,456</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Tax distributions to members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Class B to Class A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16,260</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(16,260)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(16,260)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506,264</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(32,371)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84,187</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84,187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deferred tax asset and TRA liability related to redemption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Equity-based compensation </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2,541</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2,587</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139</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1,067</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Rebalancing of controlling and non-controlling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(1,674)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Balance, March 31, 2024</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13,012,299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35,756,276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13,274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84,876,252</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86,584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99,858</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Tax distributions to members</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(539)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RSU vesting during period</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484,548</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(61,694)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(159)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shares issued upon vesting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22,338</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22,338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deferred tax asset and TRA liability related to redemption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compensation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2,398</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2,425</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185</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1,375</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Rebalancing of controlling and non-controlling interest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(1,621)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Balance, June 30, 2024</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13,435,153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35,778,614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9,744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4,571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14,066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84,898,590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88,883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102,949</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Tax distributions to members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(50)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RSU vesting during period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315,189</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Repurchases of common stock</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(80,490)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(179)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Class B shares issued upon vesting of LLC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21,148</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21,148</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deferred tax asset and TRA liability related to redemption of LLC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186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186</w:t>
            </w: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2,497</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2,524</w:t>
            </w: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(141)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(1,075)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2"/>
              </w:rPr>
            </w:pPr>
            <w:r>
              <w:rPr>
                <w:rFonts w:ascii="Times New Roman;serif" w:hAnsi="Times New Roman;serif"/>
                <w:b w:val="false"/>
                <w:color w:val="000000"/>
                <w:sz w:val="12"/>
              </w:rPr>
              <w:t>Rebalancing of controlling and non-controlling interest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(1,960)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2"/>
              </w:rPr>
            </w:pPr>
            <w:r>
              <w:rPr>
                <w:rFonts w:ascii="Times New Roman;serif" w:hAnsi="Times New Roman;serif"/>
                <w:b/>
                <w:color w:val="000000"/>
                <w:sz w:val="12"/>
              </w:rPr>
              <w:t>Balance, September 30, 2024</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13,669,852</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35,799,762</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49,119,976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2"/>
              </w:rPr>
            </w:pPr>
            <w:r>
              <w:rPr>
                <w:rFonts w:ascii="Times New Roman;serif" w:hAnsi="Times New Roman;serif"/>
                <w:b/>
                <w:color w:val="000000"/>
                <w:sz w:val="12"/>
              </w:rPr>
              <w:t>(438)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4,430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14,469</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84,919,738</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89,886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2"/>
              </w:rPr>
              <w:t>104,355</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Brilliant Earth Group, Inc.</w:t>
      </w:r>
    </w:p>
    <w:p>
      <w:pPr>
        <w:pStyle w:val="TextBody"/>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UNAUDITED CONDENSED CONSOLIDATED STATEMENTS OF CASH FLOWS</w:t>
      </w:r>
    </w:p>
    <w:p>
      <w:pPr>
        <w:pStyle w:val="TextBody"/>
        <w:bidi w:val="0"/>
        <w:spacing w:lineRule="auto" w:line="300" w:before="0" w:after="2"/>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8708" w:type="dxa"/>
        <w:jc w:val="left"/>
        <w:tblInd w:w="0" w:type="dxa"/>
        <w:tblLayout w:type="fixed"/>
        <w:tblCellMar>
          <w:top w:w="28" w:type="dxa"/>
          <w:left w:w="28" w:type="dxa"/>
          <w:bottom w:w="28" w:type="dxa"/>
          <w:right w:w="28" w:type="dxa"/>
        </w:tblCellMar>
      </w:tblPr>
      <w:tblGrid>
        <w:gridCol w:w="2283"/>
        <w:gridCol w:w="2007"/>
        <w:gridCol w:w="2024"/>
        <w:gridCol w:w="196"/>
        <w:gridCol w:w="661"/>
        <w:gridCol w:w="109"/>
        <w:gridCol w:w="109"/>
        <w:gridCol w:w="109"/>
        <w:gridCol w:w="109"/>
        <w:gridCol w:w="196"/>
        <w:gridCol w:w="751"/>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Equity-based compensation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tax expense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2,551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3,504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(2,493)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(2,730)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Class A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Payments on SVB term loan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(56,063)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and TRA payments to members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(88,423)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(3,926)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Net decrease in cash, cash equivalents and restricted cash</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(88,365)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6"/>
              </w:rPr>
            </w:pPr>
            <w:r>
              <w:rPr>
                <w:rFonts w:ascii="Times New Roman;serif" w:hAnsi="Times New Roman;serif"/>
                <w:b/>
                <w:color w:val="000000"/>
                <w:sz w:val="16"/>
              </w:rPr>
              <w:t>(3,152)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156,020 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73,776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6"/>
              </w:rPr>
              <w:t>152,868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152,653 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73,776 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152,868 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deferred tax assets associated with redemption of LLC Units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TRA Obligation associated with redemption of LLC Units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 and 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APIC related to redemption of LLC Units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63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i/>
          <w:color w:val="000000"/>
          <w:sz w:val="16"/>
        </w:rPr>
        <w:t xml:space="preserve">The accompanying notes are an integral part of these unaudited </w:t>
      </w:r>
      <w:r>
        <w:rPr>
          <w:rFonts w:ascii="Times New Roman;serif" w:hAnsi="Times New Roman;serif"/>
          <w:b w:val="false"/>
          <w:i/>
          <w:color w:val="000000"/>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Brilliant Earth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THE UNAUDITED CONDENSED CONSOLIDATED FINANCIAL STATEMENTS</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4"/>
        </w:rPr>
        <w:t xml:space="preserve">1. </w:t>
      </w:r>
      <w:r>
        <w:rPr>
          <w:rFonts w:ascii="Times New Roman;serif" w:hAnsi="Times New Roman;serif"/>
          <w:b/>
          <w:color w:val="000000"/>
          <w:sz w:val="22"/>
        </w:rPr>
        <w:t>DESCRIPTION OF BUSINESS AND SUMMARY OF SIGNIFICANT ACCOUNTING POLICIES</w:t>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lineRule="auto" w:line="288" w:before="0" w:after="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designs, procures and sells ethically sourced diamonds, gemstones and jewelry online and through showrooms operating within the United States (“U.S.”). Co-headquarters are located in San Francisco, California and Denver, Colorado.</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2"/>
        </w:rPr>
      </w:pPr>
      <w:r>
        <w:rPr>
          <w:rFonts w:ascii="Times New Roman;serif" w:hAnsi="Times New Roman;serif"/>
          <w:b/>
          <w:i/>
          <w:color w:val="000000"/>
          <w:sz w:val="22"/>
        </w:rPr>
        <w:t>Basis of Presentation</w:t>
      </w:r>
    </w:p>
    <w:p>
      <w:pPr>
        <w:pStyle w:val="TextBody"/>
        <w:bidi w:val="0"/>
        <w:spacing w:lineRule="auto" w:line="288" w:before="0" w:after="200"/>
        <w:ind w:left="0" w:right="0" w:firstLine="720"/>
        <w:jc w:val="both"/>
        <w:rPr/>
      </w:pPr>
      <w:r>
        <w:rPr>
          <w:rFonts w:ascii="Times New Roman;serif" w:hAnsi="Times New Roman;serif"/>
          <w:b w:val="false"/>
          <w:color w:val="000000"/>
          <w:sz w:val="22"/>
        </w:rPr>
        <w:t>The unaudited condensed consolidated financial statements have been prepared in accordance with U.S. generally accepted accounting prin</w:t>
      </w:r>
      <w:r>
        <w:rPr>
          <w:rFonts w:ascii="Times New Roman;serif" w:hAnsi="Times New Roman;serif"/>
          <w:b w:val="false"/>
          <w:color w:val="000000"/>
          <w:sz w:val="22"/>
          <w:shd w:fill="FFFFFF" w:val="clear"/>
        </w:rPr>
        <w:t>ciples (</w:t>
      </w:r>
      <w:r>
        <w:rPr>
          <w:color w:val="000000"/>
        </w:rPr>
        <w:t>“</w:t>
      </w:r>
      <w:r>
        <w:rPr>
          <w:rFonts w:ascii="Times New Roman;serif" w:hAnsi="Times New Roman;serif"/>
          <w:b w:val="false"/>
          <w:color w:val="000000"/>
          <w:sz w:val="22"/>
          <w:shd w:fill="FFFFFF" w:val="clear"/>
        </w:rPr>
        <w:t>GAAP</w:t>
      </w:r>
      <w:r>
        <w:rPr>
          <w:color w:val="000000"/>
        </w:rPr>
        <w:t>”</w:t>
      </w:r>
      <w:r>
        <w:rPr>
          <w:rFonts w:ascii="Times New Roman;serif" w:hAnsi="Times New Roman;serif"/>
          <w:b w:val="false"/>
          <w:color w:val="000000"/>
          <w:sz w:val="22"/>
          <w:shd w:fill="FFFFFF" w:val="clear"/>
        </w:rPr>
        <w:t>) and th</w:t>
      </w:r>
      <w:r>
        <w:rPr>
          <w:rFonts w:ascii="Times New Roman;serif" w:hAnsi="Times New Roman;serif"/>
          <w:b w:val="false"/>
          <w:color w:val="000000"/>
          <w:sz w:val="22"/>
        </w:rPr>
        <w:t>e requirements of the Securities and Exchange Commission (the “SEC”) for interim reporting. As permitted under those rules, certain footnotes or other financial information that are normally required by GAAP can be condensed or omitted. These interim results are not necessarily indicative of the results to be expected for the fiscal year ending December 31, 2025, or for any other interim period or for any other future year.</w:t>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condensed consolidated balance sheet as of December 31, 2024 has been derived from the audited consolidated financial statements of the Company, which are included in the Company's Annual Report on Form 10-K for the year ended December 31, 2024 (the “2024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GAAP applicable to interim periods. These unaudited condensed consolidated financial statements should be read in conjunction with the audited consolidated financial statements and the related notes thereto as of and for the year ended December 31, 2024, as disclosed in the 2024 </w:t>
      </w:r>
      <w:r>
        <w:rPr>
          <w:rFonts w:ascii="Times New Roman;serif" w:hAnsi="Times New Roman;serif"/>
          <w:b w:val="false"/>
          <w:color w:val="000000"/>
          <w:sz w:val="22"/>
          <w:shd w:fill="FFFFFF" w:val="clear"/>
        </w:rPr>
        <w:t>Form 10-K</w:t>
      </w:r>
      <w:r>
        <w:rPr>
          <w:rFonts w:ascii="Times New Roman;serif" w:hAnsi="Times New Roman;serif"/>
          <w:b w:val="false"/>
          <w:color w:val="000000"/>
          <w:sz w:val="22"/>
        </w:rPr>
        <w:t>.</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Certain reclassifications have been made to prior period amounts to conform to the current presentation. These reclassifications had no impact on net</w:t>
      </w:r>
      <w:r>
        <w:rPr>
          <w:color w:val="000000"/>
          <w:shd w:fill="FFFFFF" w:val="clear"/>
        </w:rPr>
        <w:t xml:space="preserve"> </w:t>
      </w:r>
      <w:r>
        <w:rPr>
          <w:rFonts w:ascii="Times New Roman;serif" w:hAnsi="Times New Roman;serif"/>
          <w:b w:val="false"/>
          <w:color w:val="000000"/>
          <w:sz w:val="22"/>
          <w:shd w:fill="FFFFFF" w:val="clear"/>
        </w:rPr>
        <w:t>(loss) incom</w:t>
      </w:r>
      <w:r>
        <w:rPr>
          <w:rFonts w:ascii="Times New Roman;serif" w:hAnsi="Times New Roman;serif"/>
          <w:b w:val="false"/>
          <w:color w:val="000000"/>
          <w:sz w:val="22"/>
        </w:rPr>
        <w:t>e, cash flows or stockholders’ equity previously reported.</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have been no material changes or updates to the Company's significant accounting policies from those described in the audited consolidated financial statements included in the 2024 Form 10-K except for the updates noted below.</w:t>
      </w:r>
    </w:p>
    <w:p>
      <w:pPr>
        <w:pStyle w:val="TextBody"/>
        <w:bidi w:val="0"/>
        <w:spacing w:before="0" w:after="0"/>
        <w:jc w:val="left"/>
        <w:rPr/>
      </w:pPr>
      <w:r>
        <w:rPr/>
      </w:r>
    </w:p>
    <w:p>
      <w:pPr>
        <w:pStyle w:val="TextBody"/>
        <w:bidi w:val="0"/>
        <w:spacing w:lineRule="auto" w:line="300" w:before="0" w:after="200"/>
        <w:jc w:val="left"/>
        <w:rPr>
          <w:rFonts w:ascii="Times New Roman;serif" w:hAnsi="Times New Roman;serif"/>
          <w:b/>
          <w:i/>
          <w:color w:val="000000"/>
          <w:sz w:val="22"/>
        </w:rPr>
      </w:pPr>
      <w:r>
        <w:rPr>
          <w:rFonts w:ascii="Times New Roman;serif" w:hAnsi="Times New Roman;serif"/>
          <w:b/>
          <w:i/>
          <w:color w:val="000000"/>
          <w:sz w:val="22"/>
        </w:rPr>
        <w:t>Principles of Consolidation and Non-Controlling Interest</w:t>
      </w:r>
    </w:p>
    <w:p>
      <w:pPr>
        <w:pStyle w:val="TextBody"/>
        <w:bidi w:val="0"/>
        <w:spacing w:lineRule="auto" w:line="288" w:before="0" w:after="20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unaudited condensed consolidated financial statements include the accounts of the Company and its controlled subsidiary, Brilliant Earth, LLC. All intercompany balances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The non-controlling interest on the unaudited condensed consolidated statements of operations represents the portion of income or loss attributable to the economic interest in Brilliant Earth, LLC held 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w:t>
      </w:r>
      <w:r>
        <w:rPr>
          <w:rFonts w:ascii="Times New Roman;serif" w:hAnsi="Times New Roman;serif"/>
          <w:b w:val="false"/>
          <w:color w:val="000000"/>
          <w:sz w:val="22"/>
        </w:rPr>
        <w:t>As of September 30, 2025, the non-controlling interest was </w:t>
      </w:r>
      <w:r>
        <w:rPr>
          <w:rFonts w:ascii="Times New Roman;serif" w:hAnsi="Times New Roman;serif"/>
          <w:b w:val="false"/>
          <w:color w:val="000000"/>
          <w:sz w:val="22"/>
          <w:shd w:fill="FFFFFF" w:val="clear"/>
        </w:rPr>
        <w:t>84.9%</w:t>
      </w:r>
      <w:r>
        <w:rPr>
          <w:rFonts w:ascii="Times New Roman;serif" w:hAnsi="Times New Roman;serif"/>
          <w:b w:val="false"/>
          <w:color w:val="000000"/>
          <w:sz w:val="22"/>
        </w:rPr>
        <w:t>.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pStyle w:val="TextBody"/>
        <w:bidi w:val="0"/>
        <w:spacing w:before="0" w:after="0"/>
        <w:jc w:val="left"/>
        <w:rPr/>
      </w:pPr>
      <w:r>
        <w:rPr/>
      </w:r>
    </w:p>
    <w:p>
      <w:pPr>
        <w:pStyle w:val="TextBody"/>
        <w:bidi w:val="0"/>
        <w:spacing w:lineRule="auto" w:line="300" w:before="0" w:after="200"/>
        <w:jc w:val="left"/>
        <w:rPr>
          <w:rFonts w:ascii="Times New Roman;serif" w:hAnsi="Times New Roman;serif"/>
          <w:b/>
          <w:i/>
          <w:color w:val="000000"/>
          <w:sz w:val="22"/>
        </w:rPr>
      </w:pPr>
      <w:r>
        <w:rPr>
          <w:rFonts w:ascii="Times New Roman;serif" w:hAnsi="Times New Roman;serif"/>
          <w:b/>
          <w:i/>
          <w:color w:val="000000"/>
          <w:sz w:val="22"/>
        </w:rPr>
        <w:t>Use of Estimates</w:t>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TRA, useful lives and depreciation of long-lived assets.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0"/>
        <w:jc w:val="left"/>
        <w:rPr/>
      </w:pPr>
      <w:r>
        <w:rPr/>
      </w:r>
    </w:p>
    <w:p>
      <w:pPr>
        <w:pStyle w:val="TextBody"/>
        <w:bidi w:val="0"/>
        <w:spacing w:lineRule="auto" w:line="300" w:before="0" w:after="200"/>
        <w:jc w:val="left"/>
        <w:rPr>
          <w:rFonts w:ascii="Times New Roman;serif" w:hAnsi="Times New Roman;serif"/>
          <w:b/>
          <w:i/>
          <w:color w:val="000000"/>
          <w:sz w:val="22"/>
        </w:rPr>
      </w:pPr>
      <w:r>
        <w:rPr>
          <w:rFonts w:ascii="Times New Roman;serif" w:hAnsi="Times New Roman;serif"/>
          <w:b/>
          <w:i/>
          <w:color w:val="000000"/>
          <w:sz w:val="22"/>
        </w:rPr>
        <w:t>Fair Value Measurements</w:t>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Fair value is the price that would be received to sell an asset or paid to transfer a liability in an orderly transaction between market participants at the measurement date. GAAP establishes a fair value hierarchy which requires an entity to maximize the use of observable inputs and minimize the use of unobservable inputs when measuring fair value. GAAP prescribes three levels of inputs that may be used to measure fair value:</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Level 1        Valuation based on quoted prices (unadjusted) observed in active markets for </w:t>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identical assets or liabilities.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Level 2        Valuation techniques based on inputs that are quoted prices of similar </w:t>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instruments in active markets; quoted prices for identical or similar instruments </w:t>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markets that are not in active markets; inputs other than quoted prices used in a </w:t>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valuation model that are observable for that instrument; and inputs that are </w:t>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derived from, or corroborated by, observable market data by correlation or other </w:t>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means.</w:t>
      </w:r>
    </w:p>
    <w:p>
      <w:pPr>
        <w:pStyle w:val="TextBody"/>
        <w:bidi w:val="0"/>
        <w:spacing w:before="0" w:after="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Level 3        Valuation techniques with significant unobservable market inputs.</w:t>
      </w:r>
    </w:p>
    <w:p>
      <w:pPr>
        <w:pStyle w:val="TextBody"/>
        <w:bidi w:val="0"/>
        <w:spacing w:before="0" w:after="0"/>
        <w:ind w:left="0" w:right="0" w:hanging="108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is required to disclose its estimate of the fair value of material financial instruments, including those recorded as assets or liabilities in its financial statements, in accordance with GAAP.</w:t>
      </w:r>
    </w:p>
    <w:p>
      <w:pPr>
        <w:pStyle w:val="TextBody"/>
        <w:bidi w:val="0"/>
        <w:spacing w:lineRule="auto" w:line="288" w:before="0" w:after="2"/>
        <w:ind w:left="0" w:right="0" w:firstLine="720"/>
        <w:jc w:val="both"/>
        <w:rPr/>
      </w:pPr>
      <w:r>
        <w:rPr>
          <w:rFonts w:ascii="Times New Roman;serif" w:hAnsi="Times New Roman;serif"/>
          <w:b w:val="false"/>
          <w:color w:val="000000"/>
          <w:sz w:val="22"/>
        </w:rPr>
        <w:t>At September 30, 2025 and December 31, 2024, ther</w:t>
      </w:r>
      <w:r>
        <w:rPr>
          <w:rFonts w:ascii="Times New Roman;serif" w:hAnsi="Times New Roman;serif"/>
          <w:b w:val="false"/>
          <w:color w:val="000000"/>
          <w:sz w:val="22"/>
          <w:shd w:fill="FFFFFF" w:val="clear"/>
        </w:rPr>
        <w:t>e were no financial instruments (assets or liabilities) measured at fair value on a recurring basis.</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carrying amounts of cash and cash equivalents, restricted cash, accounts payable and accrued expenses and other current liabilities approximate fair value due to their short-term maturities. </w:t>
      </w:r>
    </w:p>
    <w:p>
      <w:pPr>
        <w:pStyle w:val="TextBody"/>
        <w:bidi w:val="0"/>
        <w:spacing w:before="0" w:after="2"/>
        <w:jc w:val="both"/>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Cash and Cash Equivalents</w:t>
      </w:r>
    </w:p>
    <w:p>
      <w:pPr>
        <w:pStyle w:val="TextBody"/>
        <w:bidi w:val="0"/>
        <w:spacing w:before="0" w:after="2"/>
        <w:jc w:val="left"/>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 xml:space="preserve">As of September 30, 2025 and December 31, 2024, money market fund accounts included in cash equivalents was </w:t>
      </w:r>
      <w:r>
        <w:rPr>
          <w:rFonts w:ascii="Times New Roman;serif" w:hAnsi="Times New Roman;serif"/>
          <w:b w:val="false"/>
          <w:color w:val="000000"/>
          <w:sz w:val="22"/>
          <w:shd w:fill="FFFFFF" w:val="clear"/>
        </w:rPr>
        <w:t>$33.5 million</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shd w:fill="FFFFFF" w:val="clear"/>
        </w:rPr>
        <w:t>$71.6 million</w:t>
      </w:r>
      <w:r>
        <w:rPr>
          <w:rFonts w:ascii="Times New Roman;serif" w:hAnsi="Times New Roman;serif"/>
          <w:b w:val="false"/>
          <w:color w:val="000000"/>
          <w:sz w:val="22"/>
        </w:rPr>
        <w:t xml:space="preserve">, respectively, and classified as Level 1 financial instruments. The Company recognized interest income of </w:t>
      </w:r>
      <w:r>
        <w:rPr>
          <w:rFonts w:ascii="Times New Roman;serif" w:hAnsi="Times New Roman;serif"/>
          <w:b w:val="false"/>
          <w:color w:val="000000"/>
          <w:sz w:val="22"/>
          <w:shd w:fill="FFFFFF" w:val="clear"/>
        </w:rPr>
        <w:t>$0.8 million and $3.2 million</w:t>
      </w:r>
      <w:r>
        <w:rPr>
          <w:color w:val="000000"/>
        </w:rPr>
        <w:t xml:space="preserve"> </w:t>
      </w:r>
      <w:r>
        <w:rPr>
          <w:rFonts w:ascii="Times New Roman;serif" w:hAnsi="Times New Roman;serif"/>
          <w:b w:val="false"/>
          <w:color w:val="000000"/>
          <w:sz w:val="22"/>
        </w:rPr>
        <w:t>for the three and nine months ended September 30, 2025</w:t>
      </w:r>
      <w:r>
        <w:rPr>
          <w:rFonts w:ascii="Times New Roman;serif" w:hAnsi="Times New Roman;serif"/>
          <w:b w:val="false"/>
          <w:color w:val="000000"/>
          <w:sz w:val="22"/>
          <w:shd w:fill="FFFFFF" w:val="clear"/>
        </w:rPr>
        <w:t xml:space="preserve">, respectively, and $1.6 million and $4.6 million for the </w:t>
      </w:r>
      <w:r>
        <w:rPr>
          <w:rFonts w:ascii="Times New Roman;serif" w:hAnsi="Times New Roman;serif"/>
          <w:b w:val="false"/>
          <w:color w:val="000000"/>
          <w:sz w:val="22"/>
        </w:rPr>
        <w:t>three and nine months ended September 30, 2024</w:t>
      </w:r>
      <w:r>
        <w:rPr>
          <w:rFonts w:ascii="Times New Roman;serif" w:hAnsi="Times New Roman;serif"/>
          <w:b w:val="false"/>
          <w:color w:val="000000"/>
          <w:sz w:val="22"/>
          <w:shd w:fill="FFFFFF" w:val="clear"/>
        </w:rPr>
        <w:t xml:space="preserve">, respectively. Interest income is included in other income, net in the unaudited condensed consolidated statements of operations.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Segment Information</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Company operates in one operating and reporting segment which, is the retail sale of diamonds, gemstones and jewelry. See Note 3, </w:t>
      </w:r>
      <w:r>
        <w:rPr>
          <w:rFonts w:ascii="Times New Roman;serif" w:hAnsi="Times New Roman;serif"/>
          <w:b w:val="false"/>
          <w:i/>
          <w:color w:val="000000"/>
          <w:sz w:val="22"/>
        </w:rPr>
        <w:t>Revenue</w:t>
      </w:r>
      <w:r>
        <w:rPr>
          <w:rFonts w:ascii="Times New Roman;serif" w:hAnsi="Times New Roman;serif"/>
          <w:b w:val="false"/>
          <w:color w:val="000000"/>
          <w:sz w:val="22"/>
        </w:rPr>
        <w:t xml:space="preserve">, for disclosure of total net sales by geography. The Company’s chief operating decision maker (“CODM”), the Chief Executive Officer (“CEO”), has chosen to review financial information presented on a consolidated basis for purposes of making operating decisions and assessing financial performance. The CODM utilizes net (loss) income to assess financial performance and allocate resources.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The CODM is provided with and uses the consolidated balance sheet information as is presented in the </w:t>
      </w:r>
      <w:r>
        <w:rPr>
          <w:rFonts w:ascii="Times New Roman;serif" w:hAnsi="Times New Roman;serif"/>
          <w:b w:val="false"/>
          <w:color w:val="000000"/>
          <w:sz w:val="22"/>
        </w:rPr>
        <w:t xml:space="preserve">unaudited condensed </w:t>
      </w:r>
      <w:r>
        <w:rPr>
          <w:rFonts w:ascii="Times New Roman;serif" w:hAnsi="Times New Roman;serif"/>
          <w:b w:val="false"/>
          <w:color w:val="000000"/>
          <w:sz w:val="22"/>
          <w:shd w:fill="FFFFFF" w:val="clear"/>
        </w:rPr>
        <w:t xml:space="preserve">consolidated balance sheets.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CODM is provided with and uses the consolidated expenses as noted on the face of the unaudited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Cash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August 2025, the Board of Directors of the Company declared a one-time cash dividend of $0.25 per share to holders of its Class A common stock and holders of common units of Brilliant Earth, LLC, respectively. The distribution from Brilliant Earth, LLC totaled approximately $25.0 million, of which a pro rata portion was used by the Company to fund the dividend. Payment of the dividend was made on September 8, 2025 to holders of record of the Company's Class A common stock as of the close of business on August 22, 2025.</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Any future determination as to the declaration and payment of dividends, if any, will be at the discretion of the Company's Board of Directors, subject to the requirements of applicable law, compliance with contractual restrictions and covenants in the agreements governing our current and future indebtedness. Any such determination will also depend upon the Company's business prospects, results of operations, financial condition, cash requirements and availability, industry trends, and other factors that the Board of Directors may deem relevant. </w:t>
      </w:r>
    </w:p>
    <w:p>
      <w:pPr>
        <w:pStyle w:val="TextBody"/>
        <w:bidi w:val="0"/>
        <w:spacing w:before="0" w:after="2"/>
        <w:jc w:val="left"/>
        <w:rPr/>
      </w:pPr>
      <w:r>
        <w:rPr/>
      </w:r>
    </w:p>
    <w:p>
      <w:pPr>
        <w:pStyle w:val="TextBody"/>
        <w:bidi w:val="0"/>
        <w:spacing w:before="0" w:after="200"/>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Recent Accounting Pronouncements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Accounting Pronouncements Issued but Not Yet Adopted</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This ASU will have no impact on the Company's consolidated financial statements except for additional disclosures, and we are currently evaluating the impact on the income tax related disclosures. </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November 2024, the FASB issued ASU 2024-03, to improve financial reporting under ASC 220, Income Statement-Reporting Comprehensive Income. The guidance requires entities to disclose additional information about specific expense categories related to cost of sales and operating expenses in the notes to financial statements at interim and annual reporting periods. This ASU will be effective for fiscal years beginning after December 15, 2026, and interim periods within fiscal years beginning after December 15, 2027. Early adoption is permitted. We are still evaluating the impact this ASU will have on our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4"/>
        </w:rPr>
      </w:pPr>
      <w:r>
        <w:rPr>
          <w:rFonts w:ascii="Times New Roman;serif" w:hAnsi="Times New Roman;serif"/>
          <w:b/>
          <w:color w:val="000000"/>
          <w:sz w:val="24"/>
        </w:rPr>
        <w:t>2. EARNINGS PER SHARE</w:t>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Basic earnings per share is computed by dividing net (loss) income applicable to Brilliant Earth Group, Inc. by the weighted average shares of Class A common stock outstanding (and Class D common stock, if outstanding) during the period. Diluted earnings per share is computed by adjusting the net (loss)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Basic and diluted earnings per share of Class A common stock have been computed as follows (in thousands, except share and per share amounts): </w:t>
      </w:r>
    </w:p>
    <w:tbl>
      <w:tblPr>
        <w:tblW w:w="10205" w:type="dxa"/>
        <w:jc w:val="center"/>
        <w:tblInd w:w="0" w:type="dxa"/>
        <w:tblLayout w:type="fixed"/>
        <w:tblCellMar>
          <w:top w:w="28" w:type="dxa"/>
          <w:left w:w="28" w:type="dxa"/>
          <w:bottom w:w="28" w:type="dxa"/>
          <w:right w:w="28" w:type="dxa"/>
        </w:tblCellMar>
      </w:tblPr>
      <w:tblGrid>
        <w:gridCol w:w="1613"/>
        <w:gridCol w:w="1320"/>
        <w:gridCol w:w="1328"/>
        <w:gridCol w:w="307"/>
        <w:gridCol w:w="804"/>
        <w:gridCol w:w="128"/>
        <w:gridCol w:w="128"/>
        <w:gridCol w:w="128"/>
        <w:gridCol w:w="128"/>
        <w:gridCol w:w="307"/>
        <w:gridCol w:w="804"/>
        <w:gridCol w:w="128"/>
        <w:gridCol w:w="109"/>
        <w:gridCol w:w="109"/>
        <w:gridCol w:w="109"/>
        <w:gridCol w:w="270"/>
        <w:gridCol w:w="811"/>
        <w:gridCol w:w="109"/>
        <w:gridCol w:w="109"/>
        <w:gridCol w:w="109"/>
        <w:gridCol w:w="109"/>
        <w:gridCol w:w="275"/>
        <w:gridCol w:w="806"/>
        <w:gridCol w:w="157"/>
      </w:tblGrid>
      <w:tr>
        <w:trPr/>
        <w:tc>
          <w:tcPr>
            <w:tcW w:w="161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Brilliant Earth Group, Inc., BASIC</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(loss) income impact from assumed redemption of all LLC Units to common stock</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 (less): Income tax benefit (expense) on net (loss) income attributable to NCI</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Brilliant Earth Group, Inc., after adjustment for assumed conversion, DILUTED</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14,993,768 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13,545,256 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14,555,854 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13,203,551 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effects of:</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Vested LLC Units that are exchangeable for common stock</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85,180,049 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LLC Units that are exchangeable for common stock</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55,708 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87,863 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14,993,768 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13,545,256 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14,555,854 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98,527,171 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3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3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2"/>
          <w:shd w:fill="FFFFFF" w:val="clear"/>
        </w:rPr>
        <w:t>Net (loss) inco</w:t>
      </w:r>
      <w:r>
        <w:rPr>
          <w:rFonts w:ascii="Times New Roman;serif" w:hAnsi="Times New Roman;serif"/>
          <w:b w:val="false"/>
          <w:color w:val="000000"/>
          <w:sz w:val="22"/>
        </w:rPr>
        <w:t>me attributable to the non-controlling interest is added back to net (loss) income in the fully dilutive computation and has been adjusted for income taxes which would hav</w:t>
      </w:r>
      <w:r>
        <w:rPr>
          <w:rFonts w:ascii="Times New Roman;serif" w:hAnsi="Times New Roman;serif"/>
          <w:b w:val="false"/>
          <w:color w:val="000000"/>
          <w:sz w:val="22"/>
          <w:shd w:fill="FFFFFF" w:val="clear"/>
        </w:rPr>
        <w:t>e been benefited (expensed) had the (loss) income been recognized by Brilliant Earth Group, Inc., a tax</w:t>
      </w:r>
      <w:r>
        <w:rPr>
          <w:rFonts w:ascii="Times New Roman;serif" w:hAnsi="Times New Roman;serif"/>
          <w:b w:val="false"/>
          <w:color w:val="000000"/>
          <w:sz w:val="22"/>
        </w:rPr>
        <w:t>able entity. The weighted average common shares outstanding in the diluted computation per share assumes all outstanding LLC Units are converted and the Company will elect to issue shares of common stock upon redemption rather than cash-settle.</w:t>
      </w:r>
    </w:p>
    <w:p>
      <w:pPr>
        <w:pStyle w:val="TextBody"/>
        <w:bidi w:val="0"/>
        <w:spacing w:lineRule="auto" w:line="288" w:before="0" w:after="20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 the three and nine months ended September 30, 2025 and 2024, the dilutive impact of LLC Units convertible into common stock were included in the computation of diluted earnings per share under the if-converted method, except when the effect would be anti-dilutive. The dilutive impact of unvested LLC Units and RSUs were included using the treasury stock method, except when the effect would be anti-dilutive.</w:t>
      </w:r>
    </w:p>
    <w:p>
      <w:pPr>
        <w:pStyle w:val="TextBody"/>
        <w:bidi w:val="0"/>
        <w:spacing w:before="0" w:after="2"/>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ind w:left="0" w:right="0" w:firstLine="720"/>
        <w:jc w:val="both"/>
        <w:rPr/>
      </w:pPr>
      <w:r>
        <w:rPr>
          <w:rFonts w:ascii="Times New Roman;serif" w:hAnsi="Times New Roman;serif"/>
          <w:b w:val="false"/>
          <w:color w:val="000000"/>
          <w:sz w:val="22"/>
          <w:shd w:fill="FFFFFF" w:val="clear"/>
        </w:rPr>
        <w:t xml:space="preserve">The following table presents the securities for the </w:t>
      </w:r>
      <w:r>
        <w:rPr>
          <w:rFonts w:ascii="Times New Roman;serif" w:hAnsi="Times New Roman;serif"/>
          <w:b w:val="false"/>
          <w:color w:val="000000"/>
          <w:sz w:val="22"/>
        </w:rPr>
        <w:t xml:space="preserve">three and nine months ended September 30, 2025 and </w:t>
      </w:r>
      <w:r>
        <w:rPr>
          <w:rFonts w:ascii="Times New Roman;serif" w:hAnsi="Times New Roman;serif"/>
          <w:b w:val="false"/>
          <w:color w:val="000000"/>
          <w:sz w:val="22"/>
          <w:shd w:fill="FFFFFF" w:val="clear"/>
        </w:rPr>
        <w:t xml:space="preserve">2024, that have been excluded from the computations of earnings per share because such impact would have been anti-dilutive: </w:t>
      </w:r>
    </w:p>
    <w:tbl>
      <w:tblPr>
        <w:tblW w:w="8414" w:type="dxa"/>
        <w:jc w:val="center"/>
        <w:tblInd w:w="0" w:type="dxa"/>
        <w:tblLayout w:type="fixed"/>
        <w:tblCellMar>
          <w:top w:w="28" w:type="dxa"/>
          <w:left w:w="28" w:type="dxa"/>
          <w:bottom w:w="28" w:type="dxa"/>
          <w:right w:w="28" w:type="dxa"/>
        </w:tblCellMar>
      </w:tblPr>
      <w:tblGrid>
        <w:gridCol w:w="647"/>
        <w:gridCol w:w="568"/>
        <w:gridCol w:w="570"/>
        <w:gridCol w:w="540"/>
        <w:gridCol w:w="541"/>
        <w:gridCol w:w="206"/>
        <w:gridCol w:w="206"/>
        <w:gridCol w:w="206"/>
        <w:gridCol w:w="206"/>
        <w:gridCol w:w="545"/>
        <w:gridCol w:w="536"/>
        <w:gridCol w:w="220"/>
        <w:gridCol w:w="109"/>
        <w:gridCol w:w="109"/>
        <w:gridCol w:w="109"/>
        <w:gridCol w:w="540"/>
        <w:gridCol w:w="541"/>
        <w:gridCol w:w="190"/>
        <w:gridCol w:w="190"/>
        <w:gridCol w:w="190"/>
        <w:gridCol w:w="190"/>
        <w:gridCol w:w="500"/>
        <w:gridCol w:w="476"/>
        <w:gridCol w:w="27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Vested LLC Units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84,944,802 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84,905,562 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84,951,274 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4,097,173 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4,386,404 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4,006,162 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3,616,374 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665,905 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681,592 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665,905 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723,667 </w:t>
            </w:r>
          </w:p>
        </w:tc>
        <w:tc>
          <w:tcPr>
            <w:tcW w:w="2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LLC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59,969 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6,330 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14,864 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4"/>
        </w:rPr>
      </w:pPr>
      <w:r>
        <w:rPr>
          <w:rFonts w:ascii="Times New Roman;serif" w:hAnsi="Times New Roman;serif"/>
          <w:b/>
          <w:color w:val="000000"/>
          <w:sz w:val="24"/>
        </w:rPr>
        <w:t>3. REVENUE</w:t>
      </w:r>
    </w:p>
    <w:p>
      <w:pPr>
        <w:pStyle w:val="TextBody"/>
        <w:bidi w:val="0"/>
        <w:spacing w:before="0" w:after="0"/>
        <w:jc w:val="left"/>
        <w:rPr/>
      </w:pPr>
      <w:r>
        <w:rPr/>
      </w:r>
    </w:p>
    <w:p>
      <w:pPr>
        <w:pStyle w:val="TextBody"/>
        <w:bidi w:val="0"/>
        <w:spacing w:lineRule="auto" w:line="300" w:before="0" w:after="200"/>
        <w:jc w:val="left"/>
        <w:rPr>
          <w:rFonts w:ascii="Times New Roman;serif" w:hAnsi="Times New Roman;serif"/>
          <w:b w:val="false"/>
          <w:i/>
          <w:color w:val="000000"/>
          <w:sz w:val="22"/>
        </w:rPr>
      </w:pPr>
      <w:r>
        <w:rPr>
          <w:rFonts w:ascii="Times New Roman;serif" w:hAnsi="Times New Roman;serif"/>
          <w:b w:val="false"/>
          <w:i/>
          <w:color w:val="000000"/>
          <w:sz w:val="22"/>
        </w:rPr>
        <w:t>Disaggregation of Revenue</w:t>
      </w:r>
    </w:p>
    <w:p>
      <w:pPr>
        <w:pStyle w:val="TextBody"/>
        <w:bidi w:val="0"/>
        <w:spacing w:lineRule="auto" w:line="288" w:before="0" w:after="160"/>
        <w:ind w:left="0" w:right="0" w:firstLine="720"/>
        <w:jc w:val="left"/>
        <w:rPr/>
      </w:pPr>
      <w:r>
        <w:rPr>
          <w:rFonts w:ascii="Times New Roman;serif" w:hAnsi="Times New Roman;serif"/>
          <w:b w:val="false"/>
          <w:color w:val="000000"/>
          <w:sz w:val="22"/>
        </w:rPr>
        <w:t>The following table discloses total net sales by geography for the three and nine months ended September 30, 2025 and 2024</w:t>
      </w:r>
      <w:r>
        <w:rPr>
          <w:color w:val="000000"/>
          <w:shd w:fill="FFFFFF" w:val="clear"/>
        </w:rPr>
        <w:t xml:space="preserve"> </w:t>
      </w:r>
      <w:r>
        <w:rPr>
          <w:rFonts w:ascii="Times New Roman;serif" w:hAnsi="Times New Roman;serif"/>
          <w:b w:val="false"/>
          <w:color w:val="000000"/>
          <w:sz w:val="22"/>
          <w:shd w:fill="FFFFFF" w:val="clear"/>
        </w:rPr>
        <w:t>(in thousands):</w:t>
      </w:r>
    </w:p>
    <w:tbl>
      <w:tblPr>
        <w:tblW w:w="6839" w:type="dxa"/>
        <w:jc w:val="center"/>
        <w:tblInd w:w="0" w:type="dxa"/>
        <w:tblLayout w:type="fixed"/>
        <w:tblCellMar>
          <w:top w:w="28" w:type="dxa"/>
          <w:left w:w="28" w:type="dxa"/>
          <w:bottom w:w="28" w:type="dxa"/>
          <w:right w:w="28" w:type="dxa"/>
        </w:tblCellMar>
      </w:tblPr>
      <w:tblGrid>
        <w:gridCol w:w="484"/>
        <w:gridCol w:w="424"/>
        <w:gridCol w:w="42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95,571 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290,845 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110,252 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99,873 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313,072 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302,636 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2"/>
        </w:rPr>
      </w:pPr>
      <w:r>
        <w:rPr>
          <w:rFonts w:ascii="Times New Roman;serif" w:hAnsi="Times New Roman;serif"/>
          <w:b w:val="false"/>
          <w:i/>
          <w:color w:val="000000"/>
          <w:sz w:val="22"/>
        </w:rPr>
        <w:t>Contract Balances</w:t>
      </w:r>
    </w:p>
    <w:p>
      <w:pPr>
        <w:pStyle w:val="TextBody"/>
        <w:bidi w:val="0"/>
        <w:spacing w:before="0" w:after="2"/>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Transactions where payment has been received from customers, but control has not transferred, are recorded as customer deposits in deferred revenue and revenue recognition is deferred until delivery has occurred. </w:t>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As of September 30, 2025, December 31, 2024, and December 31, 2023, total deferred revenue that includes our contract balances was </w:t>
      </w:r>
      <w:r>
        <w:rPr>
          <w:rFonts w:ascii="Times New Roman;serif" w:hAnsi="Times New Roman;serif"/>
          <w:b w:val="false"/>
          <w:color w:val="000000"/>
          <w:sz w:val="22"/>
          <w:shd w:fill="FFFFFF" w:val="clear"/>
        </w:rPr>
        <w:t xml:space="preserve">$25.7 million, </w:t>
      </w:r>
      <w:r>
        <w:rPr>
          <w:rFonts w:ascii="Times New Roman;serif" w:hAnsi="Times New Roman;serif"/>
          <w:b w:val="false"/>
          <w:color w:val="000000"/>
          <w:sz w:val="22"/>
        </w:rPr>
        <w:t xml:space="preserve">$18.9 million, and $19.6 million, respectively.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During the three months ended September 30, 2025 and 2024, the Company recognized $19.9 million and $20.2 million, respectively, of revenue that was deferred as of June 30, 2025 and June 30, 2024, respectively.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During the nine months ended September 30, 2025 and 2024, the Company recognized $18.4 million and $18.9 million, respectively, of revenue that was deferred as of December 31, 2024 and December 31, 2023, respectively.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i/>
          <w:color w:val="000000"/>
          <w:sz w:val="22"/>
        </w:rPr>
      </w:pPr>
      <w:r>
        <w:rPr>
          <w:rFonts w:ascii="Times New Roman;serif" w:hAnsi="Times New Roman;serif"/>
          <w:b w:val="false"/>
          <w:i/>
          <w:color w:val="000000"/>
          <w:sz w:val="22"/>
        </w:rPr>
        <w:t>Sales Returns and Allowances</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returns asset account and a refund liabilities account are maintained to record the effects of estimated product returns and sales returns allowance. Returns asset and refund liabilities are updated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end of each financial reporting period and the effect of such changes are accounted for in the period in which such changes occur.</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As of September 30, 2025 and December 31, 2024, refund liabilities balances were </w:t>
      </w:r>
      <w:r>
        <w:rPr>
          <w:rFonts w:ascii="Times New Roman;serif" w:hAnsi="Times New Roman;serif"/>
          <w:b w:val="false"/>
          <w:color w:val="000000"/>
          <w:sz w:val="22"/>
          <w:shd w:fill="FFFFFF" w:val="clear"/>
        </w:rPr>
        <w:t>$1.5 million</w:t>
      </w:r>
      <w:r>
        <w:rPr>
          <w:color w:val="000000"/>
        </w:rPr>
        <w:t xml:space="preserve"> </w:t>
      </w:r>
      <w:r>
        <w:rPr>
          <w:rFonts w:ascii="Times New Roman;serif" w:hAnsi="Times New Roman;serif"/>
          <w:b w:val="false"/>
          <w:color w:val="000000"/>
          <w:sz w:val="22"/>
        </w:rPr>
        <w:t xml:space="preserve">and $2.9 million, respectively, and are included as a provision for sales returns and allowances within accrued expenses and other current liabilities in the unaudited condensed consolidated balance sheets. </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As of September 30, 2025 and December 31, 2024, returns asset balances were </w:t>
      </w:r>
      <w:r>
        <w:rPr>
          <w:rFonts w:ascii="Times New Roman;serif" w:hAnsi="Times New Roman;serif"/>
          <w:b w:val="false"/>
          <w:color w:val="000000"/>
          <w:sz w:val="22"/>
          <w:shd w:fill="FFFFFF" w:val="clear"/>
        </w:rPr>
        <w:t>$0.6 million</w:t>
      </w:r>
      <w:r>
        <w:rPr>
          <w:color w:val="000000"/>
        </w:rPr>
        <w:t xml:space="preserve"> </w:t>
      </w:r>
      <w:r>
        <w:rPr>
          <w:rFonts w:ascii="Times New Roman;serif" w:hAnsi="Times New Roman;serif"/>
          <w:b w:val="false"/>
          <w:color w:val="000000"/>
          <w:sz w:val="22"/>
        </w:rPr>
        <w:t xml:space="preserve">and $1.1 million, respectively, and are included within prepaid expenses and other current assets in the unaudited condensed consolidated balance sheets.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4"/>
        </w:rPr>
      </w:pPr>
      <w:r>
        <w:rPr>
          <w:rFonts w:ascii="Times New Roman;serif" w:hAnsi="Times New Roman;serif"/>
          <w:b/>
          <w:color w:val="000000"/>
          <w:sz w:val="24"/>
        </w:rPr>
        <w:t>4. INVENTORIES, NET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Inventories, net consist of the following</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2"/>
        <w:jc w:val="left"/>
        <w:rPr/>
      </w:pPr>
      <w:r>
        <w:rPr/>
      </w:r>
    </w:p>
    <w:tbl>
      <w:tblPr>
        <w:tblW w:w="6160" w:type="dxa"/>
        <w:jc w:val="center"/>
        <w:tblInd w:w="0" w:type="dxa"/>
        <w:tblLayout w:type="fixed"/>
        <w:tblCellMar>
          <w:top w:w="28" w:type="dxa"/>
          <w:left w:w="28" w:type="dxa"/>
          <w:bottom w:w="28" w:type="dxa"/>
          <w:right w:w="28" w:type="dxa"/>
        </w:tblCellMar>
      </w:tblPr>
      <w:tblGrid>
        <w:gridCol w:w="1168"/>
        <w:gridCol w:w="1025"/>
        <w:gridCol w:w="1031"/>
        <w:gridCol w:w="260"/>
        <w:gridCol w:w="910"/>
        <w:gridCol w:w="134"/>
        <w:gridCol w:w="109"/>
        <w:gridCol w:w="109"/>
        <w:gridCol w:w="109"/>
        <w:gridCol w:w="250"/>
        <w:gridCol w:w="873"/>
        <w:gridCol w:w="182"/>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Loose diamonds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Fine jewelry and other</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36,922 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32,732 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inventory obsolescence</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Total inventories, net</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49,132</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38,292</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allowance for inventory obsolescence consists of the following (in thousands):</w:t>
      </w:r>
    </w:p>
    <w:p>
      <w:pPr>
        <w:pStyle w:val="TextBody"/>
        <w:bidi w:val="0"/>
        <w:spacing w:before="0" w:after="2"/>
        <w:jc w:val="left"/>
        <w:rPr/>
      </w:pPr>
      <w:r>
        <w:rPr/>
      </w:r>
    </w:p>
    <w:tbl>
      <w:tblPr>
        <w:tblW w:w="6158" w:type="dxa"/>
        <w:jc w:val="center"/>
        <w:tblInd w:w="0" w:type="dxa"/>
        <w:tblLayout w:type="fixed"/>
        <w:tblCellMar>
          <w:top w:w="28" w:type="dxa"/>
          <w:left w:w="28" w:type="dxa"/>
          <w:bottom w:w="28" w:type="dxa"/>
          <w:right w:w="28" w:type="dxa"/>
        </w:tblCellMar>
      </w:tblPr>
      <w:tblGrid>
        <w:gridCol w:w="1472"/>
        <w:gridCol w:w="1294"/>
        <w:gridCol w:w="1298"/>
        <w:gridCol w:w="211"/>
        <w:gridCol w:w="541"/>
        <w:gridCol w:w="109"/>
        <w:gridCol w:w="109"/>
        <w:gridCol w:w="109"/>
        <w:gridCol w:w="109"/>
        <w:gridCol w:w="211"/>
        <w:gridCol w:w="54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inventory obsolescence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(760)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(198)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As of September 30, 2025 and December 31, 2024, the Company had </w:t>
      </w:r>
      <w:r>
        <w:rPr>
          <w:rFonts w:ascii="Times New Roman;serif" w:hAnsi="Times New Roman;serif"/>
          <w:b w:val="false"/>
          <w:color w:val="000000"/>
          <w:sz w:val="22"/>
          <w:shd w:fill="FFFFFF" w:val="clear"/>
        </w:rPr>
        <w:t>$15.2 million</w:t>
      </w:r>
      <w:r>
        <w:rPr>
          <w:color w:val="000000"/>
        </w:rPr>
        <w:t xml:space="preserve"> </w:t>
      </w:r>
      <w:r>
        <w:rPr>
          <w:rFonts w:ascii="Times New Roman;serif" w:hAnsi="Times New Roman;serif"/>
          <w:b w:val="false"/>
          <w:color w:val="000000"/>
          <w:sz w:val="22"/>
        </w:rPr>
        <w:t>and $15.6 million, respectively, in consigned inventory held on behalf of suppliers which is not recorded in the unaudited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5. ACCRUED EXPENSES AND OTHER CURRENT LIABILITIES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Accrued expenses and other current liabilities consist of the followin</w:t>
      </w:r>
      <w:r>
        <w:rPr>
          <w:rFonts w:ascii="Times New Roman;serif" w:hAnsi="Times New Roman;serif"/>
          <w:b w:val="false"/>
          <w:color w:val="000000"/>
          <w:sz w:val="22"/>
          <w:shd w:fill="FFFFFF" w:val="clear"/>
        </w:rPr>
        <w:t>g (in thousands):</w:t>
      </w:r>
    </w:p>
    <w:p>
      <w:pPr>
        <w:pStyle w:val="TextBody"/>
        <w:bidi w:val="0"/>
        <w:spacing w:before="0" w:after="0"/>
        <w:jc w:val="left"/>
        <w:rPr/>
      </w:pPr>
      <w:r>
        <w:rPr/>
      </w:r>
    </w:p>
    <w:tbl>
      <w:tblPr>
        <w:tblW w:w="7391" w:type="dxa"/>
        <w:jc w:val="center"/>
        <w:tblInd w:w="0" w:type="dxa"/>
        <w:tblLayout w:type="fixed"/>
        <w:tblCellMar>
          <w:top w:w="28" w:type="dxa"/>
          <w:left w:w="28" w:type="dxa"/>
          <w:bottom w:w="28" w:type="dxa"/>
          <w:right w:w="28" w:type="dxa"/>
        </w:tblCellMar>
      </w:tblPr>
      <w:tblGrid>
        <w:gridCol w:w="1614"/>
        <w:gridCol w:w="1415"/>
        <w:gridCol w:w="1426"/>
        <w:gridCol w:w="260"/>
        <w:gridCol w:w="910"/>
        <w:gridCol w:w="134"/>
        <w:gridCol w:w="109"/>
        <w:gridCol w:w="109"/>
        <w:gridCol w:w="109"/>
        <w:gridCol w:w="250"/>
        <w:gridCol w:w="873"/>
        <w:gridCol w:w="182"/>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Vendor expenses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12,906 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12,609 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expenses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tax payable accrual</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sales returns and allowances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TRA</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29,293</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31,714</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Included in accrued expenses and other current liabilities is a provision for sales returns and allowances. Returns are estimated based on past experience and current expectations and are recorded as an adjustment to revenue. The provision for sales returns and allowances consists of the following</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2"/>
        <w:jc w:val="both"/>
        <w:rPr/>
      </w:pPr>
      <w:r>
        <w:rPr/>
      </w:r>
    </w:p>
    <w:tbl>
      <w:tblPr>
        <w:tblW w:w="4913" w:type="dxa"/>
        <w:jc w:val="center"/>
        <w:tblInd w:w="0" w:type="dxa"/>
        <w:tblLayout w:type="fixed"/>
        <w:tblCellMar>
          <w:top w:w="28" w:type="dxa"/>
          <w:left w:w="28" w:type="dxa"/>
          <w:bottom w:w="28" w:type="dxa"/>
          <w:right w:w="28" w:type="dxa"/>
        </w:tblCellMar>
      </w:tblPr>
      <w:tblGrid>
        <w:gridCol w:w="956"/>
        <w:gridCol w:w="840"/>
        <w:gridCol w:w="843"/>
        <w:gridCol w:w="211"/>
        <w:gridCol w:w="631"/>
        <w:gridCol w:w="109"/>
        <w:gridCol w:w="109"/>
        <w:gridCol w:w="109"/>
        <w:gridCol w:w="109"/>
        <w:gridCol w:w="211"/>
        <w:gridCol w:w="63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Returns and allowances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 xml:space="preserve">Balance at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1,520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1,380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6. LEASES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Total operating lease costs were as follows </w:t>
      </w:r>
      <w:r>
        <w:rPr>
          <w:rFonts w:ascii="Times New Roman;serif" w:hAnsi="Times New Roman;serif"/>
          <w:b w:val="false"/>
          <w:color w:val="000000"/>
          <w:sz w:val="22"/>
          <w:shd w:fill="FFFFFF" w:val="clear"/>
        </w:rPr>
        <w:t>(in thousands):</w:t>
      </w:r>
    </w:p>
    <w:p>
      <w:pPr>
        <w:pStyle w:val="TextBody"/>
        <w:bidi w:val="0"/>
        <w:spacing w:before="0" w:after="2"/>
        <w:jc w:val="both"/>
        <w:rPr/>
      </w:pPr>
      <w:r>
        <w:rPr/>
      </w:r>
    </w:p>
    <w:tbl>
      <w:tblPr>
        <w:tblW w:w="9086" w:type="dxa"/>
        <w:jc w:val="center"/>
        <w:tblInd w:w="0" w:type="dxa"/>
        <w:tblLayout w:type="fixed"/>
        <w:tblCellMar>
          <w:top w:w="28" w:type="dxa"/>
          <w:left w:w="28" w:type="dxa"/>
          <w:bottom w:w="28" w:type="dxa"/>
          <w:right w:w="28" w:type="dxa"/>
        </w:tblCellMar>
      </w:tblPr>
      <w:tblGrid>
        <w:gridCol w:w="586"/>
        <w:gridCol w:w="516"/>
        <w:gridCol w:w="518"/>
        <w:gridCol w:w="869"/>
        <w:gridCol w:w="869"/>
        <w:gridCol w:w="871"/>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lease costs</w:t>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2,759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2,485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8,188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7,254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ind w:left="0" w:right="0" w:firstLine="720"/>
        <w:jc w:val="left"/>
        <w:rPr/>
      </w:pPr>
      <w:r>
        <w:rPr>
          <w:rFonts w:ascii="Times New Roman;serif" w:hAnsi="Times New Roman;serif"/>
          <w:b w:val="false"/>
          <w:color w:val="000000"/>
          <w:sz w:val="22"/>
        </w:rPr>
        <w:t xml:space="preserve">The maturity analysis of the operating lease liabilities as of September 30, 2025 was as follows (in </w:t>
      </w:r>
      <w:r>
        <w:rPr>
          <w:rFonts w:ascii="Times New Roman;serif" w:hAnsi="Times New Roman;serif"/>
          <w:b w:val="false"/>
          <w:color w:val="000000"/>
          <w:sz w:val="22"/>
          <w:shd w:fill="FFFFFF" w:val="clear"/>
        </w:rPr>
        <w:t>thousands):</w:t>
      </w:r>
    </w:p>
    <w:tbl>
      <w:tblPr>
        <w:tblW w:w="5151" w:type="dxa"/>
        <w:jc w:val="left"/>
        <w:tblInd w:w="0" w:type="dxa"/>
        <w:tblLayout w:type="fixed"/>
        <w:tblCellMar>
          <w:top w:w="28" w:type="dxa"/>
          <w:left w:w="28" w:type="dxa"/>
          <w:bottom w:w="28" w:type="dxa"/>
          <w:right w:w="28" w:type="dxa"/>
        </w:tblCellMar>
      </w:tblPr>
      <w:tblGrid>
        <w:gridCol w:w="1498"/>
        <w:gridCol w:w="1319"/>
        <w:gridCol w:w="1323"/>
        <w:gridCol w:w="196"/>
        <w:gridCol w:w="661"/>
        <w:gridCol w:w="154"/>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For the remainder of the year ending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minimum lease payments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present value of operating lease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40,355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Long-term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33,255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As of </w:t>
      </w:r>
      <w:r>
        <w:rPr>
          <w:rFonts w:ascii="Times New Roman;serif" w:hAnsi="Times New Roman;serif"/>
          <w:b w:val="false"/>
          <w:color w:val="000000"/>
          <w:sz w:val="22"/>
        </w:rPr>
        <w:t>September 30, 2025</w:t>
      </w:r>
      <w:r>
        <w:rPr>
          <w:rFonts w:ascii="Times New Roman;serif" w:hAnsi="Times New Roman;serif"/>
          <w:b w:val="false"/>
          <w:color w:val="000000"/>
          <w:sz w:val="22"/>
          <w:shd w:fill="FFFFFF" w:val="clear"/>
        </w:rPr>
        <w:t>, future minimum tenant operating receipts remaining under the third-party sublease were $0.3 million with a remaining sublease term of 1.2 years.</w:t>
      </w:r>
    </w:p>
    <w:p>
      <w:pPr>
        <w:pStyle w:val="TextBody"/>
        <w:bidi w:val="0"/>
        <w:spacing w:before="0" w:after="2"/>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weighted-average remaining lease term and weighted-average discount rate on long-term leases were as follows:</w:t>
      </w:r>
    </w:p>
    <w:tbl>
      <w:tblPr>
        <w:tblW w:w="6562" w:type="dxa"/>
        <w:jc w:val="left"/>
        <w:tblInd w:w="0" w:type="dxa"/>
        <w:tblLayout w:type="fixed"/>
        <w:tblCellMar>
          <w:top w:w="28" w:type="dxa"/>
          <w:left w:w="28" w:type="dxa"/>
          <w:bottom w:w="28" w:type="dxa"/>
          <w:right w:w="28" w:type="dxa"/>
        </w:tblCellMar>
      </w:tblPr>
      <w:tblGrid>
        <w:gridCol w:w="1511"/>
        <w:gridCol w:w="1326"/>
        <w:gridCol w:w="1332"/>
        <w:gridCol w:w="109"/>
        <w:gridCol w:w="109"/>
        <w:gridCol w:w="109"/>
        <w:gridCol w:w="206"/>
        <w:gridCol w:w="172"/>
        <w:gridCol w:w="406"/>
        <w:gridCol w:w="148"/>
        <w:gridCol w:w="148"/>
        <w:gridCol w:w="148"/>
        <w:gridCol w:w="206"/>
        <w:gridCol w:w="170"/>
        <w:gridCol w:w="462"/>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5.6 years</w:t>
            </w:r>
          </w:p>
        </w:tc>
        <w:tc>
          <w:tcPr>
            <w:tcW w:w="44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 years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6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
        <w:ind w:left="0" w:right="0" w:firstLine="720"/>
        <w:jc w:val="left"/>
        <w:rPr/>
      </w:pPr>
      <w:r>
        <w:rPr>
          <w:rFonts w:ascii="Times New Roman;serif" w:hAnsi="Times New Roman;serif"/>
          <w:b w:val="false"/>
          <w:color w:val="000000"/>
          <w:sz w:val="22"/>
          <w:shd w:fill="FFFFFF" w:val="clear"/>
        </w:rPr>
        <w:t xml:space="preserve">Cash paid for amounts included in the measurement of lease liabilities was $7.2 million and $5.9 million for the </w:t>
      </w:r>
      <w:r>
        <w:rPr>
          <w:rFonts w:ascii="Times New Roman;serif" w:hAnsi="Times New Roman;serif"/>
          <w:b w:val="false"/>
          <w:color w:val="000000"/>
          <w:sz w:val="22"/>
        </w:rPr>
        <w:t>nine months ended</w:t>
      </w:r>
      <w:r>
        <w:rPr>
          <w:color w:val="000000"/>
          <w:shd w:fill="FFFFFF" w:val="clear"/>
        </w:rPr>
        <w:t xml:space="preserve"> </w:t>
      </w:r>
      <w:r>
        <w:rPr>
          <w:rFonts w:ascii="Times New Roman;serif" w:hAnsi="Times New Roman;serif"/>
          <w:b w:val="false"/>
          <w:color w:val="000000"/>
          <w:sz w:val="22"/>
          <w:shd w:fill="FFFFFF" w:val="clear"/>
        </w:rPr>
        <w:t>September 30, 2025 and 2024, respectively.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7. DEBT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The following table summarizes the net carrying amount of the Company's outstanding debt as of September 30, 2025 and December 31, 2024, net of debt issuance costs</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344"/>
        <w:gridCol w:w="302"/>
        <w:gridCol w:w="305"/>
        <w:gridCol w:w="411"/>
        <w:gridCol w:w="793"/>
        <w:gridCol w:w="213"/>
        <w:gridCol w:w="109"/>
        <w:gridCol w:w="109"/>
        <w:gridCol w:w="109"/>
        <w:gridCol w:w="321"/>
        <w:gridCol w:w="619"/>
        <w:gridCol w:w="168"/>
        <w:gridCol w:w="109"/>
        <w:gridCol w:w="109"/>
        <w:gridCol w:w="109"/>
        <w:gridCol w:w="347"/>
        <w:gridCol w:w="669"/>
        <w:gridCol w:w="181"/>
        <w:gridCol w:w="109"/>
        <w:gridCol w:w="109"/>
        <w:gridCol w:w="109"/>
        <w:gridCol w:w="287"/>
        <w:gridCol w:w="982"/>
        <w:gridCol w:w="148"/>
        <w:gridCol w:w="109"/>
        <w:gridCol w:w="109"/>
        <w:gridCol w:w="109"/>
        <w:gridCol w:w="279"/>
        <w:gridCol w:w="684"/>
        <w:gridCol w:w="144"/>
        <w:gridCol w:w="109"/>
        <w:gridCol w:w="109"/>
        <w:gridCol w:w="109"/>
        <w:gridCol w:w="265"/>
        <w:gridCol w:w="907"/>
        <w:gridCol w:w="20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50,375 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50,010 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56,063 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55,698 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May 2025, the Company made principal payments totaling $20 million on the SVB Term Loan. No additional principal payments were required until the Maturity Date (as defined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August 2025, the Company prepaid all principal amounts outstanding of $34.8 million under the SVB Term Loan and terminated all commitments outstanding under the SVB Credit Agreement. As a result of the prepayment, the Company recognized a loss on debt extinguishment of $0.6 million associated with the write-off of unamortized debt issuance costs. </w:t>
      </w:r>
    </w:p>
    <w:p>
      <w:pPr>
        <w:pStyle w:val="TextBody"/>
        <w:bidi w:val="0"/>
        <w:spacing w:before="0" w:after="2"/>
        <w:jc w:val="both"/>
        <w:rPr/>
      </w:pPr>
      <w:r>
        <w:rPr/>
      </w:r>
    </w:p>
    <w:p>
      <w:pPr>
        <w:pStyle w:val="TextBody"/>
        <w:bidi w:val="0"/>
        <w:spacing w:lineRule="auto" w:line="300" w:before="0" w:after="200"/>
        <w:jc w:val="left"/>
        <w:rPr>
          <w:rFonts w:ascii="Times New Roman;serif" w:hAnsi="Times New Roman;serif"/>
          <w:b/>
          <w:i/>
          <w:color w:val="000000"/>
          <w:sz w:val="22"/>
        </w:rPr>
      </w:pPr>
      <w:r>
        <w:rPr>
          <w:rFonts w:ascii="Times New Roman;serif" w:hAnsi="Times New Roman;serif"/>
          <w:b/>
          <w:i/>
          <w:color w:val="000000"/>
          <w:sz w:val="22"/>
        </w:rPr>
        <w:t xml:space="preserve">Credit Agreement - Silicon Valley Bank </w:t>
      </w:r>
    </w:p>
    <w:p>
      <w:pPr>
        <w:pStyle w:val="TextBody"/>
        <w:bidi w:val="0"/>
        <w:spacing w:lineRule="auto" w:line="288" w:before="0" w:after="200"/>
        <w:ind w:left="0" w:right="0" w:firstLine="720"/>
        <w:jc w:val="both"/>
        <w:rPr/>
      </w:pPr>
      <w:r>
        <w:rPr>
          <w:rFonts w:ascii="Times New Roman;serif" w:hAnsi="Times New Roman;serif"/>
          <w:b w:val="false"/>
          <w:color w:val="000000"/>
          <w:sz w:val="22"/>
          <w:shd w:fill="FFFFFF" w:val="clear"/>
        </w:rPr>
        <w:t>On May 24, 2022, Brilliant Earth, LLC, as borrower, and Silicon Valley Bank (</w:t>
      </w:r>
      <w:r>
        <w:rPr>
          <w:color w:val="000000"/>
        </w:rPr>
        <w:t>“</w:t>
      </w:r>
      <w:r>
        <w:rPr>
          <w:rFonts w:ascii="Times New Roman;serif" w:hAnsi="Times New Roman;serif"/>
          <w:b w:val="false"/>
          <w:color w:val="000000"/>
          <w:sz w:val="22"/>
          <w:shd w:fill="FFFFFF" w:val="clear"/>
        </w:rPr>
        <w:t>SVB</w:t>
      </w:r>
      <w:r>
        <w:rPr>
          <w:color w:val="000000"/>
        </w:rPr>
        <w:t>”</w:t>
      </w:r>
      <w:r>
        <w:rPr>
          <w:rFonts w:ascii="Times New Roman;serif" w:hAnsi="Times New Roman;serif"/>
          <w:b w:val="false"/>
          <w:color w:val="000000"/>
          <w:sz w:val="22"/>
          <w:shd w:fill="FFFFFF" w:val="clear"/>
        </w:rPr>
        <w:t xml:space="preserve">), as administrative agent and collateral agent for the lenders, entered into the SVB Credit Agreement which provided for a secured term loan credit facility of $65.0 million (the </w:t>
      </w:r>
      <w:r>
        <w:rPr>
          <w:color w:val="000000"/>
        </w:rPr>
        <w:t>“</w:t>
      </w:r>
      <w:r>
        <w:rPr>
          <w:rFonts w:ascii="Times New Roman;serif" w:hAnsi="Times New Roman;serif"/>
          <w:b w:val="false"/>
          <w:color w:val="000000"/>
          <w:sz w:val="22"/>
          <w:shd w:fill="FFFFFF" w:val="clear"/>
        </w:rPr>
        <w:t>SVB Term Loan</w:t>
      </w:r>
      <w:r>
        <w:rPr>
          <w:color w:val="000000"/>
        </w:rPr>
        <w:t>”</w:t>
      </w:r>
      <w:r>
        <w:rPr>
          <w:rFonts w:ascii="Times New Roman;serif" w:hAnsi="Times New Roman;serif"/>
          <w:b w:val="false"/>
          <w:color w:val="000000"/>
          <w:sz w:val="22"/>
          <w:shd w:fill="FFFFFF" w:val="clear"/>
        </w:rPr>
        <w:t xml:space="preserve">) and a secured revolving credit facility in an amount of up to $40.0 million (the </w:t>
      </w:r>
      <w:r>
        <w:rPr>
          <w:color w:val="000000"/>
        </w:rPr>
        <w:t>“</w:t>
      </w:r>
      <w:r>
        <w:rPr>
          <w:rFonts w:ascii="Times New Roman;serif" w:hAnsi="Times New Roman;serif"/>
          <w:b w:val="false"/>
          <w:color w:val="000000"/>
          <w:sz w:val="22"/>
          <w:shd w:fill="FFFFFF" w:val="clear"/>
        </w:rPr>
        <w:t>SVB Revolving Facility,</w:t>
      </w:r>
      <w:r>
        <w:rPr>
          <w:color w:val="000000"/>
        </w:rPr>
        <w:t>”</w:t>
      </w:r>
      <w:r>
        <w:rPr>
          <w:color w:val="000000"/>
          <w:shd w:fill="FFFFFF" w:val="clear"/>
        </w:rPr>
        <w:t xml:space="preserve"> </w:t>
      </w:r>
      <w:r>
        <w:rPr>
          <w:rFonts w:ascii="Times New Roman;serif" w:hAnsi="Times New Roman;serif"/>
          <w:b w:val="false"/>
          <w:color w:val="000000"/>
          <w:sz w:val="22"/>
          <w:shd w:fill="FFFFFF" w:val="clear"/>
        </w:rPr>
        <w:t xml:space="preserve">and together with the SVB Term Loan, the </w:t>
      </w:r>
      <w:r>
        <w:rPr>
          <w:color w:val="000000"/>
        </w:rPr>
        <w:t>“</w:t>
      </w:r>
      <w:r>
        <w:rPr>
          <w:rFonts w:ascii="Times New Roman;serif" w:hAnsi="Times New Roman;serif"/>
          <w:b w:val="false"/>
          <w:color w:val="000000"/>
          <w:sz w:val="22"/>
          <w:shd w:fill="FFFFFF" w:val="clear"/>
        </w:rPr>
        <w:t>SVB Credit Facilities</w:t>
      </w:r>
      <w:r>
        <w:rPr>
          <w:color w:val="000000"/>
        </w:rPr>
        <w:t>”</w:t>
      </w:r>
      <w:r>
        <w:rPr>
          <w:rFonts w:ascii="Times New Roman;serif" w:hAnsi="Times New Roman;serif"/>
          <w:b w:val="false"/>
          <w:color w:val="000000"/>
          <w:sz w:val="22"/>
          <w:shd w:fill="FFFFFF" w:val="clear"/>
        </w:rPr>
        <w:t xml:space="preserve">). The SVB Credit Facilities were set to mature on May 24, 2027 (the </w:t>
      </w:r>
      <w:r>
        <w:rPr>
          <w:color w:val="000000"/>
        </w:rPr>
        <w:t>“</w:t>
      </w:r>
      <w:r>
        <w:rPr>
          <w:rFonts w:ascii="Times New Roman;serif" w:hAnsi="Times New Roman;serif"/>
          <w:b w:val="false"/>
          <w:color w:val="000000"/>
          <w:sz w:val="22"/>
        </w:rPr>
        <w:t>Maturity Date”).</w:t>
      </w:r>
      <w:r>
        <w:rPr>
          <w:color w:val="000000"/>
          <w:shd w:fill="FFFFFF" w:val="clear"/>
        </w:rPr>
        <w:t xml:space="preserve"> </w:t>
      </w:r>
    </w:p>
    <w:p>
      <w:pPr>
        <w:pStyle w:val="TextBody"/>
        <w:bidi w:val="0"/>
        <w:spacing w:lineRule="auto" w:line="288" w:before="0" w:after="20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SVB Credit Facilities were subject to customary affirmative covenants and negative covenants as well as financial maintenance covenants. The financial covenants were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w:t>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May 13, 2025, the Company entered into the Second Amendment to the SVB Credit Agreement (the “Second Amendment”), pursuant to which the lenders agreed to suspend the requirement to comply with the (i) Consolidated Fixed Charge Coverage Ratio covenant for the period ended March 31, 2025 through and including the fiscal quarter ending March 31, 2026 and (ii) the Consolidated Borrower Leverage Ratio covenant for the period ended March 31, 2025. In addition, the Second Amendment increased the interest rate margin applicable to the SVB Revolving Facility and Term Loan by 10 basis points for the period commencing on the effective date of the Second Amendment through (but not including) April 1, 2026. Borrowings under the SVB Credit Facilities bore interest at either (a) a secured overnight financing rate plus an annual adjustment of 0.125%, plus an applicable margin of 2.35% to 2.85%, depending on the Consolidated Total Leverage Ratio, or an alternate base rate plus an applicable margin of 1.35% to 1.85%, depending on the Consolidated Total Leverage Ratio, each subject to a 0.00% floor.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Second Amendment also required us to maintain Balance Sheet Cash (defined as unrestricted cash and cash equivalents held in accounts with the Lenders and their affiliates) in an amount greater than one and one half (1.5) times the sum of the aggregate principal amount outstanding under the SVB Revolving Facility (including issued letters of credit) and the aggregate principal amount of the SVB Term Loan outstanding at such time, which requirement applies at all times commencing on the effective date of the Second Amendment until the last day of the fiscal quarter ending March 31, 2026. After such time, the minimum Balance Sheet Cash covenant no longer applied. </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0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As a result of the prepayment of all principal amounts outstanding under the SVB Term Loan, and termination of all commitments outstanding under the SVB Credit Agreement, the Company no longer is required to be in compliance with any covenants under the SVB Credit Agreement as of September 30, 2025.</w:t>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Company's effective interest rate on debt was 8.41% and 8.18% for the three and nine months ended September 30, 2025, respectively, and 8.49% and 8.44% for the three and nine months ended September 30, 2024, respectively.</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8. 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Grants of Restricted Stock Units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The following table summarizes the activity related to the Company's restricted stock units (</w:t>
      </w:r>
      <w:r>
        <w:rPr>
          <w:color w:val="000000"/>
        </w:rPr>
        <w:t>“</w:t>
      </w:r>
      <w:r>
        <w:rPr>
          <w:rFonts w:ascii="Times New Roman;serif" w:hAnsi="Times New Roman;serif"/>
          <w:b w:val="false"/>
          <w:color w:val="000000"/>
          <w:sz w:val="22"/>
          <w:shd w:fill="FFFFFF" w:val="clear"/>
        </w:rPr>
        <w:t>RSUs</w:t>
      </w:r>
      <w:r>
        <w:rPr>
          <w:color w:val="000000"/>
        </w:rPr>
        <w:t>”</w:t>
      </w:r>
      <w:r>
        <w:rPr>
          <w:rFonts w:ascii="Times New Roman;serif" w:hAnsi="Times New Roman;serif"/>
          <w:b w:val="false"/>
          <w:color w:val="000000"/>
          <w:sz w:val="22"/>
          <w:shd w:fill="FFFFFF" w:val="clear"/>
        </w:rPr>
        <w:t xml:space="preserve">) for the for the </w:t>
      </w:r>
      <w:r>
        <w:rPr>
          <w:rFonts w:ascii="Times New Roman;serif" w:hAnsi="Times New Roman;serif"/>
          <w:b w:val="false"/>
          <w:color w:val="000000"/>
          <w:sz w:val="22"/>
        </w:rPr>
        <w:t>nine months ended</w:t>
      </w:r>
      <w:r>
        <w:rPr>
          <w:color w:val="000000"/>
          <w:shd w:fill="FFFFFF" w:val="clear"/>
        </w:rPr>
        <w:t xml:space="preserve"> </w:t>
      </w:r>
      <w:r>
        <w:rPr>
          <w:rFonts w:ascii="Times New Roman;serif" w:hAnsi="Times New Roman;serif"/>
          <w:b w:val="false"/>
          <w:color w:val="000000"/>
          <w:sz w:val="22"/>
          <w:shd w:fill="FFFFFF" w:val="clear"/>
        </w:rPr>
        <w:t xml:space="preserve">September 30, 2025: </w:t>
      </w:r>
    </w:p>
    <w:tbl>
      <w:tblPr>
        <w:tblW w:w="9047" w:type="dxa"/>
        <w:jc w:val="left"/>
        <w:tblInd w:w="0" w:type="dxa"/>
        <w:tblLayout w:type="fixed"/>
        <w:tblCellMar>
          <w:top w:w="28" w:type="dxa"/>
          <w:left w:w="28" w:type="dxa"/>
          <w:bottom w:w="28" w:type="dxa"/>
          <w:right w:w="28" w:type="dxa"/>
        </w:tblCellMar>
      </w:tblPr>
      <w:tblGrid>
        <w:gridCol w:w="1337"/>
        <w:gridCol w:w="1175"/>
        <w:gridCol w:w="1178"/>
        <w:gridCol w:w="525"/>
        <w:gridCol w:w="525"/>
        <w:gridCol w:w="501"/>
        <w:gridCol w:w="109"/>
        <w:gridCol w:w="109"/>
        <w:gridCol w:w="109"/>
        <w:gridCol w:w="836"/>
        <w:gridCol w:w="2028"/>
        <w:gridCol w:w="615"/>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 unvested</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3,847,636 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1,765,939 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(1,595,492)</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(104,619)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 unvested</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3,913,464 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Total compensation expense for RSUs was $2.3 million and $6.8 million for the </w:t>
      </w:r>
      <w:r>
        <w:rPr>
          <w:rFonts w:ascii="Times New Roman;serif" w:hAnsi="Times New Roman;serif"/>
          <w:b w:val="false"/>
          <w:color w:val="000000"/>
          <w:sz w:val="22"/>
        </w:rPr>
        <w:t xml:space="preserve">three and nine months ended </w:t>
      </w:r>
      <w:r>
        <w:rPr>
          <w:rFonts w:ascii="Times New Roman;serif" w:hAnsi="Times New Roman;serif"/>
          <w:b w:val="false"/>
          <w:color w:val="000000"/>
          <w:sz w:val="22"/>
          <w:shd w:fill="FFFFFF" w:val="clear"/>
        </w:rPr>
        <w:t xml:space="preserve">September 30, 2025, respectively, and $2.4 million and $7.0 million for the </w:t>
      </w:r>
      <w:r>
        <w:rPr>
          <w:rFonts w:ascii="Times New Roman;serif" w:hAnsi="Times New Roman;serif"/>
          <w:b w:val="false"/>
          <w:color w:val="000000"/>
          <w:sz w:val="22"/>
        </w:rPr>
        <w:t>three and nine months ended September 30, 2024, respectively, and is</w:t>
      </w:r>
      <w:r>
        <w:rPr>
          <w:color w:val="000000"/>
          <w:shd w:fill="FFFFFF" w:val="clear"/>
        </w:rPr>
        <w:t xml:space="preserve"> </w:t>
      </w:r>
      <w:r>
        <w:rPr>
          <w:rFonts w:ascii="Times New Roman;serif" w:hAnsi="Times New Roman;serif"/>
          <w:b w:val="false"/>
          <w:color w:val="000000"/>
          <w:sz w:val="22"/>
          <w:shd w:fill="FFFFFF" w:val="clear"/>
        </w:rPr>
        <w:t xml:space="preserve">included in general and administrative expenses in the unaudited condensed </w:t>
      </w:r>
      <w:r>
        <w:rPr>
          <w:rFonts w:ascii="Times New Roman;serif" w:hAnsi="Times New Roman;serif"/>
          <w:b w:val="false"/>
          <w:color w:val="000000"/>
          <w:sz w:val="22"/>
        </w:rPr>
        <w:t>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As of September 30, 2025, total compensation cost related to unvested RSUs not yet recognized is </w:t>
      </w:r>
      <w:r>
        <w:rPr>
          <w:rFonts w:ascii="Times New Roman;serif" w:hAnsi="Times New Roman;serif"/>
          <w:b w:val="false"/>
          <w:color w:val="000000"/>
          <w:sz w:val="22"/>
          <w:shd w:fill="FFFFFF" w:val="clear"/>
        </w:rPr>
        <w:t>$9.8 million</w:t>
      </w:r>
      <w:r>
        <w:rPr>
          <w:color w:val="000000"/>
        </w:rPr>
        <w:t xml:space="preserve"> </w:t>
      </w:r>
      <w:r>
        <w:rPr>
          <w:rFonts w:ascii="Times New Roman;serif" w:hAnsi="Times New Roman;serif"/>
          <w:b w:val="false"/>
          <w:color w:val="000000"/>
          <w:sz w:val="22"/>
        </w:rPr>
        <w:t xml:space="preserve">and is expected to be recognized over a weighted-average period of approximately </w:t>
      </w:r>
      <w:r>
        <w:rPr>
          <w:rFonts w:ascii="Times New Roman;serif" w:hAnsi="Times New Roman;serif"/>
          <w:b w:val="false"/>
          <w:color w:val="000000"/>
          <w:sz w:val="22"/>
          <w:shd w:fill="FFFFFF" w:val="clear"/>
        </w:rPr>
        <w:t>2.0</w:t>
      </w:r>
      <w:r>
        <w:rPr>
          <w:color w:val="000000"/>
        </w:rPr>
        <w:t xml:space="preserve"> </w:t>
      </w:r>
      <w:r>
        <w:rPr>
          <w:rFonts w:ascii="Times New Roman;serif" w:hAnsi="Times New Roman;serif"/>
          <w:b w:val="false"/>
          <w:color w:val="000000"/>
          <w:sz w:val="22"/>
        </w:rPr>
        <w:t>years.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2"/>
        </w:rPr>
        <w:t>9</w:t>
      </w:r>
      <w:r>
        <w:rPr>
          <w:rFonts w:ascii="Times New Roman;serif" w:hAnsi="Times New Roman;serif"/>
          <w:b/>
          <w:color w:val="000000"/>
          <w:sz w:val="22"/>
          <w:shd w:fill="FFFFFF" w:val="clear"/>
        </w:rPr>
        <w:t>. INCOME TAXES AND TAX RECEIVABLE AGREEMENT</w:t>
      </w:r>
      <w:r>
        <w:rPr>
          <w:color w:val="000000"/>
        </w:rPr>
        <w:t xml:space="preserve"> </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Overview of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income taxed to the non-controlling interest holders is not reported by the Company in its unaudited condensed consolidated financial statements under GAAP. </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2"/>
        <w:jc w:val="left"/>
        <w:rPr/>
      </w:pPr>
      <w:r>
        <w:rPr/>
      </w:r>
    </w:p>
    <w:p>
      <w:pPr>
        <w:pStyle w:val="TextBody"/>
        <w:bidi w:val="0"/>
        <w:spacing w:lineRule="auto" w:line="300" w:before="0" w:after="20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Tax Provision and Deferred Tax Asset</w:t>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At the end of each interim period, Brilliant Earth Group, Inc. estimates the effective tax rate expected to be applicable for the full fiscal year. This differs from the method utilized at the end of an annual period. </w:t>
      </w:r>
      <w:r>
        <w:rPr>
          <w:rFonts w:ascii="Times New Roman;serif" w:hAnsi="Times New Roman;serif"/>
          <w:b w:val="false"/>
          <w:color w:val="000000"/>
          <w:sz w:val="22"/>
        </w:rPr>
        <w:t xml:space="preserve">The Company's effective tax rate of </w:t>
      </w:r>
      <w:r>
        <w:rPr>
          <w:rFonts w:ascii="Times New Roman;serif" w:hAnsi="Times New Roman;serif"/>
          <w:b w:val="false"/>
          <w:color w:val="000000"/>
          <w:sz w:val="22"/>
          <w:shd w:fill="FFFFFF" w:val="clear"/>
        </w:rPr>
        <w:t>(1.12)%</w:t>
      </w:r>
      <w:r>
        <w:rPr>
          <w:color w:val="000000"/>
        </w:rPr>
        <w:t xml:space="preserve"> </w:t>
      </w:r>
      <w:r>
        <w:rPr>
          <w:rFonts w:ascii="Times New Roman;serif" w:hAnsi="Times New Roman;serif"/>
          <w:b w:val="false"/>
          <w:color w:val="000000"/>
          <w:sz w:val="22"/>
        </w:rPr>
        <w:t>for the nine months ended September 30, 2025, differs from the U.S. federal statutory tax rate of 21% primarily due to income associated with the non-controlling interest, state tax expense and other permanent items.</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Th</w:t>
      </w:r>
      <w:r>
        <w:rPr>
          <w:rFonts w:ascii="Times New Roman;serif" w:hAnsi="Times New Roman;serif"/>
          <w:b w:val="false"/>
          <w:color w:val="000000"/>
          <w:sz w:val="22"/>
        </w:rPr>
        <w:t>e Company has determined it is more-likely-than-not that it will be able to realize the deferred tax asset in the future.     </w:t>
      </w:r>
    </w:p>
    <w:p>
      <w:pPr>
        <w:pStyle w:val="TextBody"/>
        <w:bidi w:val="0"/>
        <w:spacing w:lineRule="auto" w:line="300" w:before="0" w:after="2"/>
        <w:jc w:val="both"/>
        <w:rPr/>
      </w:pPr>
      <w:r>
        <w:rPr>
          <w:rFonts w:ascii="Times New Roman;serif" w:hAnsi="Times New Roman;serif"/>
          <w:b w:val="false"/>
          <w:color w:val="000000"/>
          <w:sz w:val="22"/>
          <w:shd w:fill="FFFFFF" w:val="clear"/>
        </w:rPr>
        <w:br/>
      </w:r>
      <w:r>
        <w:rPr>
          <w:rFonts w:ascii="Times New Roman;serif" w:hAnsi="Times New Roman;serif"/>
          <w:b/>
          <w:i/>
          <w:color w:val="000000"/>
          <w:sz w:val="22"/>
        </w:rPr>
        <w:t xml:space="preserve">Tax Receivable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w:t>
      </w:r>
      <w:r>
        <w:rPr>
          <w:color w:val="000000"/>
        </w:rPr>
        <w:t>“</w:t>
      </w:r>
      <w:r>
        <w:rPr>
          <w:rFonts w:ascii="Times New Roman;serif" w:hAnsi="Times New Roman;serif"/>
          <w:b w:val="false"/>
          <w:color w:val="000000"/>
          <w:sz w:val="22"/>
          <w:shd w:fill="FFFFFF" w:val="clear"/>
        </w:rPr>
        <w:t>more-likely-than-not</w:t>
      </w:r>
      <w:r>
        <w:rPr>
          <w:color w:val="000000"/>
        </w:rPr>
        <w:t>”</w:t>
      </w:r>
      <w:r>
        <w:rPr>
          <w:color w:val="000000"/>
          <w:shd w:fill="FFFFFF" w:val="clear"/>
        </w:rPr>
        <w:t> </w:t>
      </w:r>
      <w:r>
        <w:rPr>
          <w:rFonts w:ascii="Times New Roman;serif" w:hAnsi="Times New Roman;serif"/>
          <w:b w:val="false"/>
          <w:color w:val="000000"/>
          <w:sz w:val="22"/>
          <w:shd w:fill="FFFFFF" w:val="clear"/>
        </w:rPr>
        <w:t xml:space="preserve">that the tax benefit will be realized. </w:t>
      </w:r>
    </w:p>
    <w:p>
      <w:pPr>
        <w:pStyle w:val="TextBody"/>
        <w:bidi w:val="0"/>
        <w:spacing w:before="0" w:after="0"/>
        <w:ind w:left="0" w:right="0" w:firstLine="72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addition, as part of the IPO, the Company entered into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(loss) income. Similarly, the effect of subsequent changes in the enacted tax rates will be included in net (loss) income.</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shd w:fill="FFFFFF" w:val="clear"/>
        </w:rPr>
        <w:t xml:space="preserve">As of </w:t>
      </w:r>
      <w:r>
        <w:rPr>
          <w:rFonts w:ascii="Times New Roman;serif" w:hAnsi="Times New Roman;serif"/>
          <w:b w:val="false"/>
          <w:color w:val="000000"/>
          <w:sz w:val="22"/>
        </w:rPr>
        <w:t>September 30, 2025</w:t>
      </w:r>
      <w:r>
        <w:rPr>
          <w:rFonts w:ascii="Times New Roman;serif" w:hAnsi="Times New Roman;serif"/>
          <w:b w:val="false"/>
          <w:color w:val="000000"/>
          <w:sz w:val="22"/>
          <w:shd w:fill="FFFFFF" w:val="clear"/>
        </w:rPr>
        <w:t>, related to the TRA, the Company has recorded (i) a deferred tax asset in the amount of</w:t>
      </w:r>
      <w:r>
        <w:rPr>
          <w:color w:val="000000"/>
        </w:rPr>
        <w:t xml:space="preserve"> </w:t>
      </w:r>
      <w:r>
        <w:rPr>
          <w:rFonts w:ascii="Times New Roman;serif" w:hAnsi="Times New Roman;serif"/>
          <w:b w:val="false"/>
          <w:color w:val="000000"/>
          <w:sz w:val="22"/>
          <w:shd w:fill="FFFFFF" w:val="clear"/>
        </w:rPr>
        <w:t>$8.3 million</w:t>
      </w:r>
      <w:r>
        <w:rPr>
          <w:rFonts w:ascii="Times New Roman;serif" w:hAnsi="Times New Roman;serif"/>
          <w:b w:val="false"/>
          <w:color w:val="000000"/>
          <w:sz w:val="22"/>
        </w:rPr>
        <w:t xml:space="preserve">, (ii) a corresponding estimated liability with a balance of </w:t>
      </w:r>
      <w:r>
        <w:rPr>
          <w:rFonts w:ascii="Times New Roman;serif" w:hAnsi="Times New Roman;serif"/>
          <w:b w:val="false"/>
          <w:color w:val="000000"/>
          <w:sz w:val="22"/>
          <w:shd w:fill="FFFFFF" w:val="clear"/>
        </w:rPr>
        <w:t>$7.8 million</w:t>
      </w:r>
      <w:r>
        <w:rPr>
          <w:color w:val="000000"/>
        </w:rPr>
        <w:t xml:space="preserve"> </w:t>
      </w:r>
      <w:r>
        <w:rPr>
          <w:rFonts w:ascii="Times New Roman;serif" w:hAnsi="Times New Roman;serif"/>
          <w:b w:val="false"/>
          <w:color w:val="000000"/>
          <w:sz w:val="22"/>
        </w:rPr>
        <w:t xml:space="preserve">representing 85% of the </w:t>
      </w:r>
      <w:r>
        <w:rPr>
          <w:rFonts w:ascii="Times New Roman;serif" w:hAnsi="Times New Roman;serif"/>
          <w:b w:val="false"/>
          <w:color w:val="000000"/>
          <w:sz w:val="22"/>
          <w:shd w:fill="FFFFFF" w:val="clear"/>
        </w:rPr>
        <w:t>projected tax benefits to the Continuing Equity Owners; and (iii) $0.6 million of additional paid-in capital.</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One Big Beautiful Bill Act</w:t>
      </w:r>
    </w:p>
    <w:p>
      <w:pPr>
        <w:pStyle w:val="TextBody"/>
        <w:bidi w:val="0"/>
        <w:spacing w:before="0" w:after="0"/>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July, 2025, the “One Big Beautiful Bill Act” (the “Act”) was enacted into law. Among other provisions, the Act includes permanently extending and modifying certain expiring provisions of the 2017 Tax Cuts and Jobs Act and immediate expensing of domestic research and development expenses. The Company is evaluating the impacts of these provisions and does not expect the Act to have a material impact on our consolidated financial statements or annual effective tax rate for 2025.</w: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ordinary course of business, the Company may be subject from time to time to various proceedings, lawsuits, disputes or claims. In addition, the Company is regularly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Since the appellate court's ruling, the plaintiff has indicated the intent to amend the complaint to include class claims. The Company has stipulated to the filing of an amended complaint. The Superior Court entered an order on the parties' stipulation on June 16, 2025. As of the date of this filing, the Company's answer is not yet due. The Company intends to vigorously defend the claims, and, at this time, any liability related to the alleged claims is not currently probable or reasonably estimable.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ind w:left="0" w:right="0" w:firstLine="720"/>
        <w:jc w:val="both"/>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2"/>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2"/>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for the fiscal year ended December 31, 2024, as disclosed in our 2024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w:t>
      </w:r>
      <w:r>
        <w:rPr>
          <w:color w:val="000000"/>
        </w:rPr>
        <w:t>“</w:t>
      </w:r>
      <w:r>
        <w:rPr>
          <w:rFonts w:ascii="Times New Roman;serif" w:hAnsi="Times New Roman;serif"/>
          <w:b w:val="false"/>
          <w:i/>
          <w:color w:val="000000"/>
          <w:sz w:val="22"/>
        </w:rPr>
        <w:t>Cautionary Note Regarding Forward-Looking Statements,</w:t>
      </w:r>
      <w:r>
        <w:rPr>
          <w:color w:val="000000"/>
        </w:rPr>
        <w:t xml:space="preserve">” </w:t>
      </w:r>
      <w:r>
        <w:rPr>
          <w:rFonts w:ascii="Times New Roman;serif" w:hAnsi="Times New Roman;serif"/>
          <w:b w:val="false"/>
          <w:i/>
          <w:color w:val="000000"/>
          <w:sz w:val="22"/>
        </w:rPr>
        <w:t xml:space="preserve">and </w:t>
      </w:r>
      <w:r>
        <w:rPr>
          <w:color w:val="000000"/>
        </w:rPr>
        <w:t>“</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i/>
          <w:color w:val="000000"/>
          <w:sz w:val="22"/>
        </w:rPr>
        <w:t xml:space="preserve">in this Quarterly Report on Form 10-Q and Part I, Item 1A. </w:t>
      </w:r>
      <w:r>
        <w:rPr>
          <w:color w:val="000000"/>
        </w:rPr>
        <w:t>“</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i/>
          <w:color w:val="000000"/>
          <w:sz w:val="22"/>
        </w:rPr>
        <w:t xml:space="preserve">in our 2024 Form 10-K. We assume no obligation to update any of these forward-looking statements.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Company Overview</w:t>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bidi w:val="0"/>
        <w:spacing w:before="0" w:after="2"/>
        <w:jc w:val="both"/>
        <w:rPr/>
      </w:pPr>
      <w:r>
        <w:rPr/>
      </w:r>
    </w:p>
    <w:p>
      <w:pPr>
        <w:pStyle w:val="TextBody"/>
        <w:bidi w:val="0"/>
        <w:spacing w:before="0" w:after="2"/>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Below is a summary of our performance for the </w:t>
      </w:r>
      <w:r>
        <w:rPr>
          <w:rFonts w:ascii="Times New Roman;serif" w:hAnsi="Times New Roman;serif"/>
          <w:b w:val="false"/>
          <w:color w:val="000000"/>
          <w:sz w:val="22"/>
        </w:rPr>
        <w:t>three months ended September 30, 2025</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Net sales of </w:t>
      </w:r>
      <w:r>
        <w:rPr>
          <w:rFonts w:ascii="Times New Roman;serif" w:hAnsi="Times New Roman;serif"/>
          <w:b w:val="false"/>
          <w:color w:val="000000"/>
          <w:sz w:val="22"/>
          <w:shd w:fill="FFFFFF" w:val="clear"/>
        </w:rPr>
        <w:t>$110.3 million</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up 10.4%</w:t>
      </w:r>
      <w:r>
        <w:rPr>
          <w:color w:val="000000"/>
        </w:rPr>
        <w:t xml:space="preserve"> </w:t>
      </w:r>
      <w:r>
        <w:rPr>
          <w:rFonts w:ascii="Times New Roman;serif" w:hAnsi="Times New Roman;serif"/>
          <w:b w:val="false"/>
          <w:color w:val="000000"/>
          <w:sz w:val="22"/>
        </w:rPr>
        <w:t>compared to $99.9 million for the three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w:t>
      </w:r>
      <w:r>
        <w:rPr>
          <w:color w:val="000000"/>
          <w:shd w:fill="FFFFFF" w:val="clear"/>
        </w:rPr>
        <w:t xml:space="preserve"> </w:t>
      </w:r>
      <w:r>
        <w:rPr>
          <w:rFonts w:ascii="Times New Roman;serif" w:hAnsi="Times New Roman;serif"/>
          <w:b w:val="false"/>
          <w:color w:val="000000"/>
          <w:sz w:val="22"/>
          <w:shd w:fill="FFFFFF" w:val="clear"/>
        </w:rPr>
        <w:t>loss of $0.7 million</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up 37.5%</w:t>
      </w:r>
      <w:r>
        <w:rPr>
          <w:color w:val="000000"/>
        </w:rPr>
        <w:t xml:space="preserve"> </w:t>
      </w:r>
      <w:r>
        <w:rPr>
          <w:rFonts w:ascii="Times New Roman;serif" w:hAnsi="Times New Roman;serif"/>
          <w:b w:val="false"/>
          <w:color w:val="000000"/>
          <w:sz w:val="22"/>
        </w:rPr>
        <w:t>compared to net loss of $1.1 million for the three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t>
      </w:r>
      <w:r>
        <w:rPr>
          <w:rFonts w:ascii="Times New Roman;serif" w:hAnsi="Times New Roman;serif"/>
          <w:b w:val="false"/>
          <w:color w:val="000000"/>
          <w:sz w:val="22"/>
          <w:shd w:fill="FFFFFF" w:val="clear"/>
        </w:rPr>
        <w:t>t loss margin of 0.6%</w:t>
      </w:r>
      <w:r>
        <w:rPr>
          <w:rFonts w:ascii="Times New Roman;serif" w:hAnsi="Times New Roman;serif"/>
          <w:b w:val="false"/>
          <w:color w:val="000000"/>
          <w:sz w:val="22"/>
        </w:rPr>
        <w:t>, compared to net loss margin of 1.1% for the three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of </w:t>
      </w:r>
      <w:r>
        <w:rPr>
          <w:rFonts w:ascii="Times New Roman;serif" w:hAnsi="Times New Roman;serif"/>
          <w:b w:val="false"/>
          <w:color w:val="000000"/>
          <w:sz w:val="22"/>
          <w:shd w:fill="FFFFFF" w:val="clear"/>
        </w:rPr>
        <w:t xml:space="preserve">$3.6 million, flat </w:t>
      </w:r>
      <w:r>
        <w:rPr>
          <w:rFonts w:ascii="Times New Roman;serif" w:hAnsi="Times New Roman;serif"/>
          <w:b w:val="false"/>
          <w:color w:val="000000"/>
          <w:sz w:val="22"/>
        </w:rPr>
        <w:t>compared to $3.6 million for the three months ended September 30, 2024;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margin of </w:t>
      </w:r>
      <w:r>
        <w:rPr>
          <w:rFonts w:ascii="Times New Roman;serif" w:hAnsi="Times New Roman;serif"/>
          <w:b w:val="false"/>
          <w:color w:val="000000"/>
          <w:sz w:val="22"/>
          <w:shd w:fill="FFFFFF" w:val="clear"/>
        </w:rPr>
        <w:t>3.2%</w:t>
      </w:r>
      <w:r>
        <w:rPr>
          <w:rFonts w:ascii="Times New Roman;serif" w:hAnsi="Times New Roman;serif"/>
          <w:b w:val="false"/>
          <w:color w:val="000000"/>
          <w:sz w:val="22"/>
        </w:rPr>
        <w:t>, compared to 3.6% for the three months ended September 30,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Below is a summary of our performance for the </w:t>
      </w:r>
      <w:r>
        <w:rPr>
          <w:rFonts w:ascii="Times New Roman;serif" w:hAnsi="Times New Roman;serif"/>
          <w:b w:val="false"/>
          <w:color w:val="000000"/>
          <w:sz w:val="22"/>
        </w:rPr>
        <w:t>nine months ended September 30, 2025:</w:t>
      </w:r>
    </w:p>
    <w:p>
      <w:pPr>
        <w:pStyle w:val="TextBody"/>
        <w:bidi w:val="0"/>
        <w:spacing w:before="0" w:after="2"/>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Net sales of </w:t>
      </w:r>
      <w:r>
        <w:rPr>
          <w:rFonts w:ascii="Times New Roman;serif" w:hAnsi="Times New Roman;serif"/>
          <w:b w:val="false"/>
          <w:color w:val="000000"/>
          <w:sz w:val="22"/>
          <w:shd w:fill="FFFFFF" w:val="clear"/>
        </w:rPr>
        <w:t>$313.1 million</w:t>
      </w:r>
      <w:r>
        <w:rPr>
          <w:rFonts w:ascii="Times New Roman;serif" w:hAnsi="Times New Roman;serif"/>
          <w:b w:val="false"/>
          <w:color w:val="000000"/>
          <w:sz w:val="22"/>
        </w:rPr>
        <w:t xml:space="preserve">, up </w:t>
      </w:r>
      <w:r>
        <w:rPr>
          <w:rFonts w:ascii="Times New Roman;serif" w:hAnsi="Times New Roman;serif"/>
          <w:b w:val="false"/>
          <w:color w:val="000000"/>
          <w:sz w:val="22"/>
          <w:shd w:fill="FFFFFF" w:val="clear"/>
        </w:rPr>
        <w:t>3.4% compared to</w:t>
      </w:r>
      <w:r>
        <w:rPr>
          <w:color w:val="000000"/>
        </w:rPr>
        <w:t xml:space="preserve"> </w:t>
      </w:r>
      <w:r>
        <w:rPr>
          <w:rFonts w:ascii="Times New Roman;serif" w:hAnsi="Times New Roman;serif"/>
          <w:b w:val="false"/>
          <w:color w:val="000000"/>
          <w:sz w:val="22"/>
        </w:rPr>
        <w:t>$302.6 million for the nine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Net loss of </w:t>
      </w:r>
      <w:r>
        <w:rPr>
          <w:rFonts w:ascii="Times New Roman;serif" w:hAnsi="Times New Roman;serif"/>
          <w:b w:val="false"/>
          <w:color w:val="000000"/>
          <w:sz w:val="22"/>
          <w:shd w:fill="FFFFFF" w:val="clear"/>
        </w:rPr>
        <w:t>$5.1 million</w:t>
      </w:r>
      <w:r>
        <w:rPr>
          <w:rFonts w:ascii="Times New Roman;serif" w:hAnsi="Times New Roman;serif"/>
          <w:b w:val="false"/>
          <w:color w:val="000000"/>
          <w:sz w:val="22"/>
        </w:rPr>
        <w:t>,</w:t>
      </w:r>
      <w:r>
        <w:rPr>
          <w:color w:val="000000"/>
          <w:shd w:fill="FFFFFF" w:val="clear"/>
        </w:rPr>
        <w:t xml:space="preserve"> </w:t>
      </w:r>
      <w:r>
        <w:rPr>
          <w:rFonts w:ascii="Times New Roman;serif" w:hAnsi="Times New Roman;serif"/>
          <w:b w:val="false"/>
          <w:color w:val="000000"/>
          <w:sz w:val="22"/>
          <w:shd w:fill="FFFFFF" w:val="clear"/>
        </w:rPr>
        <w:t>down 469.6%</w:t>
      </w:r>
      <w:r>
        <w:rPr>
          <w:color w:val="000000"/>
        </w:rPr>
        <w:t xml:space="preserve"> </w:t>
      </w:r>
      <w:r>
        <w:rPr>
          <w:rFonts w:ascii="Times New Roman;serif" w:hAnsi="Times New Roman;serif"/>
          <w:b w:val="false"/>
          <w:color w:val="000000"/>
          <w:sz w:val="22"/>
        </w:rPr>
        <w:t>compared to net income of $1.4 million for the nine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w:t>
      </w:r>
      <w:r>
        <w:rPr>
          <w:rFonts w:ascii="Times New Roman;serif" w:hAnsi="Times New Roman;serif"/>
          <w:b w:val="false"/>
          <w:color w:val="000000"/>
          <w:sz w:val="22"/>
          <w:shd w:fill="FFFFFF" w:val="clear"/>
        </w:rPr>
        <w:t>t loss margin of 1.6%, compa</w:t>
      </w:r>
      <w:r>
        <w:rPr>
          <w:rFonts w:ascii="Times New Roman;serif" w:hAnsi="Times New Roman;serif"/>
          <w:b w:val="false"/>
          <w:color w:val="000000"/>
          <w:sz w:val="22"/>
        </w:rPr>
        <w:t>red to net income margin of 0.5% for the nine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of </w:t>
      </w:r>
      <w:r>
        <w:rPr>
          <w:rFonts w:ascii="Times New Roman;serif" w:hAnsi="Times New Roman;serif"/>
          <w:b w:val="false"/>
          <w:color w:val="000000"/>
          <w:sz w:val="22"/>
          <w:shd w:fill="FFFFFF" w:val="clear"/>
        </w:rPr>
        <w:t>$7.8 million</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down</w:t>
      </w:r>
      <w:r>
        <w:rPr>
          <w:color w:val="000000"/>
        </w:rPr>
        <w:t xml:space="preserve"> </w:t>
      </w:r>
      <w:r>
        <w:rPr>
          <w:rFonts w:ascii="Times New Roman;serif" w:hAnsi="Times New Roman;serif"/>
          <w:b w:val="false"/>
          <w:color w:val="000000"/>
          <w:sz w:val="22"/>
          <w:shd w:fill="FFFFFF" w:val="clear"/>
        </w:rPr>
        <w:t>44.9%</w:t>
      </w:r>
      <w:r>
        <w:rPr>
          <w:rFonts w:ascii="Times New Roman;serif" w:hAnsi="Times New Roman;serif"/>
          <w:b w:val="false"/>
          <w:color w:val="000000"/>
          <w:sz w:val="22"/>
        </w:rPr>
        <w:t>, compared to $14.2 million for the nine months ended September 30, 2024;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margin of </w:t>
      </w:r>
      <w:r>
        <w:rPr>
          <w:rFonts w:ascii="Times New Roman;serif" w:hAnsi="Times New Roman;serif"/>
          <w:b w:val="false"/>
          <w:color w:val="000000"/>
          <w:sz w:val="22"/>
          <w:shd w:fill="FFFFFF" w:val="clear"/>
        </w:rPr>
        <w:t>2.5%</w:t>
      </w:r>
      <w:r>
        <w:rPr>
          <w:rFonts w:ascii="Times New Roman;serif" w:hAnsi="Times New Roman;serif"/>
          <w:b w:val="false"/>
          <w:color w:val="000000"/>
          <w:sz w:val="22"/>
        </w:rPr>
        <w:t>, compared to 4.7% for the nine months ended September 30,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in one operating and reporting segment, the retail sale of diamonds, gemstones and jewelry.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before="0" w:after="2"/>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Our Ability to Increase Brand Awareness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us to continue to expand across categories and channels, to deepen relationships with consumers, and to expand our presence in the U.S. and international markets.</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Cost-Effective Acquisition of New Customers and Retention of Existing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on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Our Ability to Continue Successfully Growing and Managing our Omnichannel Presence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drive future growth and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Our Ability to Successfully Introduce New Products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w:t>
      </w:r>
      <w:r>
        <w:rPr>
          <w:rFonts w:ascii="Times New Roman;serif" w:hAnsi="Times New Roman;serif"/>
          <w:b w:val="false"/>
          <w:color w:val="000000"/>
          <w:sz w:val="22"/>
          <w:shd w:fill="FFFFFF" w:val="clear"/>
        </w:rPr>
        <w:t>Expanding affiliations and brand collaborations will also broaden our existing assortment, reinforce our brand ethos, and feature like-minded designers, which will help to drive both new and repeat purchases.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International Expansion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are in the early stages of selling globally, and a larger geographic footprint will help drive future growth. Our proof-points from localizing our website for Canada, Australia, and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2"/>
        </w:rPr>
        <w:t>Kingdom, and our sales to customers fr</w:t>
      </w:r>
      <w:r>
        <w:rPr>
          <w:rFonts w:ascii="Times New Roman;serif" w:hAnsi="Times New Roman;serif"/>
          <w:b w:val="false"/>
          <w:color w:val="000000"/>
          <w:sz w:val="22"/>
          <w:shd w:fill="FFFFFF" w:val="clear"/>
        </w:rPr>
        <w:t>om over 50 countries, pro</w:t>
      </w:r>
      <w:r>
        <w:rPr>
          <w:rFonts w:ascii="Times New Roman;serif" w:hAnsi="Times New Roman;serif"/>
          <w:b w:val="false"/>
          <w:color w:val="000000"/>
          <w:sz w:val="22"/>
        </w:rPr>
        <w:t>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Operational and Marketing Efficiency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bidi w:val="0"/>
        <w:spacing w:before="0" w:after="0"/>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Costs of Operating as a Public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is critical to our future success.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Macroeconomic Trends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We believe we are well-positioned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addition, many of the materials that go into our products are sourced and manufactured internationally. Tariffs on imports into the U.S. have had an impact on our materials costs and have the potential to further impact our business depending on the outcome of changes in U.S. trade policy and any corresponding actions by other countries in which companies with which we do business are located. Similarly, increases in prices of gold and other precious metals have also had an impact on our materials costs and have the potential to further impact our business. Any deterioration in macroeconomic conditions resulting from uncertainties and effects from tariffs, increases in the costs of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especially of gold and other precious metals, increased congestion and/or new import/export restrictions at ports that we rely on for our business, or delays or disruptions in the delivery of materials could adversely impact our business, financial condition, and operating results.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addition, on October 1, 2025, the U.S. government shut down and certain regulatory agencies, such as the SEC, have had to furlough critical government employees and stop critical activities. If a prolonged government shutdown occurs, it could impact our ability to access the public markets and obtain necessary capital in order to properly fund our operations.</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current inflationary environment and changes in macro-level consumer spending trends, due to volatile macro-economic conditions have had a negative impact on sales and could further negatively impact our operating results.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Seasonality</w:t>
      </w:r>
    </w:p>
    <w:p>
      <w:pPr>
        <w:pStyle w:val="TextBody"/>
        <w:bidi w:val="0"/>
        <w:spacing w:before="0" w:after="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larger share of our annual revenues and profits traditionally occur in the fourth quarter because it includes the November and December holiday sales period.</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 description of the components of our results of operations, refer to Part II, Item 7, “Management’s Discussion and Analysis of Financial Condition and Results of Operations” of our 2024 Form 10-K.</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results of operations data in the following table for the periods presented have been derived from the unaudited condensed consolidated financial statements included elsewhere in this Quarterly Report on Form 10-Q.</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both"/>
        <w:rPr>
          <w:rFonts w:ascii="Times New Roman;serif" w:hAnsi="Times New Roman;serif"/>
          <w:b/>
          <w:i/>
          <w:color w:val="000000"/>
          <w:sz w:val="22"/>
        </w:rPr>
      </w:pPr>
      <w:r>
        <w:rPr>
          <w:rFonts w:ascii="Times New Roman;serif" w:hAnsi="Times New Roman;serif"/>
          <w:b/>
          <w:i/>
          <w:color w:val="000000"/>
          <w:sz w:val="22"/>
        </w:rPr>
        <w:t>Comparison of Three Months Ended September 30, 2025 and 2024</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sets forth our statements of operations for the three months ended September 30, 2025 and 2024, including amounts and percentages of net sales for each period and the period-to-period change in dollars and perce</w:t>
      </w:r>
      <w:r>
        <w:rPr>
          <w:rFonts w:ascii="Times New Roman;serif" w:hAnsi="Times New Roman;serif"/>
          <w:b w:val="false"/>
          <w:color w:val="000000"/>
          <w:sz w:val="22"/>
          <w:shd w:fill="FFFFFF" w:val="clear"/>
        </w:rPr>
        <w:t xml:space="preserve">nt (amounts in thousands): </w:t>
      </w:r>
    </w:p>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1045"/>
        <w:gridCol w:w="621"/>
        <w:gridCol w:w="487"/>
        <w:gridCol w:w="211"/>
        <w:gridCol w:w="826"/>
        <w:gridCol w:w="109"/>
        <w:gridCol w:w="109"/>
        <w:gridCol w:w="109"/>
        <w:gridCol w:w="109"/>
        <w:gridCol w:w="308"/>
        <w:gridCol w:w="308"/>
        <w:gridCol w:w="417"/>
        <w:gridCol w:w="109"/>
        <w:gridCol w:w="109"/>
        <w:gridCol w:w="109"/>
        <w:gridCol w:w="211"/>
        <w:gridCol w:w="721"/>
        <w:gridCol w:w="109"/>
        <w:gridCol w:w="109"/>
        <w:gridCol w:w="109"/>
        <w:gridCol w:w="109"/>
        <w:gridCol w:w="308"/>
        <w:gridCol w:w="308"/>
        <w:gridCol w:w="417"/>
        <w:gridCol w:w="109"/>
        <w:gridCol w:w="109"/>
        <w:gridCol w:w="109"/>
        <w:gridCol w:w="211"/>
        <w:gridCol w:w="721"/>
        <w:gridCol w:w="109"/>
        <w:gridCol w:w="109"/>
        <w:gridCol w:w="109"/>
        <w:gridCol w:w="109"/>
        <w:gridCol w:w="322"/>
        <w:gridCol w:w="325"/>
        <w:gridCol w:w="476"/>
      </w:tblGrid>
      <w:tr>
        <w:trPr/>
        <w:tc>
          <w:tcPr>
            <w:tcW w:w="104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63,451 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64,071 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61,839 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4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4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79.1 </w:t>
            </w:r>
          </w:p>
        </w:tc>
        <w:tc>
          <w:tcPr>
            <w:tcW w:w="4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allocable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4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allocable to Brilliant Earth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Net Sales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Net sales for the </w:t>
      </w:r>
      <w:r>
        <w:rPr>
          <w:rFonts w:ascii="Times New Roman;serif" w:hAnsi="Times New Roman;serif"/>
          <w:b w:val="false"/>
          <w:color w:val="000000"/>
          <w:sz w:val="22"/>
        </w:rPr>
        <w:t>three months ended September 30, 2025</w:t>
      </w:r>
      <w:r>
        <w:rPr>
          <w:color w:val="000000"/>
          <w:shd w:fill="FFFFFF" w:val="clear"/>
        </w:rPr>
        <w:t xml:space="preserve"> </w:t>
      </w:r>
      <w:r>
        <w:rPr>
          <w:rFonts w:ascii="Times New Roman;serif" w:hAnsi="Times New Roman;serif"/>
          <w:b w:val="false"/>
          <w:color w:val="000000"/>
          <w:sz w:val="22"/>
          <w:shd w:fill="FFFFFF" w:val="clear"/>
        </w:rPr>
        <w:t xml:space="preserve">increased by $10.4 million, or 10.4%, compared to the </w:t>
      </w:r>
      <w:r>
        <w:rPr>
          <w:rFonts w:ascii="Times New Roman;serif" w:hAnsi="Times New Roman;serif"/>
          <w:b w:val="false"/>
          <w:color w:val="000000"/>
          <w:sz w:val="22"/>
        </w:rPr>
        <w:t>three months ended September 30, 2024</w:t>
      </w:r>
      <w:r>
        <w:rPr>
          <w:rFonts w:ascii="Times New Roman;serif" w:hAnsi="Times New Roman;serif"/>
          <w:b w:val="false"/>
          <w:color w:val="000000"/>
          <w:sz w:val="22"/>
          <w:shd w:fill="FFFFFF" w:val="clear"/>
        </w:rPr>
        <w:t xml:space="preserve">. The increase in net sales was due to an increase of 16.8% in order volumes partially offset by a decrease of 5.5% in AOV.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increase of 16.8% in order volumes was due to strong performance in lower price point products, including fine jewelry, continued effectiveness of our customer acquisition and retention activities and the opening of new showrooms.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decrease in AOV was primarily driven by a higher mix of lower price point products, including fine jewelry.</w:t>
      </w:r>
    </w:p>
    <w:p>
      <w:pPr>
        <w:pStyle w:val="TextBody"/>
        <w:bidi w:val="0"/>
        <w:spacing w:before="0" w:after="2"/>
        <w:ind w:left="0" w:right="0" w:firstLine="720"/>
        <w:jc w:val="both"/>
        <w:rPr/>
      </w:pPr>
      <w:r>
        <w:rPr/>
      </w:r>
    </w:p>
    <w:p>
      <w:pPr>
        <w:pStyle w:val="TextBody"/>
        <w:bidi w:val="0"/>
        <w:spacing w:lineRule="auto" w:line="288"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Gross Profit</w:t>
      </w:r>
    </w:p>
    <w:p>
      <w:pPr>
        <w:pStyle w:val="TextBody"/>
        <w:bidi w:val="0"/>
        <w:spacing w:before="0" w:after="2"/>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Gross profit for the </w:t>
      </w:r>
      <w:r>
        <w:rPr>
          <w:rFonts w:ascii="Times New Roman;serif" w:hAnsi="Times New Roman;serif"/>
          <w:b w:val="false"/>
          <w:color w:val="000000"/>
          <w:sz w:val="22"/>
        </w:rPr>
        <w:t>three months ended September 30, 2025</w:t>
      </w:r>
      <w:r>
        <w:rPr>
          <w:color w:val="000000"/>
          <w:shd w:fill="FFFFFF" w:val="clear"/>
        </w:rPr>
        <w:t xml:space="preserve"> </w:t>
      </w:r>
      <w:r>
        <w:rPr>
          <w:rFonts w:ascii="Times New Roman;serif" w:hAnsi="Times New Roman;serif"/>
          <w:b w:val="false"/>
          <w:color w:val="000000"/>
          <w:sz w:val="22"/>
          <w:shd w:fill="FFFFFF" w:val="clear"/>
        </w:rPr>
        <w:t xml:space="preserve">increased by $2.7 million, or 4.4%, compared to the </w:t>
      </w:r>
      <w:r>
        <w:rPr>
          <w:rFonts w:ascii="Times New Roman;serif" w:hAnsi="Times New Roman;serif"/>
          <w:b w:val="false"/>
          <w:color w:val="000000"/>
          <w:sz w:val="22"/>
        </w:rPr>
        <w:t>three months ended September 30, 2024</w:t>
      </w:r>
      <w:r>
        <w:rPr>
          <w:rFonts w:ascii="Times New Roman;serif" w:hAnsi="Times New Roman;serif"/>
          <w:b w:val="false"/>
          <w:color w:val="000000"/>
          <w:sz w:val="22"/>
          <w:shd w:fill="FFFFFF" w:val="clear"/>
        </w:rPr>
        <w:t xml:space="preserve">. Gross margin, expressed as a percentage and calculated as gross profit divided by net sales, decreased by 320 basis points for the </w:t>
      </w:r>
      <w:r>
        <w:rPr>
          <w:rFonts w:ascii="Times New Roman;serif" w:hAnsi="Times New Roman;serif"/>
          <w:b w:val="false"/>
          <w:color w:val="000000"/>
          <w:sz w:val="22"/>
        </w:rPr>
        <w:t xml:space="preserve">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2"/>
        </w:rPr>
        <w:t>September 30, 2025</w:t>
      </w:r>
      <w:r>
        <w:rPr>
          <w:color w:val="000000"/>
          <w:shd w:fill="FFFFFF" w:val="clear"/>
        </w:rPr>
        <w:t xml:space="preserve"> </w:t>
      </w:r>
      <w:r>
        <w:rPr>
          <w:rFonts w:ascii="Times New Roman;serif" w:hAnsi="Times New Roman;serif"/>
          <w:b w:val="false"/>
          <w:color w:val="000000"/>
          <w:sz w:val="22"/>
          <w:shd w:fill="FFFFFF" w:val="clear"/>
        </w:rPr>
        <w:t xml:space="preserve">compared to the </w:t>
      </w:r>
      <w:r>
        <w:rPr>
          <w:rFonts w:ascii="Times New Roman;serif" w:hAnsi="Times New Roman;serif"/>
          <w:b w:val="false"/>
          <w:color w:val="000000"/>
          <w:sz w:val="22"/>
        </w:rPr>
        <w:t>three months ended September 30, 2024</w:t>
      </w:r>
      <w:r>
        <w:rPr>
          <w:rFonts w:ascii="Times New Roman;serif" w:hAnsi="Times New Roman;serif"/>
          <w:b w:val="false"/>
          <w:color w:val="000000"/>
          <w:sz w:val="22"/>
          <w:shd w:fill="FFFFFF" w:val="clear"/>
        </w:rPr>
        <w:t>, primarily driven by higher gold and platinum costs and the impact of tariffs. This decrease was partially offset by continued optimization of our pricing engine, procurement efficiencies, and other efforts to manage our gross margins to target levels.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Operating Expenses</w:t>
      </w:r>
    </w:p>
    <w:p>
      <w:pPr>
        <w:pStyle w:val="TextBody"/>
        <w:bidi w:val="0"/>
        <w:spacing w:before="0" w:after="2"/>
        <w:jc w:val="left"/>
        <w:rPr/>
      </w:pPr>
      <w:r>
        <w:rPr/>
      </w:r>
    </w:p>
    <w:p>
      <w:pPr>
        <w:pStyle w:val="TextBody"/>
        <w:bidi w:val="0"/>
        <w:spacing w:lineRule="auto" w:line="300" w:before="0" w:after="2"/>
        <w:ind w:left="0" w:right="0" w:firstLine="720"/>
        <w:jc w:val="left"/>
        <w:rPr/>
      </w:pPr>
      <w:r>
        <w:rPr>
          <w:rFonts w:ascii="Times New Roman;serif" w:hAnsi="Times New Roman;serif"/>
          <w:b w:val="false"/>
          <w:color w:val="000000"/>
          <w:sz w:val="22"/>
        </w:rPr>
        <w:t xml:space="preserve">Operating expenses for the three months ended September 30, 2025 </w:t>
      </w:r>
      <w:r>
        <w:rPr>
          <w:rFonts w:ascii="Times New Roman;serif" w:hAnsi="Times New Roman;serif"/>
          <w:b w:val="false"/>
          <w:color w:val="000000"/>
          <w:sz w:val="22"/>
          <w:shd w:fill="FFFFFF" w:val="clear"/>
        </w:rPr>
        <w:t xml:space="preserve">increased by $2.2 million, or 3.6%, compared to the </w:t>
      </w:r>
      <w:r>
        <w:rPr>
          <w:rFonts w:ascii="Times New Roman;serif" w:hAnsi="Times New Roman;serif"/>
          <w:b w:val="false"/>
          <w:color w:val="000000"/>
          <w:sz w:val="22"/>
        </w:rPr>
        <w:t>three months ended September 30, 2024</w:t>
      </w:r>
      <w:r>
        <w:rPr>
          <w:rFonts w:ascii="Times New Roman;serif" w:hAnsi="Times New Roman;serif"/>
          <w:b w:val="false"/>
          <w:color w:val="000000"/>
          <w:sz w:val="22"/>
          <w:shd w:fill="FFFFFF" w:val="clear"/>
        </w:rPr>
        <w:t>. Operating ex</w:t>
      </w:r>
      <w:r>
        <w:rPr>
          <w:rFonts w:ascii="Times New Roman;serif" w:hAnsi="Times New Roman;serif"/>
          <w:b w:val="false"/>
          <w:color w:val="000000"/>
          <w:sz w:val="22"/>
        </w:rPr>
        <w:t>penses as a percentage of net sa</w:t>
      </w:r>
      <w:r>
        <w:rPr>
          <w:rFonts w:ascii="Times New Roman;serif" w:hAnsi="Times New Roman;serif"/>
          <w:b w:val="false"/>
          <w:color w:val="000000"/>
          <w:sz w:val="22"/>
          <w:shd w:fill="FFFFFF" w:val="clear"/>
        </w:rPr>
        <w:t>les decreased by 380 basis poi</w:t>
      </w:r>
      <w:r>
        <w:rPr>
          <w:rFonts w:ascii="Times New Roman;serif" w:hAnsi="Times New Roman;serif"/>
          <w:b w:val="false"/>
          <w:color w:val="000000"/>
          <w:sz w:val="22"/>
        </w:rPr>
        <w:t>nts for the three months ended September 30, 2025, compared to the three months ended September 30, 2024.</w:t>
      </w:r>
      <w:r>
        <w:rPr>
          <w:color w:val="000000"/>
          <w:shd w:fill="FFFFFF" w:val="clear"/>
        </w:rPr>
        <w:t xml:space="preserve"> </w:t>
      </w:r>
      <w:r>
        <w:rPr>
          <w:rFonts w:ascii="Times New Roman;serif" w:hAnsi="Times New Roman;serif"/>
          <w:b w:val="false"/>
          <w:color w:val="000000"/>
          <w:sz w:val="22"/>
          <w:shd w:fill="FFFFFF" w:val="clear"/>
        </w:rPr>
        <w:t>The increase in operating expenses was primarily driven by an increase in employment expenses of $1.8 million and an increase in other general and administrative expenses of $0.9 million. These increases were partially offset by a decrease in marketing expenses of $0.5 million for the period.</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increase in employment expenses was primarily driven by an increase in salaries and wages and other benefits expense primarily due to the addition of staff to support our growth. The increase in other general and administrative expenses was primarily driven by increases in rent, and lease-related expenses, professional fees and depreciation expense. These increases were partially offset by a decrease in pre-opening expenses from the opening of new showrooms and a decrease in information technology and other software-related costs as compared to the three months ended September 30, 2024. The decrease in marketing expenses compared to the three months ended September 30, 2024 resulted from our continued focus on improving the effectiveness and efficiency of our marketing spend. </w:t>
      </w:r>
    </w:p>
    <w:p>
      <w:pPr>
        <w:pStyle w:val="TextBody"/>
        <w:bidi w:val="0"/>
        <w:spacing w:before="0" w:after="2"/>
        <w:ind w:left="0" w:right="0" w:firstLine="720"/>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Interest Expense</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 xml:space="preserve">Interest expense for the three months ended September 30, 2025 </w:t>
      </w:r>
      <w:r>
        <w:rPr>
          <w:rFonts w:ascii="Times New Roman;serif" w:hAnsi="Times New Roman;serif"/>
          <w:b w:val="false"/>
          <w:color w:val="000000"/>
          <w:sz w:val="22"/>
          <w:shd w:fill="FFFFFF" w:val="clear"/>
        </w:rPr>
        <w:t>decreased</w:t>
      </w:r>
      <w:r>
        <w:rPr>
          <w:color w:val="000000"/>
        </w:rPr>
        <w:t xml:space="preserve"> </w:t>
      </w:r>
      <w:r>
        <w:rPr>
          <w:rFonts w:ascii="Times New Roman;serif" w:hAnsi="Times New Roman;serif"/>
          <w:b w:val="false"/>
          <w:color w:val="000000"/>
          <w:sz w:val="22"/>
        </w:rPr>
        <w:t xml:space="preserve">by </w:t>
      </w:r>
      <w:r>
        <w:rPr>
          <w:rFonts w:ascii="Times New Roman;serif" w:hAnsi="Times New Roman;serif"/>
          <w:b w:val="false"/>
          <w:color w:val="000000"/>
          <w:sz w:val="22"/>
          <w:shd w:fill="FFFFFF" w:val="clear"/>
        </w:rPr>
        <w:t xml:space="preserve">$1.0 million, or 79.4%, compared to the three months ended September 30, 2024, primarily due to the prepayment of all principal amounts outstanding of $34.8 million under the SVB Term Loan in August 2025. As a result of the prepayment, the Company recognized a loss on debt extinguishment of $0.6 million associated with the write-off of unamortized debt issuance costs.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Other Income, net</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Other income, net for the three months ended September 30, 2025 </w:t>
      </w:r>
      <w:r>
        <w:rPr>
          <w:rFonts w:ascii="Times New Roman;serif" w:hAnsi="Times New Roman;serif"/>
          <w:b w:val="false"/>
          <w:color w:val="000000"/>
          <w:sz w:val="22"/>
          <w:shd w:fill="FFFFFF" w:val="clear"/>
        </w:rPr>
        <w:t>decreased</w:t>
      </w:r>
      <w:r>
        <w:rPr>
          <w:color w:val="000000"/>
        </w:rPr>
        <w:t xml:space="preserve"> </w:t>
      </w:r>
      <w:r>
        <w:rPr>
          <w:rFonts w:ascii="Times New Roman;serif" w:hAnsi="Times New Roman;serif"/>
          <w:b w:val="false"/>
          <w:color w:val="000000"/>
          <w:sz w:val="22"/>
        </w:rPr>
        <w:t xml:space="preserve">by </w:t>
      </w:r>
      <w:r>
        <w:rPr>
          <w:rFonts w:ascii="Times New Roman;serif" w:hAnsi="Times New Roman;serif"/>
          <w:b w:val="false"/>
          <w:color w:val="000000"/>
          <w:sz w:val="22"/>
          <w:shd w:fill="FFFFFF" w:val="clear"/>
        </w:rPr>
        <w:t>$0.7 million</w:t>
      </w:r>
      <w:r>
        <w:rPr>
          <w:rFonts w:ascii="Times New Roman;serif" w:hAnsi="Times New Roman;serif"/>
          <w:b w:val="false"/>
          <w:color w:val="000000"/>
          <w:sz w:val="22"/>
        </w:rPr>
        <w:t xml:space="preserve">, or </w:t>
      </w:r>
      <w:r>
        <w:rPr>
          <w:rFonts w:ascii="Times New Roman;serif" w:hAnsi="Times New Roman;serif"/>
          <w:b w:val="false"/>
          <w:color w:val="000000"/>
          <w:sz w:val="22"/>
          <w:shd w:fill="FFFFFF" w:val="clear"/>
        </w:rPr>
        <w:t>45.1%,</w:t>
      </w:r>
      <w:r>
        <w:rPr>
          <w:color w:val="000000"/>
        </w:rPr>
        <w:t xml:space="preserve"> </w:t>
      </w:r>
      <w:r>
        <w:rPr>
          <w:rFonts w:ascii="Times New Roman;serif" w:hAnsi="Times New Roman;serif"/>
          <w:b w:val="false"/>
          <w:color w:val="000000"/>
          <w:sz w:val="22"/>
        </w:rPr>
        <w:t>compared to the three months ended September 30, 2024,</w:t>
      </w:r>
      <w:r>
        <w:rPr>
          <w:color w:val="000000"/>
          <w:shd w:fill="FFFFFF" w:val="clear"/>
        </w:rPr>
        <w:t xml:space="preserve"> </w:t>
      </w:r>
      <w:r>
        <w:rPr>
          <w:rFonts w:ascii="Times New Roman;serif" w:hAnsi="Times New Roman;serif"/>
          <w:b w:val="false"/>
          <w:color w:val="000000"/>
          <w:sz w:val="22"/>
          <w:shd w:fill="FFFFFF" w:val="clear"/>
        </w:rPr>
        <w:t>primarily due to decreased interest income earned on our cash balances. Additionally, this amount includes immaterial losses on exchange rates on consumer payments and other miscellaneous income.</w:t>
      </w:r>
    </w:p>
    <w:p>
      <w:pPr>
        <w:pStyle w:val="TextBody"/>
        <w:bidi w:val="0"/>
        <w:spacing w:before="160" w:after="283"/>
        <w:ind w:left="0" w:right="0" w:firstLine="720"/>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Income Tax Expense</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decrease in Brilliant Earth Group, Inc.'s income tax expense of </w:t>
      </w:r>
      <w:r>
        <w:rPr>
          <w:rFonts w:ascii="Times New Roman;serif" w:hAnsi="Times New Roman;serif"/>
          <w:b w:val="false"/>
          <w:color w:val="000000"/>
          <w:sz w:val="22"/>
          <w:shd w:fill="FFFFFF" w:val="clear"/>
        </w:rPr>
        <w:t>$0.2 million</w:t>
      </w:r>
      <w:r>
        <w:rPr>
          <w:color w:val="000000"/>
        </w:rPr>
        <w:t xml:space="preserve"> </w:t>
      </w:r>
      <w:r>
        <w:rPr>
          <w:rFonts w:ascii="Times New Roman;serif" w:hAnsi="Times New Roman;serif"/>
          <w:b w:val="false"/>
          <w:color w:val="000000"/>
          <w:sz w:val="22"/>
        </w:rPr>
        <w:t xml:space="preserve">for the three months ended September 30, 2025 compared to the three months ended September 30, 2024 was primarily </w:t>
      </w:r>
      <w:r>
        <w:rPr>
          <w:rFonts w:ascii="Times New Roman;serif" w:hAnsi="Times New Roman;serif"/>
          <w:b w:val="false"/>
          <w:color w:val="000000"/>
          <w:sz w:val="22"/>
          <w:shd w:fill="FFFFFF" w:val="clear"/>
        </w:rPr>
        <w:t>due to changes in deferred taxes related to the outside basis difference of Brilliant Earth Group, Inc.'s investment in Brilliant Earth, LLC.</w:t>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both"/>
        <w:rPr>
          <w:rFonts w:ascii="Times New Roman;serif" w:hAnsi="Times New Roman;serif"/>
          <w:b/>
          <w:i/>
          <w:color w:val="000000"/>
          <w:sz w:val="22"/>
        </w:rPr>
      </w:pPr>
      <w:r>
        <w:rPr>
          <w:rFonts w:ascii="Times New Roman;serif" w:hAnsi="Times New Roman;serif"/>
          <w:b/>
          <w:i/>
          <w:color w:val="000000"/>
          <w:sz w:val="22"/>
        </w:rPr>
        <w:t>Comparison of Nine Months Ended September 30, 2025 and 2024</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sets forth our statements of operations for the nine months ended September 30, 2025 and 2024, including amounts and percentages of net sales for each period and the period-to-period change in dollars and perce</w:t>
      </w:r>
      <w:r>
        <w:rPr>
          <w:rFonts w:ascii="Times New Roman;serif" w:hAnsi="Times New Roman;serif"/>
          <w:b w:val="false"/>
          <w:color w:val="000000"/>
          <w:sz w:val="22"/>
          <w:shd w:fill="FFFFFF" w:val="clear"/>
        </w:rPr>
        <w:t xml:space="preserve">nt (amounts in thousands): </w:t>
      </w:r>
    </w:p>
    <w:tbl>
      <w:tblPr>
        <w:tblW w:w="10205" w:type="dxa"/>
        <w:jc w:val="left"/>
        <w:tblInd w:w="0" w:type="dxa"/>
        <w:tblLayout w:type="fixed"/>
        <w:tblCellMar>
          <w:top w:w="28" w:type="dxa"/>
          <w:left w:w="28" w:type="dxa"/>
          <w:bottom w:w="28" w:type="dxa"/>
          <w:right w:w="28" w:type="dxa"/>
        </w:tblCellMar>
      </w:tblPr>
      <w:tblGrid>
        <w:gridCol w:w="1052"/>
        <w:gridCol w:w="576"/>
        <w:gridCol w:w="427"/>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721"/>
        <w:gridCol w:w="109"/>
        <w:gridCol w:w="109"/>
        <w:gridCol w:w="109"/>
        <w:gridCol w:w="109"/>
        <w:gridCol w:w="319"/>
        <w:gridCol w:w="322"/>
        <w:gridCol w:w="475"/>
      </w:tblGrid>
      <w:tr>
        <w:trPr/>
        <w:tc>
          <w:tcPr>
            <w:tcW w:w="10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Period change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181,997 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187,353 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(669.8)</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(100.0)</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(414.4)</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74.8 </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(469.6)</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allocable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(464.3)</w:t>
            </w:r>
          </w:p>
        </w:tc>
        <w:tc>
          <w:tcPr>
            <w:tcW w:w="4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allocable to Brilliant Earth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(503.8)</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Net Sales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Net sales for the </w:t>
      </w:r>
      <w:r>
        <w:rPr>
          <w:rFonts w:ascii="Times New Roman;serif" w:hAnsi="Times New Roman;serif"/>
          <w:b w:val="false"/>
          <w:color w:val="000000"/>
          <w:sz w:val="22"/>
        </w:rPr>
        <w:t xml:space="preserve">nine months ended September 30, 2025 </w:t>
      </w:r>
      <w:r>
        <w:rPr>
          <w:rFonts w:ascii="Times New Roman;serif" w:hAnsi="Times New Roman;serif"/>
          <w:b w:val="false"/>
          <w:color w:val="000000"/>
          <w:sz w:val="22"/>
          <w:shd w:fill="FFFFFF" w:val="clear"/>
        </w:rPr>
        <w:t xml:space="preserve">increased by $10.4 million, or </w:t>
      </w:r>
      <w:r>
        <w:rPr>
          <w:rFonts w:ascii="Times New Roman;serif" w:hAnsi="Times New Roman;serif"/>
          <w:b w:val="false"/>
          <w:color w:val="000000"/>
          <w:sz w:val="22"/>
        </w:rPr>
        <w:t xml:space="preserve">3.4%, </w:t>
      </w:r>
      <w:r>
        <w:rPr>
          <w:rFonts w:ascii="Times New Roman;serif" w:hAnsi="Times New Roman;serif"/>
          <w:b w:val="false"/>
          <w:color w:val="000000"/>
          <w:sz w:val="22"/>
          <w:shd w:fill="FFFFFF" w:val="clear"/>
        </w:rPr>
        <w:t xml:space="preserve">compared to the </w:t>
      </w:r>
      <w:r>
        <w:rPr>
          <w:rFonts w:ascii="Times New Roman;serif" w:hAnsi="Times New Roman;serif"/>
          <w:b w:val="false"/>
          <w:color w:val="000000"/>
          <w:sz w:val="22"/>
        </w:rPr>
        <w:t>nine months ended</w:t>
      </w:r>
      <w:r>
        <w:rPr>
          <w:color w:val="000000"/>
          <w:shd w:fill="FFFFFF" w:val="clear"/>
        </w:rPr>
        <w:t xml:space="preserve"> </w:t>
      </w:r>
      <w:r>
        <w:rPr>
          <w:rFonts w:ascii="Times New Roman;serif" w:hAnsi="Times New Roman;serif"/>
          <w:b w:val="false"/>
          <w:color w:val="000000"/>
          <w:sz w:val="22"/>
          <w:shd w:fill="FFFFFF" w:val="clear"/>
        </w:rPr>
        <w:t>September 30, 2024. The increase in net sales was due to an increase of 15.9% in order volumes, partially offset by a decrease of 10.7% in AOV.</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w:t>
      </w:r>
      <w:r>
        <w:rPr>
          <w:rFonts w:ascii="Times New Roman;serif" w:hAnsi="Times New Roman;serif"/>
          <w:b w:val="false"/>
          <w:color w:val="000000"/>
          <w:sz w:val="22"/>
          <w:shd w:fill="FFFFFF" w:val="clear"/>
        </w:rPr>
        <w:t>15.9%</w:t>
      </w:r>
      <w:r>
        <w:rPr>
          <w:color w:val="000000"/>
        </w:rPr>
        <w:t xml:space="preserve"> </w:t>
      </w:r>
      <w:r>
        <w:rPr>
          <w:rFonts w:ascii="Times New Roman;serif" w:hAnsi="Times New Roman;serif"/>
          <w:b w:val="false"/>
          <w:color w:val="000000"/>
          <w:sz w:val="22"/>
        </w:rPr>
        <w:t xml:space="preserve">increase in order volumes was due to strong performance in lower price point products, including fine jewelry, continued effectiveness of our customer acquisition and retention activities and the opening of new showrooms.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decrease in AOV was driven by a higher mix of lower price point products, including fine jewelry, and comparatively stronger performance of engagement rings priced below $5,000.</w:t>
      </w:r>
    </w:p>
    <w:p>
      <w:pPr>
        <w:pStyle w:val="TextBody"/>
        <w:bidi w:val="0"/>
        <w:spacing w:before="0" w:after="2"/>
        <w:jc w:val="both"/>
        <w:rPr/>
      </w:pPr>
      <w:r>
        <w:rPr/>
      </w:r>
    </w:p>
    <w:p>
      <w:pPr>
        <w:pStyle w:val="TextBody"/>
        <w:bidi w:val="0"/>
        <w:spacing w:lineRule="auto" w:line="288"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Gross Profit</w:t>
      </w:r>
    </w:p>
    <w:p>
      <w:pPr>
        <w:pStyle w:val="TextBody"/>
        <w:bidi w:val="0"/>
        <w:spacing w:before="0" w:after="2"/>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Gross profit for the </w:t>
      </w:r>
      <w:r>
        <w:rPr>
          <w:rFonts w:ascii="Times New Roman;serif" w:hAnsi="Times New Roman;serif"/>
          <w:b w:val="false"/>
          <w:color w:val="000000"/>
          <w:sz w:val="22"/>
        </w:rPr>
        <w:t>nine months ended</w:t>
      </w:r>
      <w:r>
        <w:rPr>
          <w:color w:val="000000"/>
          <w:shd w:fill="FFFFFF" w:val="clear"/>
        </w:rPr>
        <w:t xml:space="preserve"> </w:t>
      </w:r>
      <w:r>
        <w:rPr>
          <w:rFonts w:ascii="Times New Roman;serif" w:hAnsi="Times New Roman;serif"/>
          <w:b w:val="false"/>
          <w:color w:val="000000"/>
          <w:sz w:val="22"/>
          <w:shd w:fill="FFFFFF" w:val="clear"/>
        </w:rPr>
        <w:t xml:space="preserve">September 30, 2025 decreased by $1.2 million, or 0.6%, compared to the </w:t>
      </w:r>
      <w:r>
        <w:rPr>
          <w:rFonts w:ascii="Times New Roman;serif" w:hAnsi="Times New Roman;serif"/>
          <w:b w:val="false"/>
          <w:color w:val="000000"/>
          <w:sz w:val="22"/>
        </w:rPr>
        <w:t>nine months ended</w:t>
      </w:r>
      <w:r>
        <w:rPr>
          <w:color w:val="000000"/>
          <w:shd w:fill="FFFFFF" w:val="clear"/>
        </w:rPr>
        <w:t xml:space="preserve"> </w:t>
      </w:r>
      <w:r>
        <w:rPr>
          <w:rFonts w:ascii="Times New Roman;serif" w:hAnsi="Times New Roman;serif"/>
          <w:b w:val="false"/>
          <w:color w:val="000000"/>
          <w:sz w:val="22"/>
          <w:shd w:fill="FFFFFF" w:val="clear"/>
        </w:rPr>
        <w:t xml:space="preserve">September 30, 2024. Gross margin, expressed as a percentage and calculated as gross profit divided by net sales, decreased by 240 basis points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September 30, 2025 compared to the nine months ended September 30, 2024, primarily driven by higher gold and platinum costs. This decrease was partially offset by continued optimization of our pricing engine, procurement efficiencies, and other efforts to manage our gross margins to target levels.</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Operating Expenses</w:t>
      </w:r>
    </w:p>
    <w:p>
      <w:pPr>
        <w:pStyle w:val="TextBody"/>
        <w:bidi w:val="0"/>
        <w:spacing w:before="0" w:after="2"/>
        <w:jc w:val="left"/>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Operating expenses for the nine months ended September 30, 2025</w:t>
      </w:r>
      <w:r>
        <w:rPr>
          <w:color w:val="000000"/>
          <w:shd w:fill="FFFFFF" w:val="clear"/>
        </w:rPr>
        <w:t xml:space="preserve"> </w:t>
      </w:r>
      <w:r>
        <w:rPr>
          <w:rFonts w:ascii="Times New Roman;serif" w:hAnsi="Times New Roman;serif"/>
          <w:b w:val="false"/>
          <w:color w:val="000000"/>
          <w:sz w:val="22"/>
          <w:shd w:fill="FFFFFF" w:val="clear"/>
        </w:rPr>
        <w:t xml:space="preserve">increased by $5.1 million, or 2.8%, compared to the </w:t>
      </w:r>
      <w:r>
        <w:rPr>
          <w:rFonts w:ascii="Times New Roman;serif" w:hAnsi="Times New Roman;serif"/>
          <w:b w:val="false"/>
          <w:color w:val="000000"/>
          <w:sz w:val="22"/>
        </w:rPr>
        <w:t>nine months ended</w:t>
      </w:r>
      <w:r>
        <w:rPr>
          <w:color w:val="000000"/>
          <w:shd w:fill="FFFFFF" w:val="clear"/>
        </w:rPr>
        <w:t xml:space="preserve"> </w:t>
      </w:r>
      <w:r>
        <w:rPr>
          <w:rFonts w:ascii="Times New Roman;serif" w:hAnsi="Times New Roman;serif"/>
          <w:b w:val="false"/>
          <w:color w:val="000000"/>
          <w:sz w:val="22"/>
          <w:shd w:fill="FFFFFF" w:val="clear"/>
        </w:rPr>
        <w:t>September 30, 2024. Operating ex</w:t>
      </w:r>
      <w:r>
        <w:rPr>
          <w:rFonts w:ascii="Times New Roman;serif" w:hAnsi="Times New Roman;serif"/>
          <w:b w:val="false"/>
          <w:color w:val="000000"/>
          <w:sz w:val="22"/>
        </w:rPr>
        <w:t>penses as a percentage of net sa</w:t>
      </w:r>
      <w:r>
        <w:rPr>
          <w:rFonts w:ascii="Times New Roman;serif" w:hAnsi="Times New Roman;serif"/>
          <w:b w:val="false"/>
          <w:color w:val="000000"/>
          <w:sz w:val="22"/>
          <w:shd w:fill="FFFFFF" w:val="clear"/>
        </w:rPr>
        <w:t>les decreased by 40 basis poi</w:t>
      </w:r>
      <w:r>
        <w:rPr>
          <w:rFonts w:ascii="Times New Roman;serif" w:hAnsi="Times New Roman;serif"/>
          <w:b w:val="false"/>
          <w:color w:val="000000"/>
          <w:sz w:val="22"/>
        </w:rPr>
        <w:t xml:space="preserve">nts for the nine months ended September 30, 2025 compared to the nine months ended September 30, 2024. </w:t>
      </w:r>
      <w:r>
        <w:rPr>
          <w:rFonts w:ascii="Times New Roman;serif" w:hAnsi="Times New Roman;serif"/>
          <w:b w:val="false"/>
          <w:color w:val="000000"/>
          <w:sz w:val="22"/>
          <w:shd w:fill="FFFFFF" w:val="clear"/>
        </w:rPr>
        <w:t>The increase in operating expenses was primarily driven by an increase in employment expenses of $3.7 million and an increase in other general and administrative expenses of $3.2 million. These increases were partially offset by a decrease in marketing expenses of $1.8 million for the period.</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increase in employment expenses was primarily driven by an increase in salaries and wages and other benefits expense primarily due to the addition of staff to support our growth. The increase in other general and administrative expenses was primarily driven by an increase in rent, and lease-related expenses, professional fees, information technology and other software-related costs, and depreciation expense. These increases were partially offset by a decrease in product development costs as compared to the nine months ended September 30, 2024. The decrease in marketing expenses compared to the nine months ended September 30, 2024 resulted from our continued focus on improving the effectiveness and efficiency of our marketing spend. </w:t>
      </w:r>
    </w:p>
    <w:p>
      <w:pPr>
        <w:pStyle w:val="TextBody"/>
        <w:bidi w:val="0"/>
        <w:spacing w:before="0" w:after="2"/>
        <w:jc w:val="both"/>
        <w:rPr/>
      </w:pPr>
      <w:r>
        <w:rPr/>
      </w:r>
    </w:p>
    <w:p>
      <w:pPr>
        <w:pStyle w:val="TextBody"/>
        <w:bidi w:val="0"/>
        <w:spacing w:lineRule="auto" w:line="288" w:before="0" w:after="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Interest Expense</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Interest expense for the nine months ended September 30, 2025 decreased by $1.5 million, or 40.4%, compared to the nine months ended September 30, 2024, primarily due to the principal payments made on the SVB Term Loan totaling $20 million in May 2025, as well as, the prepayment of all principal amounts outstanding of $34.8 million under the SVB Term Loan in August 2025. As a result of the prepayment, the Company recognized a loss on debt extinguishment of $0.6 million associated with the write-off of unamortized debt issuance costs.</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Other Income, net</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Other income, net for the </w:t>
      </w:r>
      <w:r>
        <w:rPr>
          <w:rFonts w:ascii="Times New Roman;serif" w:hAnsi="Times New Roman;serif"/>
          <w:b w:val="false"/>
          <w:color w:val="000000"/>
          <w:sz w:val="22"/>
          <w:shd w:fill="FFFFFF" w:val="clear"/>
        </w:rPr>
        <w:t>nine months ended September 30, 2025</w:t>
      </w:r>
      <w:r>
        <w:rPr>
          <w:color w:val="000000"/>
        </w:rPr>
        <w:t xml:space="preserve"> </w:t>
      </w:r>
      <w:r>
        <w:rPr>
          <w:rFonts w:ascii="Times New Roman;serif" w:hAnsi="Times New Roman;serif"/>
          <w:b w:val="false"/>
          <w:color w:val="000000"/>
          <w:sz w:val="22"/>
          <w:shd w:fill="FFFFFF" w:val="clear"/>
        </w:rPr>
        <w:t>decreased by $1.3 million, or 28.2%, compared to the nine months ended September 30, 2024, primarily due to decreased interest income earned on our cash balances. Additionally, this amount includes immaterial losses on exchange rates on consumer payments and other miscellaneous income.</w:t>
      </w:r>
    </w:p>
    <w:p>
      <w:pPr>
        <w:pStyle w:val="TextBody"/>
        <w:bidi w:val="0"/>
        <w:spacing w:before="0" w:after="2"/>
        <w:ind w:left="0" w:right="0" w:firstLine="720"/>
        <w:jc w:val="both"/>
        <w:rPr/>
      </w:pPr>
      <w:r>
        <w:rPr/>
      </w:r>
    </w:p>
    <w:p>
      <w:pPr>
        <w:pStyle w:val="TextBody"/>
        <w:bidi w:val="0"/>
        <w:spacing w:lineRule="auto" w:line="288"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Income Tax Expense</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The decrease in Brilliant Earth Group, Inc.'s income tax expense of </w:t>
      </w:r>
      <w:r>
        <w:rPr>
          <w:rFonts w:ascii="Times New Roman;serif" w:hAnsi="Times New Roman;serif"/>
          <w:b w:val="false"/>
          <w:color w:val="000000"/>
          <w:sz w:val="22"/>
          <w:shd w:fill="FFFFFF" w:val="clear"/>
        </w:rPr>
        <w:t>$0.2 million</w:t>
      </w:r>
      <w:r>
        <w:rPr>
          <w:color w:val="000000"/>
        </w:rPr>
        <w:t xml:space="preserve"> </w:t>
      </w:r>
      <w:r>
        <w:rPr>
          <w:rFonts w:ascii="Times New Roman;serif" w:hAnsi="Times New Roman;serif"/>
          <w:b w:val="false"/>
          <w:color w:val="000000"/>
          <w:sz w:val="22"/>
        </w:rPr>
        <w:t xml:space="preserve">for the </w:t>
      </w:r>
      <w:r>
        <w:rPr>
          <w:rFonts w:ascii="Times New Roman;serif" w:hAnsi="Times New Roman;serif"/>
          <w:b w:val="false"/>
          <w:color w:val="000000"/>
          <w:sz w:val="22"/>
          <w:shd w:fill="FFFFFF" w:val="clear"/>
        </w:rPr>
        <w:t xml:space="preserve">nine months ended September 30, 2025 </w:t>
      </w:r>
      <w:r>
        <w:rPr>
          <w:rFonts w:ascii="Times New Roman;serif" w:hAnsi="Times New Roman;serif"/>
          <w:b w:val="false"/>
          <w:color w:val="000000"/>
          <w:sz w:val="22"/>
        </w:rPr>
        <w:t>compared to t</w:t>
      </w:r>
      <w:r>
        <w:rPr>
          <w:rFonts w:ascii="Times New Roman;serif" w:hAnsi="Times New Roman;serif"/>
          <w:b w:val="false"/>
          <w:color w:val="000000"/>
          <w:sz w:val="22"/>
          <w:shd w:fill="FFFFFF" w:val="clear"/>
        </w:rPr>
        <w:t>he nine months ended September 30, 2024 was primarily due to lower pre-tax income in the current year and changes in deferred taxes related to the outside basis difference of Brilliant Earth Group, Inc.'s investment in Brilliant Earth, LLC.</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Key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sets forth our key performance metrics for the periods presented</w:t>
      </w:r>
      <w:r>
        <w:rPr>
          <w:color w:val="000000"/>
          <w:shd w:fill="FFFFFF" w:val="clear"/>
        </w:rPr>
        <w:t xml:space="preserve"> </w:t>
      </w:r>
      <w:r>
        <w:rPr>
          <w:rFonts w:ascii="Times New Roman;serif" w:hAnsi="Times New Roman;serif"/>
          <w:b w:val="false"/>
          <w:color w:val="000000"/>
          <w:sz w:val="22"/>
          <w:shd w:fill="FFFFFF" w:val="clear"/>
        </w:rPr>
        <w:t>(amounts in thousands, except for total orders and AOV):</w:t>
      </w:r>
    </w:p>
    <w:p>
      <w:pPr>
        <w:pStyle w:val="TextBody"/>
        <w:bidi w:val="0"/>
        <w:spacing w:before="0" w:after="2"/>
        <w:jc w:val="both"/>
        <w:rPr/>
      </w:pPr>
      <w:r>
        <w:rPr/>
      </w:r>
    </w:p>
    <w:tbl>
      <w:tblPr>
        <w:tblW w:w="10782" w:type="dxa"/>
        <w:jc w:val="center"/>
        <w:tblInd w:w="0" w:type="dxa"/>
        <w:tblLayout w:type="fixed"/>
        <w:tblCellMar>
          <w:top w:w="28" w:type="dxa"/>
          <w:left w:w="28" w:type="dxa"/>
          <w:bottom w:w="28" w:type="dxa"/>
          <w:right w:w="28" w:type="dxa"/>
        </w:tblCellMar>
      </w:tblPr>
      <w:tblGrid>
        <w:gridCol w:w="299"/>
        <w:gridCol w:w="198"/>
        <w:gridCol w:w="164"/>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503"/>
        <w:gridCol w:w="109"/>
        <w:gridCol w:w="109"/>
        <w:gridCol w:w="109"/>
        <w:gridCol w:w="196"/>
        <w:gridCol w:w="736"/>
        <w:gridCol w:w="109"/>
        <w:gridCol w:w="109"/>
        <w:gridCol w:w="109"/>
        <w:gridCol w:w="109"/>
        <w:gridCol w:w="196"/>
        <w:gridCol w:w="736"/>
        <w:gridCol w:w="109"/>
        <w:gridCol w:w="109"/>
        <w:gridCol w:w="109"/>
        <w:gridCol w:w="109"/>
        <w:gridCol w:w="196"/>
        <w:gridCol w:w="450"/>
        <w:gridCol w:w="109"/>
        <w:gridCol w:w="109"/>
        <w:gridCol w:w="109"/>
        <w:gridCol w:w="109"/>
        <w:gridCol w:w="240"/>
        <w:gridCol w:w="241"/>
        <w:gridCol w:w="602"/>
      </w:tblGrid>
      <w:tr>
        <w:trPr/>
        <w:tc>
          <w:tcPr>
            <w:tcW w:w="29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99,873 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302,636 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Orders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50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6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AOV</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6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Total Orders</w:t>
      </w:r>
    </w:p>
    <w:p>
      <w:pPr>
        <w:pStyle w:val="TextBody"/>
        <w:bidi w:val="0"/>
        <w:spacing w:before="0" w:after="0"/>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Average Order Value</w:t>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Non-GAAP Financial Measures</w:t>
      </w:r>
    </w:p>
    <w:p>
      <w:pPr>
        <w:pStyle w:val="TextBody"/>
        <w:bidi w:val="0"/>
        <w:spacing w:before="0" w:after="0"/>
        <w:ind w:left="0" w:right="0" w:firstLine="72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EBITDA and Adjusted EBITDA Margin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Adjusted EBITDA and Adjusted EBITDA margin, which are non-GAAP financial measures, are included in this Quarterly Report on Form 10-Q because they are used by management and our board of directors to assess our financial performance. We define Adjusted EBITDA</w:t>
      </w:r>
      <w:r>
        <w:rPr>
          <w:color w:val="000000"/>
          <w:shd w:fill="FFFFFF" w:val="clear"/>
        </w:rPr>
        <w:t xml:space="preserve"> </w:t>
      </w:r>
      <w:r>
        <w:rPr>
          <w:rFonts w:ascii="Times New Roman;serif" w:hAnsi="Times New Roman;serif"/>
          <w:b w:val="false"/>
          <w:color w:val="000000"/>
          <w:sz w:val="22"/>
          <w:shd w:fill="FFFFFF" w:val="clear"/>
        </w:rPr>
        <w:t>as net (loss) income excluding interest expense, income taxes, depreciation expense, amortization of cloud-based software implementation costs, showroom pre-opening expense, equity-based compensation</w:t>
      </w:r>
      <w:r>
        <w:rPr>
          <w:color w:val="000000"/>
        </w:rPr>
        <w:t xml:space="preserve"> </w:t>
      </w:r>
      <w:r>
        <w:rPr>
          <w:rFonts w:ascii="Times New Roman;serif" w:hAnsi="Times New Roman;serif"/>
          <w:b w:val="false"/>
          <w:color w:val="000000"/>
          <w:sz w:val="22"/>
        </w:rPr>
        <w:t>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(loss) income that may vary substantially in frequency and magnitude from period to period. These non-GAAP financial measures are not meant to be considered as indicators of performance in isolation from or as a substitute for net (loss) income prepared in accordance with GAAP and should be read only in conjunction with financial information presented on a GAAP basis. Reconciliations of each of Adjusted EBITDA and Adjusted EBITDA margin to its most directly comparable GAAP financial measure, net (loss) income and net (loss)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The following table presents a reconciliation o</w:t>
      </w:r>
      <w:r>
        <w:rPr>
          <w:rFonts w:ascii="Times New Roman;serif" w:hAnsi="Times New Roman;serif"/>
          <w:b w:val="false"/>
          <w:color w:val="000000"/>
          <w:sz w:val="22"/>
          <w:shd w:fill="FFFFFF" w:val="clear"/>
        </w:rPr>
        <w:t>f net (loss) income and n</w:t>
      </w:r>
      <w:r>
        <w:rPr>
          <w:rFonts w:ascii="Times New Roman;serif" w:hAnsi="Times New Roman;serif"/>
          <w:b w:val="false"/>
          <w:color w:val="000000"/>
          <w:sz w:val="22"/>
        </w:rPr>
        <w:t>et (loss) income margin, the most comparable GAAP financial measures, to Adjusted EBITDA and Adjusted EBITDA margin, respectively, for the periods p</w:t>
      </w:r>
      <w:r>
        <w:rPr>
          <w:rFonts w:ascii="Times New Roman;serif" w:hAnsi="Times New Roman;serif"/>
          <w:b w:val="false"/>
          <w:color w:val="000000"/>
          <w:sz w:val="22"/>
          <w:shd w:fill="FFFFFF" w:val="clear"/>
        </w:rPr>
        <w:t>resented (amounts in thousands):</w:t>
      </w:r>
    </w:p>
    <w:tbl>
      <w:tblPr>
        <w:tblW w:w="10205" w:type="dxa"/>
        <w:jc w:val="left"/>
        <w:tblInd w:w="0" w:type="dxa"/>
        <w:tblLayout w:type="fixed"/>
        <w:tblCellMar>
          <w:top w:w="28" w:type="dxa"/>
          <w:left w:w="28" w:type="dxa"/>
          <w:bottom w:w="28" w:type="dxa"/>
          <w:right w:w="28" w:type="dxa"/>
        </w:tblCellMar>
      </w:tblPr>
      <w:tblGrid>
        <w:gridCol w:w="1617"/>
        <w:gridCol w:w="1417"/>
        <w:gridCol w:w="1365"/>
        <w:gridCol w:w="211"/>
        <w:gridCol w:w="631"/>
        <w:gridCol w:w="301"/>
        <w:gridCol w:w="109"/>
        <w:gridCol w:w="109"/>
        <w:gridCol w:w="109"/>
        <w:gridCol w:w="211"/>
        <w:gridCol w:w="681"/>
        <w:gridCol w:w="301"/>
        <w:gridCol w:w="109"/>
        <w:gridCol w:w="109"/>
        <w:gridCol w:w="109"/>
        <w:gridCol w:w="211"/>
        <w:gridCol w:w="681"/>
        <w:gridCol w:w="301"/>
        <w:gridCol w:w="109"/>
        <w:gridCol w:w="109"/>
        <w:gridCol w:w="109"/>
        <w:gridCol w:w="211"/>
        <w:gridCol w:w="736"/>
        <w:gridCol w:w="349"/>
      </w:tblGrid>
      <w:tr>
        <w:trPr/>
        <w:tc>
          <w:tcPr>
            <w:tcW w:w="16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both"/>
              <w:rPr>
                <w:rFonts w:ascii="Times New Roman;serif" w:hAnsi="Times New Roman;serif"/>
                <w:b/>
                <w:color w:val="000000"/>
                <w:sz w:val="20"/>
              </w:rPr>
            </w:pPr>
            <w:r>
              <w:rPr>
                <w:rFonts w:ascii="Times New Roman;serif" w:hAnsi="Times New Roman;serif"/>
                <w:b/>
                <w:color w:val="000000"/>
                <w:sz w:val="20"/>
              </w:rPr>
              <w:t xml:space="preserve">Net (loss)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(672)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(1,075)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(5,052)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1,367</w:t>
            </w: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cloud-based software implementation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 pre-opening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6,953 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3,561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3,636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7,821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14,202</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Net (loss) income margin</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0.5</w:t>
            </w:r>
            <w:r>
              <w:rPr>
                <w:color w:val="000000"/>
              </w:rPr>
              <w:t> </w:t>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3.2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3.6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2.5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4.7</w:t>
            </w: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192" w:before="104" w:after="160"/>
        <w:jc w:val="left"/>
        <w:rPr/>
      </w:pPr>
      <w:r>
        <w:rPr>
          <w:rFonts w:ascii="Times New Roman;serif" w:hAnsi="Times New Roman;serif"/>
          <w:b w:val="false"/>
          <w:color w:val="000000"/>
          <w:sz w:val="16"/>
        </w:rPr>
        <w:t xml:space="preserve">(1) </w:t>
      </w:r>
      <w:r>
        <w:rPr>
          <w:rFonts w:ascii="Times New Roman;serif" w:hAnsi="Times New Roman;serif"/>
          <w:b w:val="false"/>
          <w:color w:val="000000"/>
          <w:sz w:val="16"/>
          <w:shd w:fill="FFFFFF" w:val="clear"/>
        </w:rPr>
        <w:t>Other income, net consists primarily of interest and other miscellaneous income, partially offset by expenses such as losses on exchange rates on consumer payments.</w:t>
      </w:r>
    </w:p>
    <w:p>
      <w:pPr>
        <w:pStyle w:val="TextBody"/>
        <w:bidi w:val="0"/>
        <w:spacing w:lineRule="auto" w:line="192" w:before="104" w:after="16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r>
    </w:p>
    <w:p>
      <w:pPr>
        <w:pStyle w:val="TextBody"/>
        <w:bidi w:val="0"/>
        <w:spacing w:before="0" w:after="0"/>
        <w:ind w:left="0" w:right="0" w:hanging="360"/>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Overview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Our primary requirements for liquidity and capital are for purchases of inventory, payment of operating expenses, tax distributions to Continuing Equity Owners,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payments from customers prior to payment of suppliers. As of September 30, 2025, we had a cash balance, excluding restricted cash, of </w:t>
      </w:r>
      <w:r>
        <w:rPr>
          <w:rFonts w:ascii="Times New Roman;serif" w:hAnsi="Times New Roman;serif"/>
          <w:b w:val="false"/>
          <w:color w:val="000000"/>
          <w:sz w:val="22"/>
          <w:shd w:fill="FFFFFF" w:val="clear"/>
        </w:rPr>
        <w:t>$73.4 million</w:t>
      </w:r>
      <w:r>
        <w:rPr>
          <w:rFonts w:ascii="Times New Roman;serif" w:hAnsi="Times New Roman;serif"/>
          <w:b w:val="false"/>
          <w:color w:val="000000"/>
          <w:sz w:val="22"/>
        </w:rPr>
        <w:t xml:space="preserve">, and negative working capital, excluding non-restricted cash, of </w:t>
      </w:r>
      <w:r>
        <w:rPr>
          <w:rFonts w:ascii="Times New Roman;serif" w:hAnsi="Times New Roman;serif"/>
          <w:b w:val="false"/>
          <w:color w:val="000000"/>
          <w:sz w:val="22"/>
          <w:shd w:fill="FFFFFF" w:val="clear"/>
        </w:rPr>
        <w:t>($20.7) million</w:t>
      </w:r>
      <w:r>
        <w:rPr>
          <w:rFonts w:ascii="Times New Roman;serif" w:hAnsi="Times New Roman;serif"/>
          <w:b w:val="false"/>
          <w:color w:val="000000"/>
          <w:sz w:val="22"/>
        </w:rPr>
        <w:t>.</w:t>
      </w:r>
    </w:p>
    <w:p>
      <w:pPr>
        <w:pStyle w:val="TextBody"/>
        <w:bidi w:val="0"/>
        <w:spacing w:before="0" w:after="2"/>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2"/>
        </w:rPr>
        <w:t xml:space="preserve">In May </w:t>
      </w:r>
      <w:r>
        <w:rPr>
          <w:rFonts w:ascii="Times New Roman;serif" w:hAnsi="Times New Roman;serif"/>
          <w:b w:val="false"/>
          <w:color w:val="000000"/>
          <w:sz w:val="22"/>
          <w:shd w:fill="FFFFFF" w:val="clear"/>
        </w:rPr>
        <w:t xml:space="preserve">2025, the Company made principal payments totaling $20 million on the SVB Term Loan.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In August 2025, the Company prepaid all principal amounts outstanding of $34.8 million under the SVB Term Loan, and terminated all commitments outstanding under the SVB Credit Agreement. The SVB Credit Agreement provided Brilliant Earth, LLC with a term loan facility in the aggregate principal amount of $65.0 million and the ability to borrow under its revolving loan facility in an aggregate principal amount of up to $40.0 million. As a result of the prepayment, the Company recognized a loss on debt extinguishment of $0.6 million associated with the write-off of unamortized debt issuance costs. Refer to Note 7. “Debt” to our unaudited condensed consolidated financial statements included elsewhere in this Quarterly Report on Form 10-Q for additional information regarding the SVB Credit Facilities.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August 2025, our Board of Directors declared a one-time cash dividend of $0.25 per share to holders of our Class A common stock and holders of common units of Brilliant Earth, LLC, respectively. The distribution from Brilliant Earth, LLC totaled approximately $25.0 million, of which a pro rata portion was used by us to fund the dividend. Payment of the dividend was made on September 8, 2025 to holders of record of our Class A common stock as of the close of business on August 22, 2025. Approximately $21.2 million was paid to holders of common units of Brilliant Earth, LLC and approximately $3.8 million was paid to holders of the Company's Class A common stock. </w:t>
      </w:r>
    </w:p>
    <w:p>
      <w:pPr>
        <w:pStyle w:val="TextBody"/>
        <w:bidi w:val="0"/>
        <w:spacing w:before="0" w:after="2"/>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the </w:t>
      </w:r>
      <w:r>
        <w:rPr>
          <w:rFonts w:ascii="Times New Roman;serif" w:hAnsi="Times New Roman;serif"/>
          <w:b w:val="false"/>
          <w:color w:val="000000"/>
          <w:sz w:val="22"/>
          <w:shd w:fill="FFFFFF" w:val="clear"/>
        </w:rPr>
        <w:t>nine months ended</w:t>
      </w:r>
      <w:r>
        <w:rPr>
          <w:color w:val="000000"/>
        </w:rPr>
        <w:t xml:space="preserve"> </w:t>
      </w:r>
      <w:r>
        <w:rPr>
          <w:rFonts w:ascii="Times New Roman;serif" w:hAnsi="Times New Roman;serif"/>
          <w:b w:val="false"/>
          <w:color w:val="000000"/>
          <w:sz w:val="22"/>
        </w:rPr>
        <w:t xml:space="preserve">September 30, 2025, the Company declared and paid </w:t>
      </w:r>
      <w:r>
        <w:rPr>
          <w:rFonts w:ascii="Times New Roman;serif" w:hAnsi="Times New Roman;serif"/>
          <w:b w:val="false"/>
          <w:color w:val="000000"/>
          <w:sz w:val="22"/>
          <w:shd w:fill="FFFFFF" w:val="clear"/>
        </w:rPr>
        <w:t>$6.7 million</w:t>
      </w:r>
      <w:r>
        <w:rPr>
          <w:color w:val="000000"/>
        </w:rPr>
        <w:t xml:space="preserve"> </w:t>
      </w:r>
      <w:r>
        <w:rPr>
          <w:rFonts w:ascii="Times New Roman;serif" w:hAnsi="Times New Roman;serif"/>
          <w:b w:val="false"/>
          <w:color w:val="000000"/>
          <w:sz w:val="22"/>
        </w:rPr>
        <w:t xml:space="preserve">of distributions to, or on behalf of, members associated with their </w:t>
      </w:r>
      <w:r>
        <w:rPr>
          <w:rFonts w:ascii="Times New Roman;serif" w:hAnsi="Times New Roman;serif"/>
          <w:b w:val="false"/>
          <w:color w:val="000000"/>
          <w:sz w:val="22"/>
          <w:shd w:fill="FFFFFF" w:val="clear"/>
        </w:rPr>
        <w:t>estimated income tax obligations pursuant to the LLC Agreement. We are comm</w:t>
      </w:r>
      <w:r>
        <w:rPr>
          <w:rFonts w:ascii="Times New Roman;serif" w:hAnsi="Times New Roman;serif"/>
          <w:b w:val="false"/>
          <w:color w:val="000000"/>
          <w:sz w:val="22"/>
        </w:rPr>
        <w:t xml:space="preserve">itted to continue to make quarterly distributions in connection with member estimated income tax obligations which we expect to fund with cash flow from operations. </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Any future determination as to the declaration and payment of dividends, if any, will be at the discretion of our Board of Directors, subject to the requirements of applicable law,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 </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based on our current projections, that we have sufficient sources of liquidity to meet our projected operating, tax distribution requirements for at least the next 12 months following the filing of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Additional future liquidity needs</w:t>
      </w:r>
      <w:r>
        <w:rPr>
          <w:color w:val="000000"/>
          <w:shd w:fill="FFFFFF" w:val="clear"/>
        </w:rPr>
        <w:t xml:space="preserve"> </w:t>
      </w:r>
      <w:r>
        <w:rPr>
          <w:rFonts w:ascii="Times New Roman;serif" w:hAnsi="Times New Roman;serif"/>
          <w:b w:val="false"/>
          <w:color w:val="000000"/>
          <w:sz w:val="22"/>
          <w:shd w:fill="FFFFFF" w:val="clear"/>
        </w:rPr>
        <w:t>may also include p</w:t>
      </w:r>
      <w:r>
        <w:rPr>
          <w:rFonts w:ascii="Times New Roman;serif" w:hAnsi="Times New Roman;serif"/>
          <w:b w:val="false"/>
          <w:color w:val="000000"/>
          <w:sz w:val="22"/>
        </w:rPr>
        <w:t xml:space="preserve">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new debt financing would result in debt service obligations, and any future instruments governing such debt could provide for operating and financing covenants that could restrict our operations. We cannot ensure that we could obtain new debt financing on favorable terms or at all. </w:t>
      </w:r>
    </w:p>
    <w:p>
      <w:pPr>
        <w:pStyle w:val="TextBody"/>
        <w:bidi w:val="0"/>
        <w:spacing w:before="0" w:after="2"/>
        <w:jc w:val="both"/>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left"/>
        <w:rPr>
          <w:rFonts w:ascii="Times New Roman;serif" w:hAnsi="Times New Roman;serif"/>
          <w:b/>
          <w:i/>
          <w:color w:val="000000"/>
          <w:sz w:val="22"/>
        </w:rPr>
      </w:pPr>
      <w:r>
        <w:rPr>
          <w:rFonts w:ascii="Times New Roman;serif" w:hAnsi="Times New Roman;serif"/>
          <w:b/>
          <w:i/>
          <w:color w:val="000000"/>
          <w:sz w:val="22"/>
        </w:rPr>
        <w:t xml:space="preserve">Cash Flow Analysis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The following table summarizes our cash flows for the </w:t>
      </w:r>
      <w:r>
        <w:rPr>
          <w:rFonts w:ascii="Times New Roman;serif" w:hAnsi="Times New Roman;serif"/>
          <w:b w:val="false"/>
          <w:color w:val="000000"/>
          <w:sz w:val="22"/>
          <w:shd w:fill="FFFFFF" w:val="clear"/>
        </w:rPr>
        <w:t>nine months ended</w:t>
      </w:r>
      <w:r>
        <w:rPr>
          <w:color w:val="000000"/>
        </w:rPr>
        <w:t xml:space="preserve"> </w:t>
      </w:r>
      <w:r>
        <w:rPr>
          <w:rFonts w:ascii="Times New Roman;serif" w:hAnsi="Times New Roman;serif"/>
          <w:b w:val="false"/>
          <w:color w:val="000000"/>
          <w:sz w:val="22"/>
        </w:rPr>
        <w:t>September 30, 2025 and 2024</w:t>
      </w:r>
      <w:r>
        <w:rPr>
          <w:color w:val="000000"/>
          <w:shd w:fill="FFFFFF" w:val="clear"/>
        </w:rPr>
        <w:t xml:space="preserve"> </w:t>
      </w:r>
      <w:r>
        <w:rPr>
          <w:rFonts w:ascii="Times New Roman;serif" w:hAnsi="Times New Roman;serif"/>
          <w:b w:val="false"/>
          <w:color w:val="000000"/>
          <w:sz w:val="22"/>
          <w:shd w:fill="FFFFFF" w:val="clear"/>
        </w:rPr>
        <w:t>(in thousands):</w:t>
      </w:r>
    </w:p>
    <w:p>
      <w:pPr>
        <w:pStyle w:val="TextBody"/>
        <w:bidi w:val="0"/>
        <w:spacing w:before="0" w:after="0"/>
        <w:jc w:val="left"/>
        <w:rPr/>
      </w:pPr>
      <w:r>
        <w:rPr/>
      </w:r>
    </w:p>
    <w:tbl>
      <w:tblPr>
        <w:tblW w:w="8412" w:type="dxa"/>
        <w:jc w:val="left"/>
        <w:tblInd w:w="0" w:type="dxa"/>
        <w:tblLayout w:type="fixed"/>
        <w:tblCellMar>
          <w:top w:w="28" w:type="dxa"/>
          <w:left w:w="28" w:type="dxa"/>
          <w:bottom w:w="28" w:type="dxa"/>
          <w:right w:w="28" w:type="dxa"/>
        </w:tblCellMar>
      </w:tblPr>
      <w:tblGrid>
        <w:gridCol w:w="1943"/>
        <w:gridCol w:w="1710"/>
        <w:gridCol w:w="1716"/>
        <w:gridCol w:w="248"/>
        <w:gridCol w:w="865"/>
        <w:gridCol w:w="128"/>
        <w:gridCol w:w="128"/>
        <w:gridCol w:w="128"/>
        <w:gridCol w:w="128"/>
        <w:gridCol w:w="248"/>
        <w:gridCol w:w="989"/>
        <w:gridCol w:w="181"/>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(2,493)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(88,423)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(3,926)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(88,365)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20"/>
              </w:rPr>
            </w:pPr>
            <w:r>
              <w:rPr>
                <w:rFonts w:ascii="Times New Roman;serif" w:hAnsi="Times New Roman;serif"/>
                <w:b/>
                <w:color w:val="000000"/>
                <w:sz w:val="20"/>
              </w:rPr>
              <w:t>(3,152)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162,141 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156,020 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73,776</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20"/>
              </w:rPr>
              <w:t>152,868</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Net Cash Provided By Operating Activities</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 the nine months ended September 30, 2025, net cash provided by operating activities was $2.6 million compared to net cash provided by operating activities of $3.5 million for the nine months ended September 30, 2024, a decrease of $1.0 million. This decrease was primarily driven by a decrease in cash provided from net (loss) income adjusted for non-cash expense addbacks of $4.6 million. This decrease was partially offset by a $3.6 million decrease in cash used from changes in assets and liabilities related to working capital management activities. The decrease in cash used from changes in working capital was primarily due to a decrease in cash used of $12.8 million in accounts payable, accrued expenses and other current liabilities and other assets. This was offset by increases in cash used of $14.0 million in inventories, prepaid expenses and other current assets and operating lease liabilities. Also impacting the decrease in cash used was an increase in cash generated of $4.8 million in deferred revenue.</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Net Cash Used In Investing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the </w:t>
      </w:r>
      <w:r>
        <w:rPr>
          <w:rFonts w:ascii="Times New Roman;serif" w:hAnsi="Times New Roman;serif"/>
          <w:b w:val="false"/>
          <w:color w:val="000000"/>
          <w:sz w:val="22"/>
          <w:shd w:fill="FFFFFF" w:val="clear"/>
        </w:rPr>
        <w:t>nine months ended</w:t>
      </w:r>
      <w:r>
        <w:rPr>
          <w:color w:val="000000"/>
        </w:rPr>
        <w:t xml:space="preserve"> </w:t>
      </w:r>
      <w:r>
        <w:rPr>
          <w:rFonts w:ascii="Times New Roman;serif" w:hAnsi="Times New Roman;serif"/>
          <w:b w:val="false"/>
          <w:color w:val="000000"/>
          <w:sz w:val="22"/>
        </w:rPr>
        <w:t>September 30, 2025, net cash us</w:t>
      </w:r>
      <w:r>
        <w:rPr>
          <w:rFonts w:ascii="Times New Roman;serif" w:hAnsi="Times New Roman;serif"/>
          <w:b w:val="false"/>
          <w:color w:val="000000"/>
          <w:sz w:val="22"/>
          <w:shd w:fill="FFFFFF" w:val="clear"/>
        </w:rPr>
        <w:t>ed in investing activities was $2.5 million compared to $2.7 million for the nine months ended September 30, 2024. The decrease of $0.2 million was principally due to a decrease in purchases of property and equipment related to new facilities leased during the period.</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Net Cash Used In Financing Activities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For the </w:t>
      </w:r>
      <w:r>
        <w:rPr>
          <w:rFonts w:ascii="Times New Roman;serif" w:hAnsi="Times New Roman;serif"/>
          <w:b w:val="false"/>
          <w:color w:val="000000"/>
          <w:sz w:val="22"/>
          <w:shd w:fill="FFFFFF" w:val="clear"/>
        </w:rPr>
        <w:t>nine months ended</w:t>
      </w:r>
      <w:r>
        <w:rPr>
          <w:color w:val="000000"/>
        </w:rPr>
        <w:t xml:space="preserve"> </w:t>
      </w:r>
      <w:r>
        <w:rPr>
          <w:rFonts w:ascii="Times New Roman;serif" w:hAnsi="Times New Roman;serif"/>
          <w:b w:val="false"/>
          <w:color w:val="000000"/>
          <w:sz w:val="22"/>
        </w:rPr>
        <w:t xml:space="preserve">September 30, 2025, net cash used in financing activities was </w:t>
      </w:r>
      <w:r>
        <w:rPr>
          <w:rFonts w:ascii="Times New Roman;serif" w:hAnsi="Times New Roman;serif"/>
          <w:b w:val="false"/>
          <w:color w:val="000000"/>
          <w:sz w:val="22"/>
          <w:shd w:fill="FFFFFF" w:val="clear"/>
        </w:rPr>
        <w:t>$88.4 million</w:t>
      </w:r>
      <w:r>
        <w:rPr>
          <w:color w:val="000000"/>
        </w:rPr>
        <w:t xml:space="preserve"> </w:t>
      </w:r>
      <w:r>
        <w:rPr>
          <w:rFonts w:ascii="Times New Roman;serif" w:hAnsi="Times New Roman;serif"/>
          <w:b w:val="false"/>
          <w:color w:val="000000"/>
          <w:sz w:val="22"/>
        </w:rPr>
        <w:t xml:space="preserve">compared to </w:t>
      </w:r>
      <w:r>
        <w:rPr>
          <w:rFonts w:ascii="Times New Roman;serif" w:hAnsi="Times New Roman;serif"/>
          <w:b w:val="false"/>
          <w:color w:val="000000"/>
          <w:sz w:val="22"/>
          <w:shd w:fill="FFFFFF" w:val="clear"/>
        </w:rPr>
        <w:t>$3.9 million</w:t>
      </w:r>
      <w:r>
        <w:rPr>
          <w:color w:val="000000"/>
        </w:rPr>
        <w:t xml:space="preserve"> </w:t>
      </w:r>
      <w:r>
        <w:rPr>
          <w:rFonts w:ascii="Times New Roman;serif" w:hAnsi="Times New Roman;serif"/>
          <w:b w:val="false"/>
          <w:color w:val="000000"/>
          <w:sz w:val="22"/>
        </w:rPr>
        <w:t xml:space="preserve">for the </w:t>
      </w:r>
      <w:r>
        <w:rPr>
          <w:rFonts w:ascii="Times New Roman;serif" w:hAnsi="Times New Roman;serif"/>
          <w:b w:val="false"/>
          <w:color w:val="000000"/>
          <w:sz w:val="22"/>
          <w:shd w:fill="FFFFFF" w:val="clear"/>
        </w:rPr>
        <w:t>nine months ended</w:t>
      </w:r>
      <w:r>
        <w:rPr>
          <w:color w:val="000000"/>
        </w:rPr>
        <w:t xml:space="preserve"> </w:t>
      </w:r>
      <w:r>
        <w:rPr>
          <w:rFonts w:ascii="Times New Roman;serif" w:hAnsi="Times New Roman;serif"/>
          <w:b w:val="false"/>
          <w:color w:val="000000"/>
          <w:sz w:val="22"/>
          <w:shd w:fill="FFFFFF" w:val="clear"/>
        </w:rPr>
        <w:t>September 30, 2024</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 xml:space="preserve">The increase of $84.5 million was primarily due to higher payments made on the SVB Term Loan of $54.4 million and higher dividends and distributions paid to members of $26.2 million. Additionally, the Company paid a one-time cash dividend of $3.8 million to holders of the Company's Class A common stock.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Additional Liquidity Requirements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income taxes imposed on such members with respect to the allocation of taxable income from Brilliant Earth, LLC as well as to cover our obligations under the TRA and other administrative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Under the TRA, we are required to make cash payments to the Continuing Equity Owners equal to </w:t>
      </w:r>
      <w:r>
        <w:rPr>
          <w:rFonts w:ascii="Times New Roman;serif" w:hAnsi="Times New Roman;serif"/>
          <w:b w:val="false"/>
          <w:color w:val="000000"/>
          <w:sz w:val="22"/>
          <w:shd w:fill="FFFFFF" w:val="clear"/>
        </w:rPr>
        <w:t>85%</w:t>
      </w:r>
      <w:r>
        <w:rPr>
          <w:color w:val="000000"/>
        </w:rPr>
        <w:t xml:space="preserve"> </w:t>
      </w:r>
      <w:r>
        <w:rPr>
          <w:rFonts w:ascii="Times New Roman;serif" w:hAnsi="Times New Roman;serif"/>
          <w:b w:val="false"/>
          <w:color w:val="000000"/>
          <w:sz w:val="22"/>
        </w:rPr>
        <w:t>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pStyle w:val="TextBody"/>
        <w:bidi w:val="0"/>
        <w:spacing w:lineRule="auto" w:line="288" w:before="16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Contractual Obligations and Commitments</w:t>
      </w:r>
    </w:p>
    <w:p>
      <w:pPr>
        <w:pStyle w:val="TextBody"/>
        <w:bidi w:val="0"/>
        <w:spacing w:before="0" w:after="2"/>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 xml:space="preserve">As of </w:t>
      </w:r>
      <w:r>
        <w:rPr>
          <w:rFonts w:ascii="Times New Roman;serif" w:hAnsi="Times New Roman;serif"/>
          <w:b w:val="false"/>
          <w:color w:val="000000"/>
          <w:sz w:val="22"/>
        </w:rPr>
        <w:t>September 30, 2025</w:t>
      </w:r>
      <w:r>
        <w:rPr>
          <w:rFonts w:ascii="Times New Roman;serif" w:hAnsi="Times New Roman;serif"/>
          <w:b w:val="false"/>
          <w:color w:val="000000"/>
          <w:sz w:val="22"/>
          <w:shd w:fill="FFFFFF" w:val="clear"/>
        </w:rPr>
        <w:t xml:space="preserve">, there were no material changes to our contractual obligations and commitments as disclosed in Part II, Item 7, </w:t>
      </w:r>
      <w:r>
        <w:rPr>
          <w:color w:val="000000"/>
        </w:rPr>
        <w:t>“</w:t>
      </w:r>
      <w:r>
        <w:rPr>
          <w:rFonts w:ascii="Times New Roman;serif" w:hAnsi="Times New Roman;serif"/>
          <w:b w:val="false"/>
          <w:color w:val="000000"/>
          <w:sz w:val="22"/>
          <w:shd w:fill="FFFFFF" w:val="clear"/>
        </w:rPr>
        <w:t>Management's Discussion and Analysis of Financial Condition and Results of Operations</w:t>
      </w:r>
      <w:r>
        <w:rPr>
          <w:color w:val="000000"/>
        </w:rPr>
        <w:t>”</w:t>
      </w:r>
      <w:r>
        <w:rPr>
          <w:color w:val="000000"/>
          <w:shd w:fill="FFFFFF" w:val="clear"/>
        </w:rPr>
        <w:t xml:space="preserve"> </w:t>
      </w:r>
      <w:r>
        <w:rPr>
          <w:rFonts w:ascii="Times New Roman;serif" w:hAnsi="Times New Roman;serif"/>
          <w:b w:val="false"/>
          <w:color w:val="000000"/>
          <w:sz w:val="22"/>
          <w:shd w:fill="FFFFFF" w:val="clear"/>
        </w:rPr>
        <w:t xml:space="preserve">of our 2024 Form 10-K.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have been no changes to the Company's critical accounting policies and estimates from those described under “Critical Accounting Policies and Estimates” in the Management's Discussion and Analysis of Financial Condition and Results of Operations of our 2024 Form 10-K.</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i/>
          <w:color w:val="000000"/>
          <w:sz w:val="22"/>
        </w:rPr>
      </w:pPr>
      <w:r>
        <w:rPr>
          <w:rFonts w:ascii="Times New Roman;serif" w:hAnsi="Times New Roman;serif"/>
          <w:b/>
          <w:i/>
          <w:color w:val="000000"/>
          <w:sz w:val="22"/>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For information regarding recent accounting pronouncements, see Note 1</w:t>
      </w:r>
      <w:r>
        <w:rPr>
          <w:color w:val="000000"/>
        </w:rPr>
        <w:t xml:space="preserve"> </w:t>
      </w:r>
      <w:r>
        <w:rPr>
          <w:rFonts w:ascii="Times New Roman;serif" w:hAnsi="Times New Roman;serif"/>
          <w:b w:val="false"/>
          <w:color w:val="000000"/>
          <w:sz w:val="22"/>
        </w:rPr>
        <w:t>to our unaudited condensed consolidated financial statements and related notes thereto included elsewhere in this Quarterly Report on Form 10-Q.</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JOBS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a smaller reporting company as defined by Rule 12b-2 of the Securities Exchange Act of 1934 and are not required to provide the information under this item.</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4. Controls and Procedures</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i/>
          <w:color w:val="000000"/>
          <w:sz w:val="22"/>
        </w:rPr>
      </w:pPr>
      <w:r>
        <w:rPr>
          <w:rFonts w:ascii="Times New Roman;serif" w:hAnsi="Times New Roman;serif"/>
          <w:b w:val="false"/>
          <w:i/>
          <w:color w:val="000000"/>
          <w:sz w:val="22"/>
        </w:rPr>
        <w:t>Evaluation of disclosure controls and procedures</w:t>
      </w:r>
    </w:p>
    <w:p>
      <w:pPr>
        <w:pStyle w:val="TextBody"/>
        <w:bidi w:val="0"/>
        <w:spacing w:before="0" w:after="2"/>
        <w:jc w:val="left"/>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September 30, 2025, our disclosure controls and procedures were not effective due to the material weakness previously identified by management and described below. </w:t>
      </w:r>
    </w:p>
    <w:p>
      <w:pPr>
        <w:pStyle w:val="TextBody"/>
        <w:bidi w:val="0"/>
        <w:spacing w:before="0" w:after="2"/>
        <w:ind w:left="0" w:right="0" w:firstLine="720"/>
        <w:jc w:val="both"/>
        <w:rPr/>
      </w:pPr>
      <w:r>
        <w:rPr/>
      </w:r>
    </w:p>
    <w:p>
      <w:pPr>
        <w:pStyle w:val="TextBody"/>
        <w:bidi w:val="0"/>
        <w:spacing w:lineRule="auto" w:line="288" w:before="0" w:after="2"/>
        <w:jc w:val="both"/>
        <w:rPr>
          <w:rFonts w:ascii="Times New Roman;serif" w:hAnsi="Times New Roman;serif"/>
          <w:b w:val="false"/>
          <w:i/>
          <w:color w:val="000000"/>
          <w:sz w:val="22"/>
        </w:rPr>
      </w:pPr>
      <w:r>
        <w:rPr>
          <w:rFonts w:ascii="Times New Roman;serif" w:hAnsi="Times New Roman;serif"/>
          <w:b w:val="false"/>
          <w:i/>
          <w:color w:val="000000"/>
          <w:sz w:val="22"/>
        </w:rPr>
        <w:t>Material Weakness</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previously disclosed in Part II, Item 9A of our 2024 Form 10-K, we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automated and IT-dependent controls including journal entries. We believe that these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deficiencies were due to gaps in the sufficiency of IT resources and risk-assessment processes to identify and assess access in certain IT environments that could impact internal controls over financial reporting. </w:t>
      </w:r>
    </w:p>
    <w:p>
      <w:pPr>
        <w:pStyle w:val="TextBody"/>
        <w:bidi w:val="0"/>
        <w:spacing w:before="0" w:after="2"/>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pStyle w:val="TextBody"/>
        <w:bidi w:val="0"/>
        <w:spacing w:before="0" w:after="2"/>
        <w:ind w:left="0" w:right="0" w:firstLine="720"/>
        <w:jc w:val="both"/>
        <w:rPr/>
      </w:pPr>
      <w:r>
        <w:rPr/>
      </w:r>
    </w:p>
    <w:p>
      <w:pPr>
        <w:pStyle w:val="TextBody"/>
        <w:bidi w:val="0"/>
        <w:spacing w:lineRule="auto" w:line="288" w:before="0" w:after="2"/>
        <w:jc w:val="both"/>
        <w:rPr>
          <w:rFonts w:ascii="Times New Roman;serif" w:hAnsi="Times New Roman;serif"/>
          <w:b w:val="false"/>
          <w:i/>
          <w:color w:val="000000"/>
          <w:sz w:val="22"/>
        </w:rPr>
      </w:pPr>
      <w:r>
        <w:rPr>
          <w:rFonts w:ascii="Times New Roman;serif" w:hAnsi="Times New Roman;serif"/>
          <w:b w:val="false"/>
          <w:i/>
          <w:color w:val="000000"/>
          <w:sz w:val="22"/>
        </w:rPr>
        <w:t>Remediation</w:t>
      </w:r>
    </w:p>
    <w:p>
      <w:pPr>
        <w:pStyle w:val="TextBody"/>
        <w:bidi w:val="0"/>
        <w:spacing w:before="0" w:after="2"/>
        <w:jc w:val="both"/>
        <w:rPr/>
      </w:pPr>
      <w:r>
        <w:rPr/>
      </w:r>
    </w:p>
    <w:p>
      <w:pPr>
        <w:pStyle w:val="TextBody"/>
        <w:bidi w:val="0"/>
        <w:spacing w:lineRule="auto" w:line="288" w:before="0" w:after="2"/>
        <w:ind w:left="0" w:right="0" w:firstLine="720"/>
        <w:jc w:val="both"/>
        <w:rPr/>
      </w:pPr>
      <w:r>
        <w:rPr>
          <w:rFonts w:ascii="Times New Roman;serif" w:hAnsi="Times New Roman;serif"/>
          <w:b w:val="false"/>
          <w:color w:val="000000"/>
          <w:sz w:val="22"/>
        </w:rPr>
        <w:t xml:space="preserve">In response to this material weakness in internal control over financial reporting related to ineffective ITGCs for key IT systems, the Company has taken and is continuing to take actions to remediate change management and access related control failures. Items that have been completed and are in the process of being completed as part of our remediation plan include: (i) </w:t>
      </w:r>
      <w:r>
        <w:rPr>
          <w:rFonts w:ascii="Times New Roman;serif" w:hAnsi="Times New Roman;serif"/>
          <w:b w:val="false"/>
          <w:color w:val="000000"/>
          <w:sz w:val="22"/>
          <w:shd w:fill="FFFFFF" w:val="clear"/>
        </w:rPr>
        <w:t xml:space="preserve">hired a director of ITGC position to expand the management and governance over ITGCs, </w:t>
      </w:r>
      <w:r>
        <w:rPr>
          <w:rFonts w:ascii="Times New Roman;serif" w:hAnsi="Times New Roman;serif"/>
          <w:b w:val="false"/>
          <w:color w:val="000000"/>
          <w:sz w:val="22"/>
        </w:rPr>
        <w:t xml:space="preserve">(ii) </w:t>
      </w:r>
      <w:r>
        <w:rPr>
          <w:rFonts w:ascii="Times New Roman;serif" w:hAnsi="Times New Roman;serif"/>
          <w:b w:val="false"/>
          <w:color w:val="000000"/>
          <w:sz w:val="22"/>
          <w:shd w:fill="FFFFFF" w:val="clear"/>
        </w:rPr>
        <w:t xml:space="preserve">developed and implemented additional company-wide training addressing internal controls, </w:t>
      </w:r>
      <w:r>
        <w:rPr>
          <w:rFonts w:ascii="Times New Roman;serif" w:hAnsi="Times New Roman;serif"/>
          <w:b w:val="false"/>
          <w:color w:val="000000"/>
          <w:sz w:val="22"/>
        </w:rPr>
        <w:t>(iii) enhancing processes around reviewing privileged access to key financial systems and ensuring appropriate segregation of duties, (iv) strengthening change management procedures, (v)</w:t>
      </w:r>
      <w:r>
        <w:rPr>
          <w:color w:val="000000"/>
          <w:shd w:fill="FFFFFF" w:val="clear"/>
        </w:rPr>
        <w:t xml:space="preserve"> </w:t>
      </w:r>
      <w:r>
        <w:rPr>
          <w:rFonts w:ascii="Times New Roman;serif" w:hAnsi="Times New Roman;serif"/>
          <w:b w:val="false"/>
          <w:color w:val="000000"/>
          <w:sz w:val="22"/>
          <w:shd w:fill="FFFFFF" w:val="clear"/>
        </w:rPr>
        <w:t xml:space="preserve">enhancing the existing access management procedures and ownership; and (vi) establishing and monitoring detective controls and metrics to track adherence to access and change management policies and identify potential exceptions requiring investigation. Our remediation plan can only be accomplished over time and will be continually reviewed to </w:t>
      </w:r>
      <w:r>
        <w:rPr>
          <w:rFonts w:ascii="Times New Roman;serif" w:hAnsi="Times New Roman;serif"/>
          <w:b w:val="false"/>
          <w:color w:val="000000"/>
          <w:sz w:val="22"/>
        </w:rPr>
        <w:t>determine that it is achieving its objectives.</w:t>
      </w:r>
    </w:p>
    <w:p>
      <w:pPr>
        <w:pStyle w:val="TextBody"/>
        <w:bidi w:val="0"/>
        <w:spacing w:before="0" w:after="2"/>
        <w:ind w:left="0" w:right="0" w:firstLine="720"/>
        <w:jc w:val="both"/>
        <w:rPr/>
      </w:pPr>
      <w:r>
        <w:rPr/>
      </w:r>
    </w:p>
    <w:p>
      <w:pPr>
        <w:pStyle w:val="TextBody"/>
        <w:bidi w:val="0"/>
        <w:spacing w:lineRule="auto" w:line="288" w:before="0" w:after="2"/>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material weakness will not be considered remediated until the applicable controls operate for a sufficient period of time and management has concluded, through testing, that the controls are operating 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 </w:t>
      </w:r>
    </w:p>
    <w:p>
      <w:pPr>
        <w:pStyle w:val="TextBody"/>
        <w:bidi w:val="0"/>
        <w:spacing w:before="0" w:after="2"/>
        <w:ind w:left="0" w:right="0" w:firstLine="720"/>
        <w:jc w:val="both"/>
        <w:rPr/>
      </w:pPr>
      <w:r>
        <w:rPr/>
      </w:r>
    </w:p>
    <w:p>
      <w:pPr>
        <w:pStyle w:val="TextBody"/>
        <w:bidi w:val="0"/>
        <w:spacing w:lineRule="auto" w:line="300" w:before="0" w:after="2"/>
        <w:jc w:val="both"/>
        <w:rPr>
          <w:rFonts w:ascii="Times New Roman;serif" w:hAnsi="Times New Roman;serif"/>
          <w:b w:val="false"/>
          <w:i/>
          <w:color w:val="000000"/>
          <w:sz w:val="22"/>
        </w:rPr>
      </w:pPr>
      <w:r>
        <w:rPr>
          <w:rFonts w:ascii="Times New Roman;serif" w:hAnsi="Times New Roman;serif"/>
          <w:b w:val="false"/>
          <w:i/>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Other than the actions to remediate the material weakness in our internal control over financial reporting as described above, which are ongoing as of the date of issuance of this Form 10-Q, there have been </w:t>
      </w:r>
      <w:r>
        <w:rPr>
          <w:rFonts w:ascii="Times New Roman;serif" w:hAnsi="Times New Roman;serif"/>
          <w:b w:val="false"/>
          <w:color w:val="000000"/>
          <w:sz w:val="22"/>
          <w:shd w:fill="FFFFFF" w:val="clear"/>
        </w:rPr>
        <w:t xml:space="preserve">no other changes </w:t>
      </w:r>
      <w:r>
        <w:rPr>
          <w:rFonts w:ascii="Times New Roman;serif" w:hAnsi="Times New Roman;serif"/>
          <w:b w:val="false"/>
          <w:color w:val="000000"/>
          <w:sz w:val="22"/>
        </w:rPr>
        <w:t xml:space="preserve">in our internal control over financial reporting (as defined in Rules 13a-15(f) and 15d-15(f) under the Exchange Act) during the quarter ended September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Since the appellate court's ruling, the plaintiff has indicated the intent to amend the complaint to include class claims. The Company has stipulated to the filing of an amended complaint. The Superior Court entered an order on the parties' stipulation on June 16, 2025. As of the date of this filing, the Company's answer is not yet due. The Company intends to vigorously defend the claims, and, at this time, any liability related to the alleged claims is not currently probable or reasonably estimable. </w:t>
      </w:r>
    </w:p>
    <w:p>
      <w:pPr>
        <w:pStyle w:val="TextBody"/>
        <w:bidi w:val="0"/>
        <w:spacing w:before="0" w:after="2"/>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risk factors are described in Part I, Item 1A, “Risk Factors” of our 2024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2024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16" w:before="0" w:after="2"/>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2"/>
        <w:jc w:val="left"/>
        <w:rPr/>
      </w:pPr>
      <w:r>
        <w:rPr/>
      </w:r>
    </w:p>
    <w:p>
      <w:pPr>
        <w:pStyle w:val="TextBody"/>
        <w:bidi w:val="0"/>
        <w:spacing w:lineRule="auto" w:line="228"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Issuer Repurchases of Equity Securities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with respect to our repurchases of our Class A common stock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628"/>
        <w:gridCol w:w="313"/>
        <w:gridCol w:w="315"/>
        <w:gridCol w:w="109"/>
        <w:gridCol w:w="109"/>
        <w:gridCol w:w="109"/>
        <w:gridCol w:w="486"/>
        <w:gridCol w:w="459"/>
        <w:gridCol w:w="461"/>
        <w:gridCol w:w="109"/>
        <w:gridCol w:w="109"/>
        <w:gridCol w:w="109"/>
        <w:gridCol w:w="291"/>
        <w:gridCol w:w="692"/>
        <w:gridCol w:w="161"/>
        <w:gridCol w:w="109"/>
        <w:gridCol w:w="109"/>
        <w:gridCol w:w="109"/>
        <w:gridCol w:w="798"/>
        <w:gridCol w:w="798"/>
        <w:gridCol w:w="800"/>
        <w:gridCol w:w="109"/>
        <w:gridCol w:w="109"/>
        <w:gridCol w:w="109"/>
        <w:gridCol w:w="787"/>
        <w:gridCol w:w="787"/>
        <w:gridCol w:w="1121"/>
      </w:tblGrid>
      <w:tr>
        <w:trPr/>
        <w:tc>
          <w:tcPr>
            <w:tcW w:w="6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r>
          </w:p>
        </w:tc>
      </w:tr>
      <w:tr>
        <w:trPr/>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July 1 -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41,112 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41,112 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$18.9 million</w:t>
            </w:r>
          </w:p>
        </w:tc>
      </w:tr>
      <w:tr>
        <w:trPr/>
        <w:tc>
          <w:tcPr>
            <w:tcW w:w="12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1 -August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$18.9 million</w:t>
            </w:r>
          </w:p>
        </w:tc>
      </w:tr>
      <w:tr>
        <w:trPr/>
        <w:tc>
          <w:tcPr>
            <w:tcW w:w="12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$18.9 million</w:t>
            </w:r>
          </w:p>
        </w:tc>
      </w:tr>
    </w:tbl>
    <w:p>
      <w:pPr>
        <w:pStyle w:val="TextBody"/>
        <w:bidi w:val="0"/>
        <w:spacing w:lineRule="auto" w:line="268" w:before="0" w:after="0"/>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 xml:space="preserve">(1) On December 8, 2023, the Company announced that the Board of Directors approved a share repurchase program authorizing the Company to purchase up to an aggregate of $20.0 million of the Company's Class A common stock through the expiration of the program on December 8, 2026. The repurchases may be executed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68" w:before="0" w:after="0"/>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 xml:space="preserve">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 program does not obligate the Company to acquire any particular amount of Class A common stock and may be modified, suspended or terminated at any time at the discretion of our Board of Directors.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Item 5. Other Information</w:t>
      </w:r>
    </w:p>
    <w:p>
      <w:pPr>
        <w:pStyle w:val="TextBody"/>
        <w:bidi w:val="0"/>
        <w:spacing w:before="0" w:after="2"/>
        <w:jc w:val="left"/>
        <w:rPr/>
      </w:pPr>
      <w:r>
        <w:rPr/>
      </w:r>
    </w:p>
    <w:p>
      <w:pPr>
        <w:pStyle w:val="TextBody"/>
        <w:bidi w:val="0"/>
        <w:spacing w:lineRule="auto" w:line="288" w:before="0" w:after="2"/>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None.</w:t>
      </w:r>
    </w:p>
    <w:p>
      <w:pPr>
        <w:pStyle w:val="TextBody"/>
        <w:bidi w:val="0"/>
        <w:spacing w:lineRule="auto" w:line="288" w:before="0" w:after="2"/>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None.</w:t>
      </w:r>
    </w:p>
    <w:p>
      <w:pPr>
        <w:pStyle w:val="TextBody"/>
        <w:bidi w:val="0"/>
        <w:spacing w:lineRule="auto" w:line="26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Except as described below, during the three months ended September 30, 2025, no directors or “officers” (as defined in Rule 16a-1(f) under the Exchange Act) of the Company adopted, modified or terminated “Rule 10b5-1 trading arrangements” and/or “non-Rule 10b5-1 trading arrangements” (each as defined in Item 408 of Regulation S-K).  </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August 11, 2025, Mainsail Partners III, L.P., Mainsail Co-Investors III, L.P. and Mainsail Incentive Program, LLC (together, the “Mainsail Entities”), terminated an existing Rule 10b5-1 trading arrangement (the "Mainsail Sales Plan") which was adopted by the Mainsail Entities on December 11, 2024 that was intended to satisfy the affirmative defense of Rule 10b5-1(c) of the Exchange Act and which provided for the sale of an aggregate of up to 1,000,000 shares of the Company's Class A common stock until August 28, 2025. Gavin Turner, a member of the Company’s Board of Directors, is the Managing Partner of Mainsail Management Company, LLC and may be deemed to have a pecuniary interest in the Class A common stock owned by the Mainsail Entities. </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August 13, 2025, Sharon Dziesietnik, the Company's Chief Operations Officer, terminated an existing Rule 10b5-1 trading arrangement (the "Dziesietnik Sales Plan") which was adopted by Ms. Dziesietnik on June 2, 2024 that was intended to satisfy the affirmative defense of Rule 10b5-1(c) of the Exchange Act and which provided for the sale of an aggregate of up to 44,524 shares of the Company's Class A common stock (a portion of the shares of Class A common stock to be received by Ms. Dziesietnik upon the vesting of restricted stock units as set forth in the Dziesietnik Sales Plan) until August 30, 2025. </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August 14, 2025, Ms. Dziesietnik, adopted a Rule 10b5-1 trading arrangement (the "2025 Dziesietnik Sales Plan") that is intended to satisfy the affirmative defense of Rule 10b5-1(c) of the Exchange Act and which provides for the sale of an aggregate of up to 49,128 shares of the Company's Class A common stock (a portion of the shares of Class A common stock to be received by Ms. Dziesietnik upon the vesting of restricted stock units as set forth in the 2025 Dziesietnik Sales Plan). The 2025 Dziesietnik Sales Plan will remain in effect until the earliest of (1) August 30, 2026, (2) the date on which all trades set forth in the 2025 Dziesietnik Sales Plan have been executed, or (3) such time as the 2025 Dziesietnik Sales Plan is otherwise terminated or expires according to its terms. </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August 27, 2025, Jennifer Harris, a member of the Company's Board of Directors, adopted a Rule 10b5-1 trading arrangement (the "Harris Sales Plan") that is intended to satisfy the affirmative defense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Rule 10b5-1(c) of the Exchange Act and which provides for the sale of an aggregate of up to 40,856 shares of the Company's Class A common stock. The Harris Sales Plan will remain in effect until the earliest of (1) June 30, 2026, (2) the date on which all trades set forth in the Harris Sales Plan have been executed, or (3) such time as the Harris Sales Plan is otherwise terminated or expires according to its terms. </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August 15, 2025, Just Rocks, Inc., a Delaware corporation which is jointly owned and controlled by Beth Gerstein, the Company’s Chief Executive Officer and a member of the Board of Directors, and Eric Grossberg, the Company’s Executive Chairman, adopted a Rule 10b5-1 trading arrangement (the “Just Rocks Sales Plan”) that is intended to satisfy the affirmative defense of Rule 10b5-1(c) of the Exchange Act and which provides for the sale of an aggregate of up to 1,500,000 shares of Class A common stock. The Just Rocks Sales Plan will remain in effect until the earliest of (1) July 17, 2026, (2) the date that the aggregate number of shares sold pursuant to the Just Rocks Sales Plan reaches 1,500,000 shares, or (3) such time as the Just Rocks Sales Plan is otherwise terminated or expires according to its terms. </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On September 8, 2025, Mr. Jeffrey Kuo, the Company's Chief Financial Officer, adopted a Rule 10b5-1 trading arrangement (the "Kuo Sales Plan") that is intended to satisfy the affirmative defense of Rule 10b5-1(c) of the Exchange Act and which provides for the sale of an aggregate of up to 44,044 shares of the Company's Class A common stock (a portion of the shares of Class A common stock to be received by Mr. Kuo upon the vesting of restricted stock units as set forth in the Kuo Sales Plan). The Kuo Sales Plan will remain in effect until the earliest of (1) May 22, 2026, (2) the date on which all trades set forth in the Kuo Sales Plan have been executed, or (3) such time as the Kuo Sales Plan is otherwise terminated or expires according to its terms. </w:t>
      </w:r>
    </w:p>
    <w:p>
      <w:pPr>
        <w:pStyle w:val="TextBody"/>
        <w:bidi w:val="0"/>
        <w:spacing w:lineRule="auto" w:line="268" w:before="0" w:after="0"/>
        <w:jc w:val="left"/>
        <w:rPr>
          <w:color w:val="008080"/>
        </w:rPr>
      </w:pPr>
      <w:r>
        <w:rPr>
          <w:color w:val="00808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00" w:before="0" w:after="0"/>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w:t>
      </w:r>
    </w:p>
    <w:tbl>
      <w:tblPr>
        <w:tblW w:w="10205" w:type="dxa"/>
        <w:jc w:val="left"/>
        <w:tblInd w:w="0" w:type="dxa"/>
        <w:tblLayout w:type="fixed"/>
        <w:tblCellMar>
          <w:top w:w="28" w:type="dxa"/>
          <w:left w:w="28" w:type="dxa"/>
          <w:bottom w:w="28" w:type="dxa"/>
          <w:right w:w="28" w:type="dxa"/>
        </w:tblCellMar>
      </w:tblPr>
      <w:tblGrid>
        <w:gridCol w:w="329"/>
        <w:gridCol w:w="290"/>
        <w:gridCol w:w="291"/>
        <w:gridCol w:w="1892"/>
        <w:gridCol w:w="1793"/>
        <w:gridCol w:w="1800"/>
        <w:gridCol w:w="165"/>
        <w:gridCol w:w="165"/>
        <w:gridCol w:w="160"/>
        <w:gridCol w:w="249"/>
        <w:gridCol w:w="249"/>
        <w:gridCol w:w="187"/>
        <w:gridCol w:w="205"/>
        <w:gridCol w:w="205"/>
        <w:gridCol w:w="206"/>
        <w:gridCol w:w="217"/>
        <w:gridCol w:w="217"/>
        <w:gridCol w:w="218"/>
        <w:gridCol w:w="396"/>
        <w:gridCol w:w="396"/>
        <w:gridCol w:w="575"/>
      </w:tblGrid>
      <w:tr>
        <w:trPr/>
        <w:tc>
          <w:tcPr>
            <w:tcW w:w="3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Incorporated by Reference</w:t>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 Furnished Herewith</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Form</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Filing Date</w:t>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5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16"/>
                  <w:u w:val="single"/>
                </w:rPr>
                <w:t>Amended and Restated Certificate of Incorporation of Brilliant Earth Group, Inc.</w:t>
              </w:r>
            </w:hyperlink>
          </w:p>
        </w:tc>
        <w:tc>
          <w:tcPr>
            <w:tcW w:w="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9/27/2021</w:t>
            </w:r>
          </w:p>
        </w:tc>
        <w:tc>
          <w:tcPr>
            <w:tcW w:w="13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16"/>
                  <w:u w:val="single"/>
                </w:rPr>
                <w:t>Amended and Restated Bylaws of Brilliant Earth Group, Inc.</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9/27/2021</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erif" w:hAnsi="Times New Roman;serif"/>
                  <w:b w:val="false"/>
                  <w:color w:val="0000FF"/>
                  <w:sz w:val="16"/>
                  <w:u w:val="single"/>
                </w:rPr>
                <w:t>Specimen Stock Certificate evidencing shares of Class A Common Stock</w:t>
              </w:r>
            </w:hyperlink>
          </w:p>
        </w:tc>
        <w:tc>
          <w:tcPr>
            <w:tcW w:w="49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S-1/A</w:t>
            </w:r>
          </w:p>
        </w:tc>
        <w:tc>
          <w:tcPr>
            <w:tcW w:w="6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65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9/14/2021</w:t>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85"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85"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1brlt-certifi.htm">
              <w:r>
                <w:rPr>
                  <w:rStyle w:val="InternetLink"/>
                  <w:rFonts w:ascii="Times New Roman;serif" w:hAnsi="Times New Roman;serif"/>
                  <w:b w:val="false"/>
                  <w:color w:val="0000FF"/>
                  <w:sz w:val="16"/>
                  <w:u w:val="single"/>
                </w:rPr>
                <w:t>Certification of Chief Executive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12brlt-certifi.htm">
              <w:r>
                <w:rPr>
                  <w:rStyle w:val="InternetLink"/>
                  <w:rFonts w:ascii="Times New Roman;serif" w:hAnsi="Times New Roman;serif"/>
                  <w:b w:val="false"/>
                  <w:color w:val="0000FF"/>
                  <w:sz w:val="16"/>
                  <w:u w:val="single"/>
                </w:rPr>
                <w:t>Certification of Chief Financial Officer pursuant to Rule 13a-14(a)/15d-14(a).</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32.1</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1brlt-certifi.htm">
              <w:r>
                <w:rPr>
                  <w:rStyle w:val="InternetLink"/>
                  <w:rFonts w:ascii="Times New Roman;serif" w:hAnsi="Times New Roman;serif"/>
                  <w:b w:val="false"/>
                  <w:color w:val="0000FF"/>
                  <w:sz w:val="16"/>
                  <w:u w:val="single"/>
                </w:rPr>
                <w:t>Certification of Chief Executive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32.2</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conformedex322brlt-certifi.htm">
              <w:r>
                <w:rPr>
                  <w:rStyle w:val="InternetLink"/>
                  <w:rFonts w:ascii="Times New Roman;serif" w:hAnsi="Times New Roman;serif"/>
                  <w:b w:val="false"/>
                  <w:color w:val="0000FF"/>
                  <w:sz w:val="16"/>
                  <w:u w:val="single"/>
                </w:rPr>
                <w:t>Certification of Chief Financial Officer pursuant to 18 U.S.C. Section 1350.</w:t>
              </w:r>
            </w:hyperlink>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101.INS</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101.SCH</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101.CAL</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101.DEF</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101.LAB</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101.PRE</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Filed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4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85"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85"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910" w:type="dxa"/>
            <w:gridSpan w:val="3"/>
            <w:tcBorders/>
            <w:vAlign w:val="center"/>
          </w:tcPr>
          <w:p>
            <w:pPr>
              <w:pStyle w:val="TableContents"/>
              <w:bidi w:val="0"/>
              <w:spacing w:before="0" w:after="283"/>
              <w:jc w:val="left"/>
              <w:rPr>
                <w:sz w:val="4"/>
                <w:szCs w:val="4"/>
              </w:rPr>
            </w:pPr>
            <w:r>
              <w:rPr>
                <w:sz w:val="4"/>
                <w:szCs w:val="4"/>
              </w:rPr>
            </w:r>
          </w:p>
        </w:tc>
        <w:tc>
          <w:tcPr>
            <w:tcW w:w="5485"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68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00" w:before="0" w:after="2"/>
        <w:jc w:val="left"/>
        <w:rPr/>
      </w:pPr>
      <w:hyperlink w:anchor="idd5c2d45bc4e42ffbdc11498e154c1dd_7">
        <w:r>
          <w:rPr>
            <w:rStyle w:val="InternetLink"/>
            <w:rFonts w:ascii="Times New Roman;serif" w:hAnsi="Times New Roman;serif"/>
            <w:b w:val="false"/>
            <w:color w:val="0000FF"/>
            <w:sz w:val="22"/>
            <w:u w:val="single"/>
          </w:rPr>
          <w:t>Table of Contents</w:t>
        </w:r>
      </w:hyperlink>
    </w:p>
    <w:p>
      <w:pPr>
        <w:pStyle w:val="TextBody"/>
        <w:bidi w:val="0"/>
        <w:spacing w:lineRule="auto" w:line="288" w:before="0" w:after="2"/>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of 1934, the registrant has duly caused this report to be signed on its behalf by the undersigned, thereunto duly authorized.</w:t>
      </w:r>
    </w:p>
    <w:p>
      <w:pPr>
        <w:pStyle w:val="TextBody"/>
        <w:bidi w:val="0"/>
        <w:spacing w:before="0" w:after="2"/>
        <w:jc w:val="left"/>
        <w:rPr/>
      </w:pPr>
      <w:r>
        <w:rPr/>
      </w:r>
    </w:p>
    <w:p>
      <w:pPr>
        <w:pStyle w:val="TextBody"/>
        <w:bidi w:val="0"/>
        <w:spacing w:lineRule="auto" w:line="288" w:before="0" w:after="2"/>
        <w:ind w:left="0" w:right="0" w:firstLine="720"/>
        <w:jc w:val="right"/>
        <w:rPr>
          <w:rFonts w:ascii="Times New Roman;serif" w:hAnsi="Times New Roman;serif"/>
          <w:b w:val="false"/>
          <w:color w:val="000000"/>
          <w:sz w:val="22"/>
        </w:rPr>
      </w:pPr>
      <w:r>
        <w:rPr>
          <w:rFonts w:ascii="Times New Roman;serif" w:hAnsi="Times New Roman;serif"/>
          <w:b w:val="false"/>
          <w:color w:val="000000"/>
          <w:sz w:val="22"/>
        </w:rPr>
        <w:t>Brilliant Earth Group, Inc.</w:t>
      </w:r>
    </w:p>
    <w:p>
      <w:pPr>
        <w:pStyle w:val="TextBody"/>
        <w:bidi w:val="0"/>
        <w:spacing w:before="0" w:after="2"/>
        <w:ind w:left="0" w:right="0" w:hanging="3510"/>
        <w:jc w:val="left"/>
        <w:rPr/>
      </w:pPr>
      <w:r>
        <w:rPr/>
      </w:r>
    </w:p>
    <w:p>
      <w:pPr>
        <w:pStyle w:val="TextBody"/>
        <w:bidi w:val="0"/>
        <w:spacing w:lineRule="auto" w:line="288" w:before="0" w:after="2"/>
        <w:ind w:left="0" w:right="0" w:hanging="3510"/>
        <w:jc w:val="right"/>
        <w:rPr/>
      </w:pPr>
      <w:r>
        <w:rPr>
          <w:rFonts w:ascii="Times New Roman;serif" w:hAnsi="Times New Roman;serif"/>
          <w:b w:val="false"/>
          <w:color w:val="000000"/>
          <w:sz w:val="22"/>
          <w:shd w:fill="FFFFFF" w:val="clear"/>
        </w:rPr>
        <w:t>November 5, 2025</w:t>
      </w:r>
      <w:r>
        <w:rPr>
          <w:color w:val="000000"/>
        </w:rPr>
        <w:t>             </w:t>
      </w:r>
      <w:r>
        <w:rPr>
          <w:rFonts w:ascii="Times New Roman;serif" w:hAnsi="Times New Roman;serif"/>
          <w:b w:val="false"/>
          <w:color w:val="000000"/>
          <w:sz w:val="22"/>
          <w:u w:val="single"/>
        </w:rPr>
        <w:t>By:/s/ Jeffrey Kuo</w:t>
      </w:r>
    </w:p>
    <w:p>
      <w:pPr>
        <w:pStyle w:val="TextBody"/>
        <w:bidi w:val="0"/>
        <w:spacing w:lineRule="auto" w:line="288" w:before="0" w:after="2"/>
        <w:ind w:left="0" w:right="0" w:hanging="3510"/>
        <w:jc w:val="right"/>
        <w:rPr>
          <w:rFonts w:ascii="Times New Roman;serif" w:hAnsi="Times New Roman;serif"/>
          <w:b w:val="false"/>
          <w:color w:val="000000"/>
          <w:sz w:val="22"/>
        </w:rPr>
      </w:pPr>
      <w:r>
        <w:rPr>
          <w:rFonts w:ascii="Times New Roman;serif" w:hAnsi="Times New Roman;serif"/>
          <w:b w:val="false"/>
          <w:color w:val="000000"/>
          <w:sz w:val="22"/>
        </w:rPr>
        <w:t xml:space="preserve">Jeffrey Kuo </w:t>
      </w:r>
    </w:p>
    <w:p>
      <w:pPr>
        <w:pStyle w:val="TextBody"/>
        <w:bidi w:val="0"/>
        <w:spacing w:lineRule="auto" w:line="288" w:before="0" w:after="2"/>
        <w:ind w:left="0" w:right="0" w:hanging="3510"/>
        <w:jc w:val="right"/>
        <w:rPr>
          <w:rFonts w:ascii="Times New Roman;serif" w:hAnsi="Times New Roman;serif"/>
          <w:b w:val="false"/>
          <w:color w:val="000000"/>
          <w:sz w:val="22"/>
        </w:rPr>
      </w:pPr>
      <w:r>
        <w:rPr>
          <w:rFonts w:ascii="Times New Roman;serif" w:hAnsi="Times New Roman;serif"/>
          <w:b w:val="false"/>
          <w:color w:val="000000"/>
          <w:sz w:val="22"/>
        </w:rPr>
        <w:t>Chief Financial Officer</w:t>
      </w:r>
    </w:p>
    <w:p>
      <w:pPr>
        <w:pStyle w:val="TextBody"/>
        <w:bidi w:val="0"/>
        <w:spacing w:lineRule="auto" w:line="288" w:before="0" w:after="2"/>
        <w:ind w:left="0" w:right="0" w:hanging="3510"/>
        <w:jc w:val="right"/>
        <w:rPr>
          <w:rFonts w:ascii="Times New Roman;serif" w:hAnsi="Times New Roman;serif"/>
          <w:b w:val="false"/>
          <w:i/>
          <w:color w:val="000000"/>
          <w:sz w:val="22"/>
        </w:rPr>
      </w:pPr>
      <w:r>
        <w:rPr>
          <w:rFonts w:ascii="Times New Roman;serif" w:hAnsi="Times New Roman;serif"/>
          <w:b w:val="false"/>
          <w:i/>
          <w:color w:val="000000"/>
          <w:sz w:val="22"/>
        </w:rPr>
        <w:t xml:space="preserve">(Principal Financial Officer and Principal Accounting Officer) </w:t>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spacing w:before="0" w:after="2"/>
        <w:ind w:left="0" w:right="0" w:hanging="35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31.1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76"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CERTIFICATION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Beth Gerstein,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erif" w:hAnsi="Times New Roman;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November 5, 2025</w:t>
      </w: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Beth Gerstein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Name: Beth Gerstein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lineRule="auto" w:line="240"/>
        <w:ind w:left="0" w:right="0" w:firstLine="720"/>
        <w:jc w:val="both"/>
        <w:rPr/>
      </w:pPr>
      <w:r>
        <w:rPr>
          <w:rFonts w:ascii="Times New Roman;serif" w:hAnsi="Times New Roman;serif"/>
          <w:b w:val="false"/>
          <w:color w:val="000000"/>
          <w:sz w:val="22"/>
        </w:rPr>
        <w:t>(</w:t>
      </w:r>
      <w:r>
        <w:rPr>
          <w:rFonts w:ascii="Times New Roman;serif" w:hAnsi="Times New Roman;serif"/>
          <w:b w:val="false"/>
          <w:i/>
          <w:color w:val="000000"/>
          <w:sz w:val="22"/>
        </w:rPr>
        <w:t>Principal Executive Officer</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31.2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CERTIFICATION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Jeffrey Kuo, certify that: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1.I have reviewed this Quarterly Report on Form 10-Q of Brilliant Earth Group, Inc.;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2.</w:t>
      </w:r>
      <w:r>
        <w:rPr>
          <w:rFonts w:ascii="Times New Roman;serif" w:hAnsi="Times New Roman;serif"/>
          <w:b w:val="false"/>
          <w:color w:val="000000"/>
          <w:sz w:val="22"/>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3.</w:t>
      </w:r>
      <w:r>
        <w:rPr>
          <w:rFonts w:ascii="Times New Roman;serif" w:hAnsi="Times New Roman;serif"/>
          <w:b w:val="false"/>
          <w:color w:val="000000"/>
          <w:sz w:val="22"/>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4.</w:t>
      </w:r>
      <w:r>
        <w:rPr>
          <w:rFonts w:ascii="Times New Roman;serif" w:hAnsi="Times New Roman;serif"/>
          <w:b w:val="false"/>
          <w:color w:val="000000"/>
          <w:sz w:val="22"/>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5.</w:t>
      </w:r>
      <w:r>
        <w:rPr>
          <w:rFonts w:ascii="Times New Roman;serif" w:hAnsi="Times New Roman;serif"/>
          <w:b w:val="false"/>
          <w:color w:val="000000"/>
          <w:sz w:val="22"/>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November 5, 2025</w:t>
      </w: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w:t>
      </w:r>
      <w:r>
        <w:rPr>
          <w:rFonts w:ascii="Times New Roman;serif" w:hAnsi="Times New Roman;serif"/>
          <w:b w:val="false"/>
          <w:color w:val="000000"/>
          <w:sz w:val="24"/>
          <w:u w:val="single"/>
        </w:rPr>
        <w:t>Jeffrey</w:t>
      </w:r>
      <w:r>
        <w:rPr>
          <w:color w:val="000000"/>
          <w:u w:val="single"/>
        </w:rPr>
        <w:t xml:space="preserve"> </w:t>
      </w:r>
      <w:r>
        <w:rPr>
          <w:rFonts w:ascii="Times New Roman;serif" w:hAnsi="Times New Roman;serif"/>
          <w:b w:val="false"/>
          <w:color w:val="000000"/>
          <w:sz w:val="22"/>
          <w:u w:val="single"/>
        </w:rPr>
        <w:t>Kuo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Name: Jeffrey Kuo </w:t>
      </w:r>
    </w:p>
    <w:p>
      <w:pPr>
        <w:pStyle w:val="TextBody"/>
        <w:bidi w:val="0"/>
        <w:spacing w:lineRule="auto" w:line="24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240"/>
        <w:ind w:left="0" w:right="0" w:firstLine="720"/>
        <w:jc w:val="both"/>
        <w:rPr/>
      </w:pPr>
      <w:r>
        <w:rPr>
          <w:rFonts w:ascii="Times New Roman;serif" w:hAnsi="Times New Roman;serif"/>
          <w:b w:val="false"/>
          <w:color w:val="000000"/>
          <w:sz w:val="22"/>
        </w:rPr>
        <w:t>(</w:t>
      </w:r>
      <w:r>
        <w:rPr>
          <w:rFonts w:ascii="Times New Roman;serif" w:hAnsi="Times New Roman;serif"/>
          <w:b w:val="false"/>
          <w:i/>
          <w:color w:val="000000"/>
          <w:sz w:val="22"/>
        </w:rPr>
        <w:t>Principal Financial Officer</w:t>
      </w:r>
      <w:r>
        <w:rPr>
          <w:rFonts w:ascii="Times New Roman;serif" w:hAnsi="Times New Roman;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Quarterly Report on Form 10-Q of Brilliant Earth Group, Inc. (the “Company”) for the period ended September 30, 2025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November 5, 2025</w:t>
      </w: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Beth Gerstein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Name: Beth Gerstein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erif" w:hAnsi="Times New Roman;serif"/>
          <w:b w:val="false"/>
          <w:color w:val="000000"/>
          <w:sz w:val="22"/>
        </w:rPr>
        <w:t>(</w:t>
      </w:r>
      <w:r>
        <w:rPr>
          <w:rFonts w:ascii="Times New Roman;serif" w:hAnsi="Times New Roman;serif"/>
          <w:b w:val="false"/>
          <w:i/>
          <w:color w:val="000000"/>
          <w:sz w:val="22"/>
        </w:rPr>
        <w:t>Principal Executive Officer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connection with the Quarterly Report on Form 10-Q of Brilliant Earth Group, Inc. (the “Company”) for the period ended September 30, 2025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 Report fully complies with the requirements of Section 13(a) or Section 15(d) of the Securities Exchange Act of 1934; and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 xml:space="preserve">Date: </w:t>
      </w:r>
      <w:r>
        <w:rPr>
          <w:rFonts w:ascii="Times New Roman;serif" w:hAnsi="Times New Roman;serif"/>
          <w:b w:val="false"/>
          <w:color w:val="000000"/>
          <w:sz w:val="22"/>
          <w:shd w:fill="FFFFFF" w:val="clear"/>
        </w:rPr>
        <w:t>November 5, 2025</w:t>
      </w: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w:t>
      </w:r>
      <w:r>
        <w:rPr>
          <w:rFonts w:ascii="Times New Roman;serif" w:hAnsi="Times New Roman;serif"/>
          <w:b w:val="false"/>
          <w:color w:val="000000"/>
          <w:sz w:val="24"/>
          <w:u w:val="single"/>
        </w:rPr>
        <w:t>Jeffrey</w:t>
      </w:r>
      <w:r>
        <w:rPr>
          <w:color w:val="000000"/>
          <w:u w:val="single"/>
        </w:rPr>
        <w:t xml:space="preserve"> </w:t>
      </w:r>
      <w:r>
        <w:rPr>
          <w:rFonts w:ascii="Times New Roman;serif" w:hAnsi="Times New Roman;serif"/>
          <w:b w:val="false"/>
          <w:color w:val="000000"/>
          <w:sz w:val="22"/>
          <w:u w:val="single"/>
        </w:rPr>
        <w:t>Kuo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Name: Jeffrey Kuo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p>
      <w:pPr>
        <w:pStyle w:val="TextBody"/>
        <w:bidi w:val="0"/>
        <w:spacing w:lineRule="auto" w:line="240" w:before="0" w:after="0"/>
        <w:ind w:left="0" w:right="0" w:firstLine="720"/>
        <w:jc w:val="left"/>
        <w:rPr/>
      </w:pPr>
      <w:r>
        <w:rPr>
          <w:rFonts w:ascii="Times New Roman;serif" w:hAnsi="Times New Roman;serif"/>
          <w:b w:val="false"/>
          <w:color w:val="000000"/>
          <w:sz w:val="22"/>
        </w:rPr>
        <w:t>(</w:t>
      </w:r>
      <w:r>
        <w:rPr>
          <w:rFonts w:ascii="Times New Roman;serif" w:hAnsi="Times New Roman;serif"/>
          <w:b w:val="false"/>
          <w:i/>
          <w:color w:val="000000"/>
          <w:sz w:val="22"/>
        </w:rPr>
        <w:t>Principal Financial Officer</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19614</Words>
  <Characters>107737</Characters>
  <CharactersWithSpaces>126587</CharactersWithSpaces>
  <Paragraphs>2784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