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dd5c2d45bc4e42ffbdc11498e154c1dd_7">
        <w:r>
          <w:rPr>
            <w:rStyle w:val="InternetLink"/>
            <w:rFonts w:ascii="Times New Roman;serif" w:hAnsi="Times New Roman;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Brilliant Earth Group, Inc.</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300 Grant Avenue, Third Floor</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(800) 691-0952</w:t>
      </w:r>
    </w:p>
    <w:p>
      <w:pPr>
        <w:pStyle w:val="TextBody"/>
        <w:bidi w:val="0"/>
        <w:spacing w:lineRule="auto" w:line="216"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The Nasdaq Global Market </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6"/>
        </w:rPr>
        <w:t>large accelerated filer,</w:t>
      </w:r>
      <w:r>
        <w:rPr>
          <w:color w:val="000000"/>
        </w:rPr>
        <w:t>” “</w:t>
      </w:r>
      <w:r>
        <w:rPr>
          <w:rFonts w:ascii="Times New Roman;serif" w:hAnsi="Times New Roman;serif"/>
          <w:b w:val="false"/>
          <w:color w:val="000000"/>
          <w:sz w:val="16"/>
        </w:rPr>
        <w:t>accelerated filer,</w:t>
      </w:r>
      <w:r>
        <w:rPr>
          <w:color w:val="000000"/>
        </w:rPr>
        <w:t>” “</w:t>
      </w:r>
      <w:r>
        <w:rPr>
          <w:rFonts w:ascii="Times New Roman;serif" w:hAnsi="Times New Roman;serif"/>
          <w:b w:val="false"/>
          <w:color w:val="000000"/>
          <w:sz w:val="16"/>
        </w:rPr>
        <w:t>smaller reporting company,</w:t>
      </w:r>
      <w:r>
        <w:rPr>
          <w:color w:val="000000"/>
        </w:rPr>
        <w:t xml:space="preserve">” </w:t>
      </w:r>
      <w:r>
        <w:rPr>
          <w:rFonts w:ascii="Times New Roman;serif" w:hAnsi="Times New Roman;serif"/>
          <w:b w:val="false"/>
          <w:color w:val="000000"/>
          <w:sz w:val="16"/>
        </w:rPr>
        <w:t xml:space="preserve">and </w:t>
      </w:r>
      <w:r>
        <w:rPr>
          <w:color w:val="000000"/>
        </w:rPr>
        <w:t>“</w:t>
      </w:r>
      <w:r>
        <w:rPr>
          <w:rFonts w:ascii="Times New Roman;serif" w:hAnsi="Times New Roman;serif"/>
          <w:b w:val="false"/>
          <w:color w:val="000000"/>
          <w:sz w:val="16"/>
        </w:rPr>
        <w:t>emerging growth company</w:t>
      </w:r>
      <w:r>
        <w:rPr>
          <w:color w:val="000000"/>
        </w:rPr>
        <w:t xml:space="preserve">” </w:t>
      </w:r>
      <w:r>
        <w:rPr>
          <w:rFonts w:ascii="Times New Roman;serif" w:hAnsi="Times New Roman;serif"/>
          <w:b w:val="false"/>
          <w:color w:val="000000"/>
          <w:sz w:val="16"/>
        </w:rPr>
        <w:t>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bl>
    <w:p>
      <w:pPr>
        <w:pStyle w:val="TextBody"/>
        <w:bidi w:val="0"/>
        <w:spacing w:lineRule="auto" w:line="288" w:before="0" w:after="60"/>
        <w:ind w:left="0" w:right="0" w:firstLine="9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pPr>
      <w:r>
        <w:rPr>
          <w:rFonts w:ascii="Times New Roman;serif" w:hAnsi="Times New Roman;serif"/>
          <w:b w:val="false"/>
          <w:color w:val="000000"/>
          <w:sz w:val="16"/>
        </w:rPr>
        <w:t xml:space="preserve">As of </w:t>
      </w:r>
      <w:r>
        <w:rPr>
          <w:rFonts w:ascii="Times New Roman;serif" w:hAnsi="Times New Roman;serif"/>
          <w:b w:val="false"/>
          <w:color w:val="000000"/>
          <w:sz w:val="16"/>
          <w:shd w:fill="FFFFFF" w:val="clear"/>
        </w:rPr>
        <w:t>July 31, 2026</w:t>
      </w:r>
      <w:r>
        <w:rPr>
          <w:rFonts w:ascii="Times New Roman;serif" w:hAnsi="Times New Roman;serif"/>
          <w:b w:val="false"/>
          <w:color w:val="000000"/>
          <w:sz w:val="16"/>
        </w:rPr>
        <w:t>, there were 16,907,896 shares of the registrant's Class A common stock, $0.0001 par value per share, outstanding, 35,794,923 shares of the registrant's Class B common stock, $0.0001 par value per share, outstanding, 49,119,976 shares of the registrant's Class C common stock, $0.0001 par value per share, outstanding an</w:t>
      </w:r>
      <w:r>
        <w:rPr>
          <w:rFonts w:ascii="Times New Roman;serif" w:hAnsi="Times New Roman;serif"/>
          <w:b w:val="false"/>
          <w:color w:val="000000"/>
          <w:sz w:val="16"/>
          <w:shd w:fill="FFFFFF" w:val="clear"/>
        </w:rPr>
        <w:t>d no sh</w:t>
      </w:r>
      <w:r>
        <w:rPr>
          <w:rFonts w:ascii="Times New Roman;serif" w:hAnsi="Times New Roman;serif"/>
          <w:b w:val="false"/>
          <w:color w:val="000000"/>
          <w:sz w:val="16"/>
        </w:rPr>
        <w:t>ares of the registrant's Class D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2"/>
        <w:jc w:val="center"/>
        <w:rPr/>
      </w:pPr>
      <w:r>
        <w:rPr/>
      </w:r>
    </w:p>
    <w:tbl>
      <w:tblPr>
        <w:tblW w:w="8536" w:type="dxa"/>
        <w:jc w:val="left"/>
        <w:tblInd w:w="0" w:type="dxa"/>
        <w:tblLayout w:type="fixed"/>
        <w:tblCellMar>
          <w:top w:w="28" w:type="dxa"/>
          <w:left w:w="28" w:type="dxa"/>
          <w:bottom w:w="28" w:type="dxa"/>
          <w:right w:w="28" w:type="dxa"/>
        </w:tblCellMar>
      </w:tblPr>
      <w:tblGrid>
        <w:gridCol w:w="2892"/>
        <w:gridCol w:w="2545"/>
        <w:gridCol w:w="2558"/>
        <w:gridCol w:w="158"/>
        <w:gridCol w:w="158"/>
        <w:gridCol w:w="225"/>
      </w:tblGrid>
      <w:tr>
        <w:trPr/>
        <w:tc>
          <w:tcPr>
            <w:tcW w:w="289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6">
              <w:r>
                <w:rPr>
                  <w:rStyle w:val="InternetLink"/>
                  <w:rFonts w:ascii="Times New Roman;serif" w:hAnsi="Times New Roman;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9">
              <w:r>
                <w:rPr>
                  <w:rStyle w:val="InternetLink"/>
                  <w:rFonts w:ascii="Times New Roman;serif" w:hAnsi="Times New Roman;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9">
              <w:r>
                <w:rPr>
                  <w:rStyle w:val="InternetLink"/>
                  <w:rFonts w:ascii="Times New Roman;serif" w:hAnsi="Times New Roman;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73">
              <w:r>
                <w:rPr>
                  <w:rStyle w:val="InternetLink"/>
                  <w:rFonts w:ascii="Times New Roman;serif" w:hAnsi="Times New Roman;serif"/>
                  <w:b w:val="false"/>
                  <w:color w:val="0000FF"/>
                  <w:sz w:val="20"/>
                  <w:u w:val="single"/>
                </w:rPr>
                <w:t>20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0">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0">
              <w:r>
                <w:rPr>
                  <w:rStyle w:val="InternetLink"/>
                  <w:rFonts w:ascii="Times New Roman;serif" w:hAnsi="Times New Roman;serif"/>
                  <w:b w:val="false"/>
                  <w:color w:val="0000FF"/>
                  <w:sz w:val="20"/>
                  <w:u w:val="single"/>
                </w:rPr>
                <w:t>34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3">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3">
              <w:r>
                <w:rPr>
                  <w:rStyle w:val="InternetLink"/>
                  <w:rFonts w:ascii="Times New Roman;serif" w:hAnsi="Times New Roman;serif"/>
                  <w:b w:val="false"/>
                  <w:color w:val="0000FF"/>
                  <w:sz w:val="20"/>
                  <w:u w:val="single"/>
                </w:rPr>
                <w:t>34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6">
              <w:r>
                <w:rPr>
                  <w:rStyle w:val="InternetLink"/>
                  <w:rFonts w:ascii="Times New Roman;serif" w:hAnsi="Times New Roman;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9">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9">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2">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2">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5">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5">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8">
              <w:r>
                <w:rPr>
                  <w:rStyle w:val="InternetLink"/>
                  <w:rFonts w:ascii="Times New Roman;serif" w:hAnsi="Times New Roman;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8">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21">
              <w:r>
                <w:rPr>
                  <w:rStyle w:val="InternetLink"/>
                  <w:rFonts w:ascii="Times New Roman;serif" w:hAnsi="Times New Roman;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21">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24">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24">
              <w:r>
                <w:rPr>
                  <w:rStyle w:val="InternetLink"/>
                  <w:rFonts w:ascii="Times New Roman;serif" w:hAnsi="Times New Roman;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30">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30">
              <w:r>
                <w:rPr>
                  <w:rStyle w:val="InternetLink"/>
                  <w:rFonts w:ascii="Times New Roman;serif" w:hAnsi="Times New Roman;serif"/>
                  <w:b w:val="false"/>
                  <w:color w:val="0000FF"/>
                  <w:sz w:val="20"/>
                  <w:u w:val="singl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33">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33">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2"/>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management's plans and objectives for future operations, including, among others, statements regarding expected growth, introduction of new products, showroom and international expansion, market opportunity, capital expenditures, marketing and technology investments, liquidity and capital needs, tariff and macroeconomic impacts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t>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repurposed precious metals such as gold; increases in labor costs for manufacturing such as wage rate increases, as well as inflation, and energy prices;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to acquire new customers; our rapid growth in recent years and limited operating experience at our current scale of operations and our ability to manage growth effectively; increased lead times, supply shortages and supply changes; our plans to expand showrooms in the United States; our ability to compete in the fine jewelry retail industry; our ability to maintain and enhance our brand and to engage or expand our customer base; our ability to expand our sales and marketing capabilities and achieve broader market acceptance of our e-commerce and omnichannel approach; our ability to manage our inventory balances and shrinkage; a decline in sales of Design Your Own rings; our ability to predict operating results; our heavy reliance on our information technology systems and those of our third-party vendors and service providers to safeguard confidential information and any significant failure, inadequacy or interruption of these systems, security breaches or loss of data; the impact of environmental, social, and governance matters on our business and reputation; risks related to our e-commerce and omnichannel business; our ability to anticipate and respond to changes in consumer preferences and shopping patterns, and introduce new products and programs; our dependence on distributions from Brilliant Earth, LLC to pay our taxes and expenses, including payments under the Tax Receivable Agreement; our obligations under the Tax Receivable Agreement, which confers certain benefits upon the Continuing Equity Owners that will not benefit holders of our Class A common stock to the same extent; risks related to our organizational structure; and the other risks, uncertainties and factors described in Part I, Item 1A, “Risk Factors” in our Annual Report on Form 10-K for the fiscal year ended December 31, 2025 (the “2025 Form 10-K”) filed with the Securities and Exchange Commission (the “SEC”) on March 17, 2026. Other sections of this Quarterly Report on Form 10-Q, including Part I, Item 2. “Management's Discussion and Analysis of Financial Condition and Results of Operations”, include additional factors that could adversely impact our business and financial performance. </w:t>
      </w:r>
    </w:p>
    <w:p>
      <w:pPr>
        <w:pStyle w:val="TextBody"/>
        <w:bidi w:val="0"/>
        <w:spacing w:before="0" w:after="2"/>
        <w:jc w:val="left"/>
        <w:rPr/>
      </w:pPr>
      <w:r>
        <w:rPr/>
      </w:r>
    </w:p>
    <w:p>
      <w:pPr>
        <w:pStyle w:val="TextBody"/>
        <w:bidi w:val="0"/>
        <w:spacing w:lineRule="auto" w:line="268" w:before="0" w:after="2"/>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2"/>
        <w:jc w:val="left"/>
        <w:rPr/>
      </w:pPr>
      <w:r>
        <w:rPr/>
      </w:r>
    </w:p>
    <w:p>
      <w:pPr>
        <w:pStyle w:val="TextBody"/>
        <w:bidi w:val="0"/>
        <w:spacing w:lineRule="auto" w:line="268" w:before="0" w:after="2"/>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should not rely upon forward-looking statements as predictions of future events. This Quarterly Report on Form 10-Q and the documents that we have filed as exhibits should be read with the understanding that our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2"/>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BASIS OF PRESENTATION</w:t>
      </w:r>
    </w:p>
    <w:p>
      <w:pPr>
        <w:pStyle w:val="TextBody"/>
        <w:bidi w:val="0"/>
        <w:spacing w:before="0" w:after="2"/>
        <w:jc w:val="center"/>
        <w:rPr/>
      </w:pPr>
      <w:r>
        <w:rPr/>
      </w:r>
    </w:p>
    <w:p>
      <w:pPr>
        <w:pStyle w:val="TextBody"/>
        <w:bidi w:val="0"/>
        <w:spacing w:lineRule="auto" w:line="300" w:before="0" w:after="2"/>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before="0" w:after="0"/>
        <w:jc w:val="left"/>
        <w:rPr/>
      </w:pPr>
      <w:r>
        <w:rPr/>
      </w:r>
    </w:p>
    <w:p>
      <w:pPr>
        <w:pStyle w:val="TextBody"/>
        <w:bidi w:val="0"/>
        <w:spacing w:lineRule="auto" w:line="268" w:before="0" w:after="120"/>
        <w:ind w:left="0" w:right="0" w:hanging="360"/>
        <w:jc w:val="left"/>
        <w:rPr/>
      </w:pPr>
      <w:r>
        <w:rPr>
          <w:color w:val="000000"/>
        </w:rPr>
        <w:t>•</w:t>
      </w:r>
      <w:r>
        <w:rPr>
          <w:color w:val="000000"/>
          <w:shd w:fill="FFFFFF" w:val="clear"/>
        </w:rPr>
        <w:t>“</w:t>
      </w:r>
      <w:r>
        <w:rPr>
          <w:rFonts w:ascii="Times New Roman;serif" w:hAnsi="Times New Roman;serif"/>
          <w:b w:val="false"/>
          <w:color w:val="000000"/>
          <w:sz w:val="20"/>
        </w:rPr>
        <w:t>we,</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us,</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our,</w:t>
      </w:r>
      <w:r>
        <w:rPr>
          <w:color w:val="000000"/>
          <w:shd w:fill="FFFFFF" w:val="clear"/>
        </w:rPr>
        <w:t>”</w:t>
      </w:r>
      <w:r>
        <w:rPr>
          <w:color w:val="000000"/>
        </w:rPr>
        <w:t xml:space="preserve"> </w:t>
      </w:r>
      <w:r>
        <w:rPr>
          <w:rFonts w:ascii="Times New Roman;serif" w:hAnsi="Times New Roman;serif"/>
          <w:b w:val="false"/>
          <w:color w:val="000000"/>
          <w:sz w:val="20"/>
        </w:rPr>
        <w:t xml:space="preserve">the </w:t>
      </w:r>
      <w:r>
        <w:rPr>
          <w:color w:val="000000"/>
          <w:shd w:fill="FFFFFF" w:val="clear"/>
        </w:rPr>
        <w:t>“</w:t>
      </w:r>
      <w:r>
        <w:rPr>
          <w:rFonts w:ascii="Times New Roman;serif" w:hAnsi="Times New Roman;serif"/>
          <w:b w:val="false"/>
          <w:color w:val="000000"/>
          <w:sz w:val="20"/>
        </w:rPr>
        <w:t>Company,</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Brilliant Earth,</w:t>
      </w:r>
      <w:r>
        <w:rPr>
          <w:color w:val="000000"/>
          <w:shd w:fill="FFFFFF" w:val="clear"/>
        </w:rPr>
        <w:t>”</w:t>
      </w:r>
      <w:r>
        <w:rPr>
          <w:color w:val="000000"/>
        </w:rPr>
        <w:t xml:space="preserve"> </w:t>
      </w:r>
      <w:r>
        <w:rPr>
          <w:rFonts w:ascii="Times New Roman;serif" w:hAnsi="Times New Roman;serif"/>
          <w:b w:val="false"/>
          <w:color w:val="000000"/>
          <w:sz w:val="20"/>
        </w:rPr>
        <w:t>and similar references refer to Brilliant Earth Group, Inc., and, unless otherwise stated, all of its subsidiaries, including Brilliant Earth, LLC.</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Continuing Equity Owners</w:t>
      </w:r>
      <w:r>
        <w:rPr>
          <w:color w:val="000000"/>
          <w:shd w:fill="FFFFFF" w:val="clear"/>
        </w:rPr>
        <w:t>”</w:t>
      </w:r>
      <w:r>
        <w:rPr>
          <w:color w:val="000000"/>
        </w:rPr>
        <w:t xml:space="preserve"> </w:t>
      </w:r>
      <w:r>
        <w:rPr>
          <w:rFonts w:ascii="Times New Roman;serif" w:hAnsi="Times New Roman;serif"/>
          <w:b w:val="false"/>
          <w:color w:val="000000"/>
          <w:sz w:val="20"/>
        </w:rPr>
        <w:t>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Founders</w:t>
      </w:r>
      <w:r>
        <w:rPr>
          <w:color w:val="000000"/>
          <w:shd w:fill="FFFFFF" w:val="clear"/>
        </w:rPr>
        <w:t>”</w:t>
      </w:r>
      <w:r>
        <w:rPr>
          <w:color w:val="000000"/>
        </w:rPr>
        <w:t xml:space="preserve"> </w:t>
      </w:r>
      <w:r>
        <w:rPr>
          <w:rFonts w:ascii="Times New Roman;serif" w:hAnsi="Times New Roman;serif"/>
          <w:b w:val="false"/>
          <w:color w:val="000000"/>
          <w:sz w:val="20"/>
        </w:rPr>
        <w:t>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LLC Interests</w:t>
      </w:r>
      <w:r>
        <w:rPr>
          <w:color w:val="000000"/>
          <w:shd w:fill="FFFFFF" w:val="clear"/>
        </w:rPr>
        <w:t>”</w:t>
      </w:r>
      <w:r>
        <w:rPr>
          <w:color w:val="000000"/>
        </w:rPr>
        <w:t xml:space="preserve"> </w:t>
      </w:r>
      <w:r>
        <w:rPr>
          <w:rFonts w:ascii="Times New Roman;serif" w:hAnsi="Times New Roman;serif"/>
          <w:b w:val="false"/>
          <w:color w:val="000000"/>
          <w:sz w:val="20"/>
        </w:rPr>
        <w:t xml:space="preserve">or </w:t>
      </w:r>
      <w:r>
        <w:rPr>
          <w:color w:val="000000"/>
          <w:shd w:fill="FFFFFF" w:val="clear"/>
        </w:rPr>
        <w:t>“</w:t>
      </w:r>
      <w:r>
        <w:rPr>
          <w:rFonts w:ascii="Times New Roman;serif" w:hAnsi="Times New Roman;serif"/>
          <w:b w:val="false"/>
          <w:color w:val="000000"/>
          <w:sz w:val="20"/>
        </w:rPr>
        <w:t>LLC Units</w:t>
      </w:r>
      <w:r>
        <w:rPr>
          <w:color w:val="000000"/>
          <w:shd w:fill="FFFFFF" w:val="clear"/>
        </w:rPr>
        <w:t>”</w:t>
      </w:r>
      <w:r>
        <w:rPr>
          <w:color w:val="000000"/>
        </w:rPr>
        <w:t xml:space="preserve"> </w:t>
      </w:r>
      <w:r>
        <w:rPr>
          <w:rFonts w:ascii="Times New Roman;serif" w:hAnsi="Times New Roman;serif"/>
          <w:b w:val="false"/>
          <w:color w:val="000000"/>
          <w:sz w:val="20"/>
        </w:rPr>
        <w:t>refers to the common units of Brilliant Earth, LLC, including those that we purchased with the net proceeds from our initial public offering (</w:t>
      </w:r>
      <w:r>
        <w:rPr>
          <w:color w:val="000000"/>
          <w:shd w:fill="FFFFFF" w:val="clear"/>
        </w:rPr>
        <w:t>“</w:t>
      </w:r>
      <w:r>
        <w:rPr>
          <w:rFonts w:ascii="Times New Roman;serif" w:hAnsi="Times New Roman;serif"/>
          <w:b w:val="false"/>
          <w:color w:val="000000"/>
          <w:sz w:val="20"/>
        </w:rPr>
        <w:t>IPO</w:t>
      </w:r>
      <w:r>
        <w:rPr>
          <w:color w:val="000000"/>
          <w:shd w:fill="FFFFFF" w:val="clear"/>
        </w:rPr>
        <w:t>”</w:t>
      </w:r>
      <w:r>
        <w:rPr>
          <w:rFonts w:ascii="Times New Roman;serif" w:hAnsi="Times New Roman;serif"/>
          <w:b w:val="false"/>
          <w:color w:val="000000"/>
          <w:sz w:val="20"/>
        </w:rPr>
        <w:t>), which occurred on September 23, 2021.</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LLC Agreement</w:t>
      </w:r>
      <w:r>
        <w:rPr>
          <w:color w:val="000000"/>
          <w:shd w:fill="FFFFFF" w:val="clear"/>
        </w:rPr>
        <w:t>”</w:t>
      </w:r>
      <w:r>
        <w:rPr>
          <w:color w:val="000000"/>
        </w:rPr>
        <w:t xml:space="preserve"> </w:t>
      </w:r>
      <w:r>
        <w:rPr>
          <w:rFonts w:ascii="Times New Roman;serif" w:hAnsi="Times New Roman;serif"/>
          <w:b w:val="false"/>
          <w:color w:val="000000"/>
          <w:sz w:val="20"/>
        </w:rPr>
        <w:t xml:space="preserve">refers to Brilliant Earth, LLC's amended and restated limited liability company agreement, which became effective prior to the consummation of the IPO. </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Mainsail</w:t>
      </w:r>
      <w:r>
        <w:rPr>
          <w:color w:val="000000"/>
          <w:shd w:fill="FFFFFF" w:val="clear"/>
        </w:rPr>
        <w:t>”</w:t>
      </w:r>
      <w:r>
        <w:rPr>
          <w:color w:val="000000"/>
        </w:rPr>
        <w:t xml:space="preserve"> </w:t>
      </w:r>
      <w:r>
        <w:rPr>
          <w:rFonts w:ascii="Times New Roman;serif" w:hAnsi="Times New Roman;serif"/>
          <w:b w:val="false"/>
          <w:color w:val="000000"/>
          <w:sz w:val="20"/>
        </w:rPr>
        <w:t>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68" w:before="0" w:after="120"/>
        <w:ind w:left="0" w:right="0" w:hanging="360"/>
        <w:jc w:val="both"/>
        <w:rPr/>
      </w:pPr>
      <w:r>
        <w:rPr>
          <w:color w:val="000000"/>
        </w:rPr>
        <w:t>• “</w:t>
      </w:r>
      <w:r>
        <w:rPr>
          <w:rFonts w:ascii="Times New Roman;serif" w:hAnsi="Times New Roman;serif"/>
          <w:b w:val="false"/>
          <w:color w:val="000000"/>
          <w:sz w:val="20"/>
        </w:rPr>
        <w:t>SVB Credit Agreement” refers to the credit agreement entered into on May 24, 2022, and as subsequently amended, by Brilliant Earth, LLC, as borrower, and Silicon Valley Bank, as administrative agent and collateral agent for the lenders, which provides for a secured term loan credit facility of $65.0 million (the “SVB Term Loan”) and a secured revolving credit facility in an amount of up to $40.0 million (the “SVB Revolving Facility”, and together with the SVB Term Loan, the “SVB Credit Facilities”). In August 2025, the Company prepaid all principal amounts outstanding of $34.8 million under the SVB Term Loan and terminated all commitments outstanding under the SVB Credit Agreement.</w:t>
      </w:r>
    </w:p>
    <w:p>
      <w:pPr>
        <w:pStyle w:val="TextBody"/>
        <w:bidi w:val="0"/>
        <w:spacing w:lineRule="auto" w:line="26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pPr>
      <w:hyperlink w:anchor="idd5c2d45bc4e42ffbdc11498e154c1dd_7">
        <w:r>
          <w:rPr>
            <w:rStyle w:val="InternetLink"/>
            <w:rFonts w:ascii="Times New Roman;serif" w:hAnsi="Times New Roman;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BALANCE SHEETS</w:t>
      </w:r>
    </w:p>
    <w:p>
      <w:pPr>
        <w:pStyle w:val="TextBody"/>
        <w:bidi w:val="0"/>
        <w:spacing w:lineRule="auto" w:line="276" w:before="0" w:after="1"/>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914"/>
        <w:gridCol w:w="2348"/>
        <w:gridCol w:w="2332"/>
        <w:gridCol w:w="196"/>
        <w:gridCol w:w="751"/>
        <w:gridCol w:w="109"/>
        <w:gridCol w:w="109"/>
        <w:gridCol w:w="109"/>
        <w:gridCol w:w="109"/>
        <w:gridCol w:w="198"/>
        <w:gridCol w:w="762"/>
        <w:gridCol w:w="110"/>
        <w:gridCol w:w="158"/>
      </w:tblGrid>
      <w:tr>
        <w:trPr/>
        <w:tc>
          <w:tcPr>
            <w:tcW w:w="2914"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74,948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79,089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53,315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53,238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11,068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12,052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139,458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144,728</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18,103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19,622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35,697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31,879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4,674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200,903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28,294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24,804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26,298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35,732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26,918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22,671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6,896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88,503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90,103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31,163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123,431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121,266</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Commitments and contingencies (Note 9)</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10,000,000 shares authorized, none issued and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1,200,000,000 shares authorized; 17,455,154 shares issued and 16,880,477 shares outstanding at June 30, 2026; 16,092,701 shares issued and 15,518,024 shares outstanding at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150,000,000 shares authorized; 35,822,342 shares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150,000,000 shares authorized; 49,119,976 shares outstanding at June 30, 2026 and December 31,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150,000,000 shares authorized; none issued and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17,368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16,024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Treasury stock, at cost; 574,677 and 574,677 shares at June 30, 2026 and December 31, 2025, respectively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(2,640)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Stockholders' equity attributable to Brilliant Earth Group, Inc.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12,301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Non-controlling interests attributable to Brilliant Earth, LLC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61,158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67,336</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73,312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79,637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196,743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200,903</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(Dollars in thousands, except per share amounts)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1565"/>
        <w:gridCol w:w="1369"/>
        <w:gridCol w:w="1378"/>
        <w:gridCol w:w="220"/>
        <w:gridCol w:w="846"/>
        <w:gridCol w:w="109"/>
        <w:gridCol w:w="109"/>
        <w:gridCol w:w="109"/>
        <w:gridCol w:w="109"/>
        <w:gridCol w:w="202"/>
        <w:gridCol w:w="774"/>
        <w:gridCol w:w="109"/>
        <w:gridCol w:w="109"/>
        <w:gridCol w:w="109"/>
        <w:gridCol w:w="109"/>
        <w:gridCol w:w="202"/>
        <w:gridCol w:w="774"/>
        <w:gridCol w:w="109"/>
        <w:gridCol w:w="109"/>
        <w:gridCol w:w="109"/>
        <w:gridCol w:w="109"/>
        <w:gridCol w:w="202"/>
        <w:gridCol w:w="774"/>
        <w:gridCol w:w="109"/>
        <w:gridCol w:w="109"/>
        <w:gridCol w:w="109"/>
        <w:gridCol w:w="109"/>
        <w:gridCol w:w="155"/>
      </w:tblGrid>
      <w:tr>
        <w:trPr/>
        <w:tc>
          <w:tcPr>
            <w:tcW w:w="15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115,111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108,936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214,615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202,820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48,467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45,432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93,903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Gross profit</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120,712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118,546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26,235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26,271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49,757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49,233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39,963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38,446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79,390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74,049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18"/>
              </w:rPr>
              <w:t>Total operating expenses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64,717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129,147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123,282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Income tax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income (loss)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(loss) allocable to non-controlling interest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income (loss) allocable to Brilliant Earth Group, Inc.</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shares of common stock outstanding: </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16,452,498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14,552,477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16,133,940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14,333,268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101,681,331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14,552,477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16,133,940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14,333,268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Brilliant Earth Group, Inc.</w:t>
      </w:r>
    </w:p>
    <w:p>
      <w:pPr>
        <w:pStyle w:val="TextBody"/>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UNAUDITED CONDENSED CONSOLIDATED STATEMENTS OF CHANGES IN STOCKHOLDERS' EQUITY </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(Dollars in thousands)</w:t>
      </w:r>
    </w:p>
    <w:p>
      <w:pPr>
        <w:pStyle w:val="TextBody"/>
        <w:bidi w:val="0"/>
        <w:spacing w:before="0" w:after="2"/>
        <w:jc w:val="center"/>
        <w:rPr/>
      </w:pPr>
      <w:r>
        <w:rPr/>
      </w:r>
    </w:p>
    <w:p>
      <w:pPr>
        <w:pStyle w:val="TextBody"/>
        <w:bidi w:val="0"/>
        <w:spacing w:before="0" w:after="2"/>
        <w:jc w:val="center"/>
        <w:rPr/>
      </w:pPr>
      <w:r>
        <w:rPr/>
      </w:r>
    </w:p>
    <w:tbl>
      <w:tblPr>
        <w:tblW w:w="15872" w:type="dxa"/>
        <w:jc w:val="left"/>
        <w:tblInd w:w="0" w:type="dxa"/>
        <w:tblLayout w:type="fixed"/>
        <w:tblCellMar>
          <w:top w:w="28" w:type="dxa"/>
          <w:left w:w="28" w:type="dxa"/>
          <w:bottom w:w="28" w:type="dxa"/>
          <w:right w:w="28" w:type="dxa"/>
        </w:tblCellMar>
      </w:tblPr>
      <w:tblGrid>
        <w:gridCol w:w="634"/>
        <w:gridCol w:w="215"/>
        <w:gridCol w:w="202"/>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181"/>
        <w:gridCol w:w="571"/>
        <w:gridCol w:w="109"/>
        <w:gridCol w:w="109"/>
        <w:gridCol w:w="109"/>
        <w:gridCol w:w="109"/>
        <w:gridCol w:w="181"/>
        <w:gridCol w:w="481"/>
        <w:gridCol w:w="109"/>
        <w:gridCol w:w="109"/>
        <w:gridCol w:w="109"/>
        <w:gridCol w:w="109"/>
        <w:gridCol w:w="204"/>
        <w:gridCol w:w="543"/>
        <w:gridCol w:w="124"/>
        <w:gridCol w:w="109"/>
        <w:gridCol w:w="109"/>
        <w:gridCol w:w="109"/>
        <w:gridCol w:w="195"/>
        <w:gridCol w:w="617"/>
        <w:gridCol w:w="119"/>
        <w:gridCol w:w="109"/>
        <w:gridCol w:w="109"/>
        <w:gridCol w:w="109"/>
        <w:gridCol w:w="826"/>
        <w:gridCol w:w="141"/>
        <w:gridCol w:w="327"/>
        <w:gridCol w:w="181"/>
        <w:gridCol w:w="571"/>
        <w:gridCol w:w="109"/>
        <w:gridCol w:w="327"/>
        <w:gridCol w:w="185"/>
        <w:gridCol w:w="586"/>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1" w:type="dxa"/>
            <w:gridSpan w:val="57"/>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Brilliant Earth Group,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C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Total Stockholders'</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 xml:space="preserve">Balance, January 1, 2026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15,518,024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35,822,342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16,024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(2,640)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12,301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84,942,318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67,336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79,637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Distributions to members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(1,365)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RSU vesting during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644,968</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 xml:space="preserve">Equity-based compensation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1,528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1,528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(1,511)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(1,511)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(6,942)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(8,453)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Rebalancing of controlling and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(913)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Balance,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16,162,992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35,822,342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16,639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(4,151)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11,405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84,942,318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59,942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71,347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Distributions to members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(155)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RSU vesting during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717,485</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1,278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1,278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Rebalancing of controlling and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(549)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Balance, June 30,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16,880,477</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35,822,342</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17,368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(1,094)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(4,131)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12,154</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84,942,318</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61,158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73,312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pStyle w:val="TextBody"/>
        <w:bidi w:val="0"/>
        <w:spacing w:before="0" w:after="2"/>
        <w:jc w:val="center"/>
        <w:rPr/>
      </w:pPr>
      <w:r>
        <w:rPr/>
      </w:r>
    </w:p>
    <w:p>
      <w:pPr>
        <w:pStyle w:val="TextBody"/>
        <w:bidi w:val="0"/>
        <w:spacing w:before="0" w:after="2"/>
        <w:jc w:val="left"/>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Brilliant Earth Group, Inc.</w:t>
      </w:r>
    </w:p>
    <w:p>
      <w:pPr>
        <w:pStyle w:val="TextBody"/>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UNAUDITED CONDENSED CONSOLIDATED STATEMENTS OF CHANGES IN STOCKHOLDERS' EQUITY </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(Dollars in thousands) </w:t>
      </w:r>
    </w:p>
    <w:p>
      <w:pPr>
        <w:pStyle w:val="TextBody"/>
        <w:bidi w:val="0"/>
        <w:spacing w:before="0" w:after="2"/>
        <w:jc w:val="center"/>
        <w:rPr/>
      </w:pPr>
      <w:r>
        <w:rPr/>
      </w:r>
    </w:p>
    <w:tbl>
      <w:tblPr>
        <w:tblW w:w="15687" w:type="dxa"/>
        <w:jc w:val="center"/>
        <w:tblInd w:w="0" w:type="dxa"/>
        <w:tblLayout w:type="fixed"/>
        <w:tblCellMar>
          <w:top w:w="28" w:type="dxa"/>
          <w:left w:w="28" w:type="dxa"/>
          <w:bottom w:w="28" w:type="dxa"/>
          <w:right w:w="28" w:type="dxa"/>
        </w:tblCellMar>
      </w:tblPr>
      <w:tblGrid>
        <w:gridCol w:w="603"/>
        <w:gridCol w:w="201"/>
        <w:gridCol w:w="202"/>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181"/>
        <w:gridCol w:w="571"/>
        <w:gridCol w:w="109"/>
        <w:gridCol w:w="109"/>
        <w:gridCol w:w="109"/>
        <w:gridCol w:w="109"/>
        <w:gridCol w:w="181"/>
        <w:gridCol w:w="376"/>
        <w:gridCol w:w="109"/>
        <w:gridCol w:w="109"/>
        <w:gridCol w:w="109"/>
        <w:gridCol w:w="109"/>
        <w:gridCol w:w="181"/>
        <w:gridCol w:w="496"/>
        <w:gridCol w:w="109"/>
        <w:gridCol w:w="109"/>
        <w:gridCol w:w="109"/>
        <w:gridCol w:w="109"/>
        <w:gridCol w:w="195"/>
        <w:gridCol w:w="617"/>
        <w:gridCol w:w="119"/>
        <w:gridCol w:w="109"/>
        <w:gridCol w:w="109"/>
        <w:gridCol w:w="109"/>
        <w:gridCol w:w="826"/>
        <w:gridCol w:w="141"/>
        <w:gridCol w:w="327"/>
        <w:gridCol w:w="181"/>
        <w:gridCol w:w="571"/>
        <w:gridCol w:w="109"/>
        <w:gridCol w:w="327"/>
        <w:gridCol w:w="181"/>
        <w:gridCol w:w="6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1" w:type="dxa"/>
            <w:gridSpan w:val="57"/>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Brilliant Earth Group,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Class C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Retained</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Total Stockholders'</w:t>
            </w:r>
          </w:p>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 xml:space="preserve">Balance, January 1, 2025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13,843,944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35,820,912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11,169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15,329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84,940,888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94,053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109,382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Distributions to members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(5,349)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Conversion of Class B to Class A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2,700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(2,700)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(2,700)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RSU vesting during period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661,156</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(102,460)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Class B shares issued upon vesting of LLC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21,191</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21,191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2,342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(466)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(3,267)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Rebalancing of controlling and noncontrolling interests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(2,114)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2,114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14,405,340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35,839,403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11,397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4,322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14,928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84,959,379</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88,044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102,972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Distributions to members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(1,308)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RSU vesting during period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581,177</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(132,124)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Class B shares issued upon vesting of LLC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3,712</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3,712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2,318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2,328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4"/>
              </w:rPr>
            </w:pPr>
            <w:r>
              <w:rPr>
                <w:rFonts w:ascii="Times New Roman;serif" w:hAnsi="Times New Roman;serif"/>
                <w:b w:val="false"/>
                <w:color w:val="000000"/>
                <w:sz w:val="14"/>
              </w:rPr>
              <w:t>Rebalancing of controlling and noncontrolling interests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(1,602)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4"/>
              </w:rPr>
            </w:pPr>
            <w:r>
              <w:rPr>
                <w:rFonts w:ascii="Times New Roman;serif" w:hAnsi="Times New Roman;serif"/>
                <w:b/>
                <w:color w:val="000000"/>
                <w:sz w:val="14"/>
              </w:rPr>
              <w:t>Balance, June 30, 2025</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14,854,393</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35,843,115</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49,119,976</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12,113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(998)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4,156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15,281</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84,963,091</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87,401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4"/>
              </w:rPr>
              <w:t>102,682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p>
      <w:pPr>
        <w:pStyle w:val="TextBody"/>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8709" w:type="dxa"/>
        <w:jc w:val="left"/>
        <w:tblInd w:w="0" w:type="dxa"/>
        <w:tblLayout w:type="fixed"/>
        <w:tblCellMar>
          <w:top w:w="28" w:type="dxa"/>
          <w:left w:w="28" w:type="dxa"/>
          <w:bottom w:w="28" w:type="dxa"/>
          <w:right w:w="28" w:type="dxa"/>
        </w:tblCellMar>
      </w:tblPr>
      <w:tblGrid>
        <w:gridCol w:w="2283"/>
        <w:gridCol w:w="2008"/>
        <w:gridCol w:w="2024"/>
        <w:gridCol w:w="196"/>
        <w:gridCol w:w="661"/>
        <w:gridCol w:w="109"/>
        <w:gridCol w:w="109"/>
        <w:gridCol w:w="109"/>
        <w:gridCol w:w="109"/>
        <w:gridCol w:w="196"/>
        <w:gridCol w:w="751"/>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Impairment of cloud computing implementation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1,943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(1,882)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Payments on SVB term loan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Distributions and TRA payments to members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(28,368)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decrease in cash, cash equivalents and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(4,363)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(28,307)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75,075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133,834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133,834 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 in deferred tax assets associated with redemption of LLC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TRA Obligation associated with redemption of LLC Units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shd w:fill="CCEEFF" w:val="clear"/>
              </w:rPr>
            </w:pPr>
            <w:r>
              <w:rPr>
                <w:rFonts w:ascii="Times New Roman;serif" w:hAnsi="Times New Roman;serif"/>
                <w:b w:val="false"/>
                <w:color w:val="000000"/>
                <w:sz w:val="16"/>
                <w:shd w:fill="CCEEFF" w:val="clear"/>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i/>
          <w:color w:val="000000"/>
          <w:sz w:val="16"/>
        </w:rPr>
        <w:t xml:space="preserve">The accompanying notes are an integral part of these unaudited </w:t>
      </w:r>
      <w:r>
        <w:rPr>
          <w:rFonts w:ascii="Times New Roman;serif" w:hAnsi="Times New Roman;serif"/>
          <w:b w:val="false"/>
          <w:i/>
          <w:color w:val="000000"/>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Brilliant Earth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THE UNAUDITED CONDENSED CONSOLIDATED FINANCIAL STATEMENTS</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4"/>
        </w:rPr>
        <w:t xml:space="preserve">1. </w:t>
      </w:r>
      <w:r>
        <w:rPr>
          <w:rFonts w:ascii="Times New Roman;serif" w:hAnsi="Times New Roman;serif"/>
          <w:b/>
          <w:color w:val="000000"/>
          <w:sz w:val="22"/>
        </w:rPr>
        <w:t>DESCRIPTION OF BUSINESS AND SUMMARY OF SIGNIFICANT ACCOUNTING POLICIES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During the year ended December 31, 2025, Brilliant Earth Group, Inc.'s state of incorporation changed from the State of Delaware to the State of Nevada.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lineRule="auto" w:line="288" w:before="0" w:after="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designs, procures and sells ethically sourced diamonds, gemstones and jewelry online and through showrooms operating within the United States (“U.S.”). Co-headquarters are located in San Francisco, California and Denver, Colorado.</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Basis of Presentation</w:t>
      </w:r>
    </w:p>
    <w:p>
      <w:pPr>
        <w:pStyle w:val="TextBody"/>
        <w:bidi w:val="0"/>
        <w:spacing w:lineRule="auto" w:line="288" w:before="0" w:after="200"/>
        <w:ind w:left="0" w:right="0" w:firstLine="720"/>
        <w:jc w:val="both"/>
        <w:rPr/>
      </w:pPr>
      <w:r>
        <w:rPr>
          <w:rFonts w:ascii="Times New Roman;serif" w:hAnsi="Times New Roman;serif"/>
          <w:b w:val="false"/>
          <w:color w:val="000000"/>
          <w:sz w:val="22"/>
        </w:rPr>
        <w:t>The unaudited condensed consolidated financial statements have been prepared in accordance with U.S. generally accepted accounting prin</w:t>
      </w:r>
      <w:r>
        <w:rPr>
          <w:rFonts w:ascii="Times New Roman;serif" w:hAnsi="Times New Roman;serif"/>
          <w:b w:val="false"/>
          <w:color w:val="000000"/>
          <w:sz w:val="22"/>
          <w:shd w:fill="FFFFFF" w:val="clear"/>
        </w:rPr>
        <w:t>ciples (</w:t>
      </w:r>
      <w:r>
        <w:rPr>
          <w:color w:val="000000"/>
        </w:rPr>
        <w:t>“</w:t>
      </w:r>
      <w:r>
        <w:rPr>
          <w:rFonts w:ascii="Times New Roman;serif" w:hAnsi="Times New Roman;serif"/>
          <w:b w:val="false"/>
          <w:color w:val="000000"/>
          <w:sz w:val="22"/>
          <w:shd w:fill="FFFFFF" w:val="clear"/>
        </w:rPr>
        <w:t>GAAP</w:t>
      </w:r>
      <w:r>
        <w:rPr>
          <w:color w:val="000000"/>
        </w:rPr>
        <w:t>”</w:t>
      </w:r>
      <w:r>
        <w:rPr>
          <w:rFonts w:ascii="Times New Roman;serif" w:hAnsi="Times New Roman;serif"/>
          <w:b w:val="false"/>
          <w:color w:val="000000"/>
          <w:sz w:val="22"/>
          <w:shd w:fill="FFFFFF" w:val="clear"/>
        </w:rPr>
        <w:t>) and th</w:t>
      </w:r>
      <w:r>
        <w:rPr>
          <w:rFonts w:ascii="Times New Roman;serif" w:hAnsi="Times New Roman;serif"/>
          <w:b w:val="false"/>
          <w:color w:val="000000"/>
          <w:sz w:val="22"/>
        </w:rPr>
        <w:t>e requirements of the Securities and Exchange Commission (the “SEC”) for interim reporting. As permitted under those rules, certain footnotes or other financial information that are normally required by GAAP can be condensed or omitted. These interim results are not necessarily indicative of the results to be expected for the fiscal year ending December 31, 2026, or for any other interim period or for any other future year.</w:t>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condensed consolidated balance sheet as of December 31, 2025 has been derived from the audited consolidated financial statements of the Company, which are included in the Company's Annual Report on Form 10-K for the year ended December 31, 2025 (the “2025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GAAP applicable to interim periods. These unaudited condensed consolidated financial statements should be read in conjunction with the audited consolidated financial statements and the related notes thereto as of and for the year ended December 31, 2025, as disclosed in the 2025 </w:t>
      </w:r>
      <w:r>
        <w:rPr>
          <w:rFonts w:ascii="Times New Roman;serif" w:hAnsi="Times New Roman;serif"/>
          <w:b w:val="false"/>
          <w:color w:val="000000"/>
          <w:sz w:val="22"/>
          <w:shd w:fill="FFFFFF" w:val="clear"/>
        </w:rPr>
        <w:t>Form 10-K</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There have been no material changes or updates to the Company's significant accounting policies from those described in the audited consolidated financial statements included in the 2025 Form 10-K </w:t>
      </w:r>
      <w:r>
        <w:rPr>
          <w:rFonts w:ascii="Times New Roman;serif" w:hAnsi="Times New Roman;serif"/>
          <w:b w:val="false"/>
          <w:color w:val="000000"/>
          <w:sz w:val="22"/>
          <w:shd w:fill="FFFFFF" w:val="clear"/>
        </w:rPr>
        <w:t>except for any updates noted below.</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Principles of Consolidation and Non-Controlling Interest</w:t>
      </w:r>
    </w:p>
    <w:p>
      <w:pPr>
        <w:pStyle w:val="TextBody"/>
        <w:bidi w:val="0"/>
        <w:spacing w:before="0" w:after="2"/>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unaudited condensed consolidated financial statements include the accounts of the Company and its controlled subsidiary, Brilliant Earth, LLC. All intercompany balances and transactions have been eliminated in consolidation. </w:t>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The non-controlling interest on the unaudited condensed consolidated statements of operations represents the portion of income or loss attributable to the economic interest in Brilliant Earth, LLC held 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w:t>
      </w:r>
      <w:r>
        <w:rPr>
          <w:rFonts w:ascii="Times New Roman;serif" w:hAnsi="Times New Roman;serif"/>
          <w:b w:val="false"/>
          <w:color w:val="000000"/>
          <w:sz w:val="22"/>
        </w:rPr>
        <w:t>As of June 30, 2026, the non-controlling interest was 83.4%.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rPr>
      </w:pPr>
      <w:r>
        <w:rPr>
          <w:rFonts w:ascii="Times New Roman;serif" w:hAnsi="Times New Roman;serif"/>
          <w:b/>
          <w:i/>
          <w:color w:val="000000"/>
          <w:sz w:val="22"/>
        </w:rPr>
        <w:t>Use of Estimates</w:t>
      </w:r>
    </w:p>
    <w:p>
      <w:pPr>
        <w:pStyle w:val="TextBody"/>
        <w:bidi w:val="0"/>
        <w:spacing w:before="0" w:after="0"/>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useful lives and depreciation of long-lived assets, estimates of current and deferred income taxes, and deferred income tax valuation allowances.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2"/>
        <w:jc w:val="both"/>
        <w:rPr/>
      </w:pPr>
      <w:r>
        <w:rPr/>
      </w:r>
    </w:p>
    <w:p>
      <w:pPr>
        <w:pStyle w:val="TextBody"/>
        <w:bidi w:val="0"/>
        <w:spacing w:lineRule="auto" w:line="300" w:before="0" w:after="200"/>
        <w:jc w:val="left"/>
        <w:rPr>
          <w:rFonts w:ascii="Times New Roman;serif" w:hAnsi="Times New Roman;serif"/>
          <w:b/>
          <w:i/>
          <w:color w:val="000000"/>
          <w:sz w:val="22"/>
        </w:rPr>
      </w:pPr>
      <w:r>
        <w:rPr>
          <w:rFonts w:ascii="Times New Roman;serif" w:hAnsi="Times New Roman;serif"/>
          <w:b/>
          <w:i/>
          <w:color w:val="000000"/>
          <w:sz w:val="22"/>
        </w:rPr>
        <w:t>Fair Value Measurements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required to disclose its estimate of the fair value of material financial instruments, including those recorded as assets or liabilities in its financial statements, in accordance with GAAP.</w:t>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 June 30, 2026 and December 31, 2025, there were no material financial instruments (assets or liabilities) measured at fair value on a recurring basis. </w:t>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carrying amounts of cash and cash equivalents, restricted cash, accounts payable and accrued expenses and other current liabilities approximate fair value due to their short-term maturities.</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Cash and Cash Equivalents</w:t>
      </w:r>
    </w:p>
    <w:p>
      <w:pPr>
        <w:pStyle w:val="TextBody"/>
        <w:bidi w:val="0"/>
        <w:spacing w:before="0" w:after="2"/>
        <w:jc w:val="left"/>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 xml:space="preserve">As of June 30, 2026 and December 31, 2025, money market fund accounts included in cash equivalents were $33.4 million and </w:t>
      </w:r>
      <w:r>
        <w:rPr>
          <w:rFonts w:ascii="Times New Roman;serif" w:hAnsi="Times New Roman;serif"/>
          <w:b w:val="false"/>
          <w:color w:val="000000"/>
          <w:sz w:val="22"/>
          <w:shd w:fill="FFFFFF" w:val="clear"/>
        </w:rPr>
        <w:t>$33.9 million</w:t>
      </w:r>
      <w:r>
        <w:rPr>
          <w:rFonts w:ascii="Times New Roman;serif" w:hAnsi="Times New Roman;serif"/>
          <w:b w:val="false"/>
          <w:color w:val="000000"/>
          <w:sz w:val="22"/>
        </w:rPr>
        <w:t>, respectively, and classified as Level 1 financial instruments as defined in the fair value hierarchy. The Company recognized interest income of $0.4 million</w:t>
      </w:r>
      <w:r>
        <w:rPr>
          <w:color w:val="000000"/>
          <w:shd w:fill="FFFFFF" w:val="clear"/>
        </w:rPr>
        <w:t xml:space="preserve"> </w:t>
      </w:r>
      <w:r>
        <w:rPr>
          <w:rFonts w:ascii="Times New Roman;serif" w:hAnsi="Times New Roman;serif"/>
          <w:b w:val="false"/>
          <w:color w:val="000000"/>
          <w:sz w:val="22"/>
          <w:shd w:fill="FFFFFF" w:val="clear"/>
        </w:rPr>
        <w:t xml:space="preserve">and $0.8 million for the three and six months ended </w:t>
      </w:r>
      <w:r>
        <w:rPr>
          <w:rFonts w:ascii="Times New Roman;serif" w:hAnsi="Times New Roman;serif"/>
          <w:b w:val="false"/>
          <w:color w:val="000000"/>
          <w:sz w:val="22"/>
        </w:rPr>
        <w:t xml:space="preserve">June 30, 2026, respectively, and </w:t>
      </w:r>
      <w:r>
        <w:rPr>
          <w:rFonts w:ascii="Times New Roman;serif" w:hAnsi="Times New Roman;serif"/>
          <w:b w:val="false"/>
          <w:color w:val="000000"/>
          <w:sz w:val="22"/>
          <w:shd w:fill="FFFFFF" w:val="clear"/>
        </w:rPr>
        <w:t xml:space="preserve">$1.2 million and $2.4 million for the three and six months ended </w:t>
      </w:r>
      <w:r>
        <w:rPr>
          <w:rFonts w:ascii="Times New Roman;serif" w:hAnsi="Times New Roman;serif"/>
          <w:b w:val="false"/>
          <w:color w:val="000000"/>
          <w:sz w:val="22"/>
        </w:rPr>
        <w:t xml:space="preserve">June 30, 2025, respectively. </w:t>
      </w:r>
      <w:r>
        <w:rPr>
          <w:rFonts w:ascii="Times New Roman;serif" w:hAnsi="Times New Roman;serif"/>
          <w:b w:val="false"/>
          <w:color w:val="000000"/>
          <w:sz w:val="22"/>
          <w:shd w:fill="FFFFFF" w:val="clear"/>
        </w:rPr>
        <w:t xml:space="preserve">Interest income is included in other income, net in the unaudited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Segment Information</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Company operates in one operating and reporting segment, which is the retail sale of diamonds, gemstones and jewelry. See Note 3, </w:t>
      </w:r>
      <w:r>
        <w:rPr>
          <w:rFonts w:ascii="Times New Roman;serif" w:hAnsi="Times New Roman;serif"/>
          <w:b w:val="false"/>
          <w:i/>
          <w:color w:val="000000"/>
          <w:sz w:val="22"/>
        </w:rPr>
        <w:t>Revenue</w:t>
      </w:r>
      <w:r>
        <w:rPr>
          <w:rFonts w:ascii="Times New Roman;serif" w:hAnsi="Times New Roman;serif"/>
          <w:b w:val="false"/>
          <w:color w:val="000000"/>
          <w:sz w:val="22"/>
        </w:rPr>
        <w:t xml:space="preserve">, for disclosure of total net sales by geography. The Company’s chief operating decision maker (“CODM”), the Chief Executive Officer (“CEO”), has chosen to review financial information presented on a consolidated basis for purposes of making operating decisions and assessing financial performance. The CODM utilizes net (loss) income to assess financial performance and allocate resources.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The CODM is provided with and uses the consolidated balance sheet information as is presented in the </w:t>
      </w:r>
      <w:r>
        <w:rPr>
          <w:rFonts w:ascii="Times New Roman;serif" w:hAnsi="Times New Roman;serif"/>
          <w:b w:val="false"/>
          <w:color w:val="000000"/>
          <w:sz w:val="22"/>
        </w:rPr>
        <w:t xml:space="preserve">unaudited condensed </w:t>
      </w:r>
      <w:r>
        <w:rPr>
          <w:rFonts w:ascii="Times New Roman;serif" w:hAnsi="Times New Roman;serif"/>
          <w:b w:val="false"/>
          <w:color w:val="000000"/>
          <w:sz w:val="22"/>
          <w:shd w:fill="FFFFFF" w:val="clear"/>
        </w:rPr>
        <w:t xml:space="preserve">consolidated balance sheets.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CODM is provided with and uses the consolidated expenses as noted on the face of the unaudited condensed consolidated statements of operations.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Recent Accounting Pronouncements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Accounting Pronouncements Issued but Not Yet Adopted</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November 2024, the FASB issued authoritative guidance related to disclosure of additional information about specific expense categories related to cost of sales and operating expenses in the notes to financial statements at interim and annual reporting periods. This guidance will be effective for fiscal years beginning after December 15, 2026, and interim periods within fiscal years beginning after December 15, 2027. Early adoption is permitted and should be applied on a prospective basis. We do not expect this standard to have a material impact on our consolidated financial statements, but will require increased disclosures within the notes to our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2. EARNINGS PER SHARE</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Basic earnings per share is computed by dividing net income (loss) applicable to Brilliant Earth Group, Inc. by the weighted average shares of Class A common stock outstanding (and Class D common stock, if outstanding) during the period. Diluted earnings per share is computed by adjusting the net loss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Basic and diluted earnings per share of Class A common stock have been computed as follows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12"/>
        <w:gridCol w:w="1319"/>
        <w:gridCol w:w="1327"/>
        <w:gridCol w:w="345"/>
        <w:gridCol w:w="841"/>
        <w:gridCol w:w="120"/>
        <w:gridCol w:w="120"/>
        <w:gridCol w:w="120"/>
        <w:gridCol w:w="120"/>
        <w:gridCol w:w="309"/>
        <w:gridCol w:w="772"/>
        <w:gridCol w:w="120"/>
        <w:gridCol w:w="109"/>
        <w:gridCol w:w="109"/>
        <w:gridCol w:w="109"/>
        <w:gridCol w:w="270"/>
        <w:gridCol w:w="811"/>
        <w:gridCol w:w="109"/>
        <w:gridCol w:w="109"/>
        <w:gridCol w:w="109"/>
        <w:gridCol w:w="109"/>
        <w:gridCol w:w="309"/>
        <w:gridCol w:w="772"/>
        <w:gridCol w:w="155"/>
      </w:tblGrid>
      <w:tr>
        <w:trPr/>
        <w:tc>
          <w:tcPr>
            <w:tcW w:w="16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Numerator:</w:t>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Brilliant Earth Group, Inc., BASIC</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Add: Net income (loss) impact from assumed redemption of all LLC Units to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(less): Income tax benefit (expense) on net (loss) income attributable to NCI</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Brilliant Earth Group, Inc., after adjustment for assumed conversion, DILUTED</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Denominator:</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16,452,498 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14,552,477 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14,333,268 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Dilutive effects of:</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LLC Units that are exchangeable for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84,942,318 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286,515 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101,681,331 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14,552,477 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16,133,940 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14,333,268 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3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2"/>
        </w:rPr>
        <w:t>For the three months ended June 30, 2026, Net income attributable to the non-controlling interest is added back to net income in the fully dilutive computation and has been adjusted for income taxes which would hav</w:t>
      </w:r>
      <w:r>
        <w:rPr>
          <w:rFonts w:ascii="Times New Roman;serif" w:hAnsi="Times New Roman;serif"/>
          <w:b w:val="false"/>
          <w:color w:val="000000"/>
          <w:sz w:val="22"/>
          <w:shd w:fill="FFFFFF" w:val="clear"/>
        </w:rPr>
        <w:t>e been expensed had the income been recognized by Brilliant Earth Group, Inc., a tax</w:t>
      </w:r>
      <w:r>
        <w:rPr>
          <w:rFonts w:ascii="Times New Roman;serif" w:hAnsi="Times New Roman;serif"/>
          <w:b w:val="false"/>
          <w:color w:val="000000"/>
          <w:sz w:val="22"/>
        </w:rPr>
        <w:t>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lineRule="auto" w:line="300" w:before="0" w:after="2"/>
        <w:ind w:left="0" w:right="0" w:firstLine="720"/>
        <w:jc w:val="both"/>
        <w:rPr/>
      </w:pPr>
      <w:r>
        <w:rPr>
          <w:rFonts w:ascii="Times New Roman;serif" w:hAnsi="Times New Roman;serif"/>
          <w:b w:val="false"/>
          <w:color w:val="000000"/>
          <w:sz w:val="22"/>
          <w:shd w:fill="FFFFFF" w:val="clear"/>
        </w:rPr>
        <w:t>For the three and six months ended</w:t>
      </w:r>
      <w:r>
        <w:rPr>
          <w:color w:val="000000"/>
        </w:rPr>
        <w:t xml:space="preserve"> </w:t>
      </w:r>
      <w:r>
        <w:rPr>
          <w:rFonts w:ascii="Times New Roman;serif" w:hAnsi="Times New Roman;serif"/>
          <w:b w:val="false"/>
          <w:color w:val="000000"/>
          <w:sz w:val="22"/>
        </w:rPr>
        <w:t xml:space="preserve">June 30, 2025 and the six months ended June 30, 2026, </w:t>
      </w:r>
      <w:r>
        <w:rPr>
          <w:rFonts w:ascii="Times New Roman;serif" w:hAnsi="Times New Roman;serif"/>
          <w:b w:val="false"/>
          <w:color w:val="000000"/>
          <w:sz w:val="22"/>
          <w:shd w:fill="FFFFFF" w:val="clear"/>
        </w:rPr>
        <w:t xml:space="preserve">the dilutive earnings per share calculation excludes the loss impact from assumed redemption of all LLC Units and any income tax impact on the net loss attributable to the non-controlling interest since the Company is in a net loss position and these adjustments would be antidilutive. </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shd w:fill="FFFFFF" w:val="clear"/>
        </w:rPr>
        <w:t>For the three and six months ended</w:t>
      </w:r>
      <w:r>
        <w:rPr>
          <w:color w:val="000000"/>
        </w:rPr>
        <w:t xml:space="preserve"> </w:t>
      </w:r>
      <w:r>
        <w:rPr>
          <w:rFonts w:ascii="Times New Roman;serif" w:hAnsi="Times New Roman;serif"/>
          <w:b w:val="false"/>
          <w:color w:val="000000"/>
          <w:sz w:val="22"/>
        </w:rPr>
        <w:t>June 30, 2025 and the six months ended June 30, 2026,</w:t>
      </w:r>
      <w:r>
        <w:rPr>
          <w:color w:val="000000"/>
          <w:shd w:fill="FFFFFF" w:val="clear"/>
        </w:rPr>
        <w:t xml:space="preserve"> </w:t>
      </w:r>
      <w:r>
        <w:rPr>
          <w:rFonts w:ascii="Times New Roman;serif" w:hAnsi="Times New Roman;serif"/>
          <w:b w:val="false"/>
          <w:color w:val="000000"/>
          <w:sz w:val="22"/>
          <w:shd w:fill="FFFFFF" w:val="clear"/>
        </w:rPr>
        <w:t>the dilutive impact of LLC Units, unvested LLC Units, and RSUs were not included in the computation of diluted earnings per share as the effect would be anti-dilutive.</w:t>
      </w:r>
    </w:p>
    <w:p>
      <w:pPr>
        <w:pStyle w:val="TextBody"/>
        <w:bidi w:val="0"/>
        <w:spacing w:before="0" w:after="2"/>
        <w:ind w:left="0" w:right="0" w:firstLine="720"/>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2"/>
          <w:shd w:fill="FFFFFF" w:val="clear"/>
        </w:rPr>
        <w:t xml:space="preserve">For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the dilutive impact of LLC Units convertible into common stock were included in the computation of diluted earnings per share under the if-converted method, except where the effect would be anti-dilutive. The dilutive impact of unvested LLC Units, and RSUs were included using the treasury stock method, except when the effect would be anti-dilutive.</w:t>
      </w:r>
    </w:p>
    <w:p>
      <w:pPr>
        <w:pStyle w:val="TextBody"/>
        <w:bidi w:val="0"/>
        <w:spacing w:lineRule="auto" w:line="300" w:before="0" w:after="2"/>
        <w:ind w:left="0" w:right="0" w:firstLine="720"/>
        <w:jc w:val="both"/>
        <w:rPr/>
      </w:pPr>
      <w:r>
        <w:rPr>
          <w:rFonts w:ascii="Times New Roman;serif" w:hAnsi="Times New Roman;serif"/>
          <w:b w:val="false"/>
          <w:color w:val="000000"/>
          <w:sz w:val="22"/>
          <w:shd w:fill="FFFFFF" w:val="clear"/>
        </w:rPr>
        <w:t xml:space="preserve">The following table presents the securities for the three and six months ended </w:t>
      </w:r>
      <w:r>
        <w:rPr>
          <w:rFonts w:ascii="Times New Roman;serif" w:hAnsi="Times New Roman;serif"/>
          <w:b w:val="false"/>
          <w:color w:val="000000"/>
          <w:sz w:val="22"/>
        </w:rPr>
        <w:t>June 30, 2026</w:t>
      </w:r>
      <w:r>
        <w:rPr>
          <w:color w:val="000000"/>
          <w:shd w:fill="FFFFFF" w:val="clear"/>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shd w:fill="FFFFFF" w:val="clear"/>
        </w:rPr>
        <w:t xml:space="preserve">2025, that have been excluded from the computations of earnings per share because such impact would have been anti-dilutive: </w:t>
      </w:r>
    </w:p>
    <w:tbl>
      <w:tblPr>
        <w:tblW w:w="8335" w:type="dxa"/>
        <w:jc w:val="center"/>
        <w:tblInd w:w="0" w:type="dxa"/>
        <w:tblLayout w:type="fixed"/>
        <w:tblCellMar>
          <w:top w:w="28" w:type="dxa"/>
          <w:left w:w="28" w:type="dxa"/>
          <w:bottom w:w="28" w:type="dxa"/>
          <w:right w:w="28" w:type="dxa"/>
        </w:tblCellMar>
      </w:tblPr>
      <w:tblGrid>
        <w:gridCol w:w="644"/>
        <w:gridCol w:w="569"/>
        <w:gridCol w:w="572"/>
        <w:gridCol w:w="488"/>
        <w:gridCol w:w="488"/>
        <w:gridCol w:w="208"/>
        <w:gridCol w:w="208"/>
        <w:gridCol w:w="208"/>
        <w:gridCol w:w="208"/>
        <w:gridCol w:w="540"/>
        <w:gridCol w:w="541"/>
        <w:gridCol w:w="208"/>
        <w:gridCol w:w="109"/>
        <w:gridCol w:w="109"/>
        <w:gridCol w:w="109"/>
        <w:gridCol w:w="540"/>
        <w:gridCol w:w="541"/>
        <w:gridCol w:w="178"/>
        <w:gridCol w:w="178"/>
        <w:gridCol w:w="178"/>
        <w:gridCol w:w="178"/>
        <w:gridCol w:w="583"/>
        <w:gridCol w:w="498"/>
        <w:gridCol w:w="252"/>
      </w:tblGrid>
      <w:tr>
        <w:trPr/>
        <w:tc>
          <w:tcPr>
            <w:tcW w:w="6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LLC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84,961,455 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84,942,318 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84,954,564 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2,356,151 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4,328,224 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2,537,297 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3,959,902 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656,821 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665,905 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656,821 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665,905 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LLC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4"/>
        </w:rPr>
      </w:pPr>
      <w:r>
        <w:rPr>
          <w:rFonts w:ascii="Times New Roman;serif" w:hAnsi="Times New Roman;serif"/>
          <w:b/>
          <w:color w:val="000000"/>
          <w:sz w:val="24"/>
        </w:rPr>
        <w:t>3. REVENUE</w:t>
      </w:r>
    </w:p>
    <w:p>
      <w:pPr>
        <w:pStyle w:val="TextBody"/>
        <w:bidi w:val="0"/>
        <w:spacing w:before="0" w:after="0"/>
        <w:jc w:val="left"/>
        <w:rPr/>
      </w:pPr>
      <w:r>
        <w:rPr/>
      </w:r>
    </w:p>
    <w:p>
      <w:pPr>
        <w:pStyle w:val="TextBody"/>
        <w:bidi w:val="0"/>
        <w:spacing w:lineRule="auto" w:line="300" w:before="0" w:after="200"/>
        <w:jc w:val="left"/>
        <w:rPr>
          <w:rFonts w:ascii="Times New Roman;serif" w:hAnsi="Times New Roman;serif"/>
          <w:b w:val="false"/>
          <w:i/>
          <w:color w:val="000000"/>
          <w:sz w:val="22"/>
        </w:rPr>
      </w:pPr>
      <w:r>
        <w:rPr>
          <w:rFonts w:ascii="Times New Roman;serif" w:hAnsi="Times New Roman;serif"/>
          <w:b w:val="false"/>
          <w:i/>
          <w:color w:val="000000"/>
          <w:sz w:val="22"/>
        </w:rPr>
        <w:t>Disaggregation of Revenue</w:t>
      </w:r>
    </w:p>
    <w:p>
      <w:pPr>
        <w:pStyle w:val="TextBody"/>
        <w:bidi w:val="0"/>
        <w:spacing w:lineRule="auto" w:line="288" w:before="0" w:after="160"/>
        <w:ind w:left="0" w:right="0" w:firstLine="720"/>
        <w:jc w:val="left"/>
        <w:rPr/>
      </w:pPr>
      <w:r>
        <w:rPr>
          <w:rFonts w:ascii="Times New Roman;serif" w:hAnsi="Times New Roman;serif"/>
          <w:b w:val="false"/>
          <w:color w:val="000000"/>
          <w:sz w:val="22"/>
        </w:rPr>
        <w:t>The following table discloses total net sales by geography for the Three and six months ended June 30, 2026 and 2025</w:t>
      </w:r>
      <w:r>
        <w:rPr>
          <w:color w:val="000000"/>
          <w:shd w:fill="FFFFFF" w:val="clear"/>
        </w:rPr>
        <w:t xml:space="preserve"> </w:t>
      </w:r>
      <w:r>
        <w:rPr>
          <w:rFonts w:ascii="Times New Roman;serif" w:hAnsi="Times New Roman;serif"/>
          <w:b w:val="false"/>
          <w:color w:val="000000"/>
          <w:sz w:val="22"/>
          <w:shd w:fill="FFFFFF" w:val="clear"/>
        </w:rPr>
        <w:t>(in thousands):</w:t>
      </w:r>
    </w:p>
    <w:tbl>
      <w:tblPr>
        <w:tblW w:w="6944" w:type="dxa"/>
        <w:jc w:val="center"/>
        <w:tblInd w:w="0" w:type="dxa"/>
        <w:tblLayout w:type="fixed"/>
        <w:tblCellMar>
          <w:top w:w="28" w:type="dxa"/>
          <w:left w:w="28" w:type="dxa"/>
          <w:bottom w:w="28" w:type="dxa"/>
          <w:right w:w="28" w:type="dxa"/>
        </w:tblCellMar>
      </w:tblPr>
      <w:tblGrid>
        <w:gridCol w:w="484"/>
        <w:gridCol w:w="424"/>
        <w:gridCol w:w="4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2"/>
        </w:rPr>
      </w:pPr>
      <w:r>
        <w:rPr>
          <w:rFonts w:ascii="Times New Roman;serif" w:hAnsi="Times New Roman;serif"/>
          <w:b w:val="false"/>
          <w:i/>
          <w:color w:val="000000"/>
          <w:sz w:val="22"/>
        </w:rPr>
        <w:t>Contract Balances</w:t>
      </w:r>
    </w:p>
    <w:p>
      <w:pPr>
        <w:pStyle w:val="TextBody"/>
        <w:bidi w:val="0"/>
        <w:spacing w:before="0" w:after="2"/>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w:t>
      </w:r>
    </w:p>
    <w:p>
      <w:pPr>
        <w:pStyle w:val="TextBody"/>
        <w:bidi w:val="0"/>
        <w:spacing w:lineRule="auto" w:line="288" w:before="0" w:after="2"/>
        <w:ind w:left="0" w:right="0" w:firstLine="720"/>
        <w:jc w:val="both"/>
        <w:rPr/>
      </w:pPr>
      <w:r>
        <w:rPr>
          <w:rFonts w:ascii="Times New Roman;serif" w:hAnsi="Times New Roman;serif"/>
          <w:b w:val="false"/>
          <w:color w:val="000000"/>
          <w:sz w:val="22"/>
        </w:rPr>
        <w:t>As of June 30, 2026, December 31, 2025, and December 31, 2024, total deferred revenue that includes our contract balances was $26.9 million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$22.7 million, and $18.9 million, respectively. </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During the three months ended June 30, 2026 and 2025, the Company recognized </w:t>
      </w:r>
      <w:r>
        <w:rPr>
          <w:rFonts w:ascii="Times New Roman;serif" w:hAnsi="Times New Roman;serif"/>
          <w:b w:val="false"/>
          <w:color w:val="000000"/>
          <w:sz w:val="22"/>
        </w:rPr>
        <w:t>$22.9 million</w:t>
      </w:r>
      <w:r>
        <w:rPr>
          <w:color w:val="000000"/>
          <w:shd w:fill="FFFFFF" w:val="clear"/>
        </w:rPr>
        <w:t xml:space="preserve"> </w:t>
      </w:r>
      <w:r>
        <w:rPr>
          <w:rFonts w:ascii="Times New Roman;serif" w:hAnsi="Times New Roman;serif"/>
          <w:b w:val="false"/>
          <w:color w:val="000000"/>
          <w:sz w:val="22"/>
          <w:shd w:fill="FFFFFF" w:val="clear"/>
        </w:rPr>
        <w:t xml:space="preserve">and $21.8 million, respectively, of revenue that was deferred as of March 31, 2026 and March 31, 2025, respectively. </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During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rPr>
        <w:t xml:space="preserve">June 30, 2026 </w:t>
      </w:r>
      <w:r>
        <w:rPr>
          <w:rFonts w:ascii="Times New Roman;serif" w:hAnsi="Times New Roman;serif"/>
          <w:b w:val="false"/>
          <w:color w:val="000000"/>
          <w:sz w:val="22"/>
          <w:shd w:fill="FFFFFF" w:val="clear"/>
        </w:rPr>
        <w:t xml:space="preserve">and 2025, the Company recognized </w:t>
      </w:r>
      <w:r>
        <w:rPr>
          <w:rFonts w:ascii="Times New Roman;serif" w:hAnsi="Times New Roman;serif"/>
          <w:b w:val="false"/>
          <w:color w:val="000000"/>
          <w:sz w:val="22"/>
        </w:rPr>
        <w:t>$21.7 million</w:t>
      </w:r>
      <w:r>
        <w:rPr>
          <w:color w:val="000000"/>
          <w:shd w:fill="FFFFFF" w:val="clear"/>
        </w:rPr>
        <w:t xml:space="preserve"> </w:t>
      </w:r>
      <w:r>
        <w:rPr>
          <w:rFonts w:ascii="Times New Roman;serif" w:hAnsi="Times New Roman;serif"/>
          <w:b w:val="false"/>
          <w:color w:val="000000"/>
          <w:sz w:val="22"/>
          <w:shd w:fill="FFFFFF" w:val="clear"/>
        </w:rPr>
        <w:t xml:space="preserve">and $18.1 million, respectively, of revenue that was deferred as of </w:t>
      </w:r>
      <w:r>
        <w:rPr>
          <w:rFonts w:ascii="Times New Roman;serif" w:hAnsi="Times New Roman;serif"/>
          <w:b w:val="false"/>
          <w:color w:val="000000"/>
          <w:sz w:val="22"/>
        </w:rPr>
        <w:t>December 31, 2025</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December 31, 2024</w:t>
      </w:r>
      <w:r>
        <w:rPr>
          <w:rFonts w:ascii="Times New Roman;serif" w:hAnsi="Times New Roman;serif"/>
          <w:b w:val="false"/>
          <w:color w:val="000000"/>
          <w:sz w:val="22"/>
          <w:shd w:fill="FFFFFF" w:val="clear"/>
        </w:rPr>
        <w:t xml:space="preserve">, respectively. </w:t>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left"/>
        <w:rPr>
          <w:rFonts w:ascii="Times New Roman;serif" w:hAnsi="Times New Roman;serif"/>
          <w:b w:val="false"/>
          <w:i/>
          <w:color w:val="000000"/>
          <w:sz w:val="22"/>
        </w:rPr>
      </w:pPr>
      <w:r>
        <w:rPr>
          <w:rFonts w:ascii="Times New Roman;serif" w:hAnsi="Times New Roman;serif"/>
          <w:b w:val="false"/>
          <w:i/>
          <w:color w:val="000000"/>
          <w:sz w:val="22"/>
        </w:rPr>
        <w:t>Sales Returns and Allowances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refund liabilities balances were $1.7 million and $3.5 million, respectively, and are included as a provision for sales returns and allowances within accrued expenses and other current liabilities in the unaudited condensed consolidated balance sheets.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returns asset balances were $0.7 million and $1.5 million, respectively, and are included within prepaid expenses and other current assets in the unaudited condensed consolidated balance sheets.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4"/>
        </w:rPr>
      </w:pPr>
      <w:r>
        <w:rPr>
          <w:rFonts w:ascii="Times New Roman;serif" w:hAnsi="Times New Roman;serif"/>
          <w:b/>
          <w:color w:val="000000"/>
          <w:sz w:val="24"/>
        </w:rPr>
        <w:t>4. INVENTORIES,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Inventories, net consist of the following</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2"/>
        <w:jc w:val="left"/>
        <w:rPr/>
      </w:pPr>
      <w:r>
        <w:rPr/>
      </w:r>
    </w:p>
    <w:tbl>
      <w:tblPr>
        <w:tblW w:w="5912" w:type="dxa"/>
        <w:jc w:val="center"/>
        <w:tblInd w:w="0" w:type="dxa"/>
        <w:tblLayout w:type="fixed"/>
        <w:tblCellMar>
          <w:top w:w="28" w:type="dxa"/>
          <w:left w:w="28" w:type="dxa"/>
          <w:bottom w:w="28" w:type="dxa"/>
          <w:right w:w="28" w:type="dxa"/>
        </w:tblCellMar>
      </w:tblPr>
      <w:tblGrid>
        <w:gridCol w:w="1168"/>
        <w:gridCol w:w="1025"/>
        <w:gridCol w:w="1031"/>
        <w:gridCol w:w="211"/>
        <w:gridCol w:w="736"/>
        <w:gridCol w:w="109"/>
        <w:gridCol w:w="109"/>
        <w:gridCol w:w="109"/>
        <w:gridCol w:w="109"/>
        <w:gridCol w:w="250"/>
        <w:gridCol w:w="873"/>
        <w:gridCol w:w="182"/>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11,834 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Fine jewelry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42,187 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Allowance for inventory obsolescence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53,315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53,238</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allowance for inventory obsolescence consists of the following (in thousands):</w:t>
      </w:r>
    </w:p>
    <w:p>
      <w:pPr>
        <w:pStyle w:val="TextBody"/>
        <w:bidi w:val="0"/>
        <w:spacing w:before="0" w:after="2"/>
        <w:jc w:val="left"/>
        <w:rPr/>
      </w:pPr>
      <w:r>
        <w:rPr/>
      </w:r>
    </w:p>
    <w:tbl>
      <w:tblPr>
        <w:tblW w:w="6158" w:type="dxa"/>
        <w:jc w:val="center"/>
        <w:tblInd w:w="0" w:type="dxa"/>
        <w:tblLayout w:type="fixed"/>
        <w:tblCellMar>
          <w:top w:w="28" w:type="dxa"/>
          <w:left w:w="28" w:type="dxa"/>
          <w:bottom w:w="28" w:type="dxa"/>
          <w:right w:w="28" w:type="dxa"/>
        </w:tblCellMar>
      </w:tblPr>
      <w:tblGrid>
        <w:gridCol w:w="1472"/>
        <w:gridCol w:w="1294"/>
        <w:gridCol w:w="1298"/>
        <w:gridCol w:w="211"/>
        <w:gridCol w:w="541"/>
        <w:gridCol w:w="109"/>
        <w:gridCol w:w="109"/>
        <w:gridCol w:w="109"/>
        <w:gridCol w:w="109"/>
        <w:gridCol w:w="211"/>
        <w:gridCol w:w="54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allowance for inventory obsolescence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Company had $13.2 million and $12.6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Accrued expenses and other current liabilities consist of the followin</w:t>
      </w:r>
      <w:r>
        <w:rPr>
          <w:rFonts w:ascii="Times New Roman;serif" w:hAnsi="Times New Roman;serif"/>
          <w:b w:val="false"/>
          <w:color w:val="000000"/>
          <w:sz w:val="22"/>
          <w:shd w:fill="FFFFFF" w:val="clear"/>
        </w:rPr>
        <w:t>g (in thousands):</w:t>
      </w:r>
    </w:p>
    <w:p>
      <w:pPr>
        <w:pStyle w:val="TextBody"/>
        <w:bidi w:val="0"/>
        <w:spacing w:before="0" w:after="0"/>
        <w:jc w:val="left"/>
        <w:rPr/>
      </w:pPr>
      <w:r>
        <w:rPr/>
      </w:r>
    </w:p>
    <w:tbl>
      <w:tblPr>
        <w:tblW w:w="7143" w:type="dxa"/>
        <w:jc w:val="center"/>
        <w:tblInd w:w="0" w:type="dxa"/>
        <w:tblLayout w:type="fixed"/>
        <w:tblCellMar>
          <w:top w:w="28" w:type="dxa"/>
          <w:left w:w="28" w:type="dxa"/>
          <w:bottom w:w="28" w:type="dxa"/>
          <w:right w:w="28" w:type="dxa"/>
        </w:tblCellMar>
      </w:tblPr>
      <w:tblGrid>
        <w:gridCol w:w="1614"/>
        <w:gridCol w:w="1415"/>
        <w:gridCol w:w="1426"/>
        <w:gridCol w:w="211"/>
        <w:gridCol w:w="736"/>
        <w:gridCol w:w="109"/>
        <w:gridCol w:w="109"/>
        <w:gridCol w:w="109"/>
        <w:gridCol w:w="109"/>
        <w:gridCol w:w="250"/>
        <w:gridCol w:w="873"/>
        <w:gridCol w:w="182"/>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payroll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Sales and other tax payable accrual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sales returns and allowances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 of TRA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26,298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35,732</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Included in accrued expenses and other current liabilities is a provision for sales returns and allowances. Returns are estimated based on past experience and current expectations and are recorded as an adjustment to revenue.</w:t>
      </w:r>
    </w:p>
    <w:p>
      <w:pPr>
        <w:pStyle w:val="TextBody"/>
        <w:bidi w:val="0"/>
        <w:spacing w:before="0" w:after="2"/>
        <w:jc w:val="both"/>
        <w:rPr/>
      </w:pPr>
      <w:r>
        <w:rPr/>
      </w:r>
    </w:p>
    <w:p>
      <w:pPr>
        <w:pStyle w:val="TextBody"/>
        <w:bidi w:val="0"/>
        <w:spacing w:lineRule="auto" w:line="300" w:before="0" w:after="2"/>
        <w:jc w:val="both"/>
        <w:rPr/>
      </w:pPr>
      <w:r>
        <w:rPr>
          <w:rFonts w:ascii="Times New Roman;serif" w:hAnsi="Times New Roman;serif"/>
          <w:b w:val="false"/>
          <w:color w:val="000000"/>
          <w:sz w:val="22"/>
        </w:rPr>
        <w:t>The provision for sales returns and allowances consists of the following</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2"/>
        <w:jc w:val="both"/>
        <w:rPr/>
      </w:pPr>
      <w:r>
        <w:rPr/>
      </w:r>
    </w:p>
    <w:tbl>
      <w:tblPr>
        <w:tblW w:w="4913" w:type="dxa"/>
        <w:jc w:val="center"/>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3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Returns and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Balance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1,661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1,545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6. LEASES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Total operating lease costs were as follows </w:t>
      </w:r>
      <w:r>
        <w:rPr>
          <w:rFonts w:ascii="Times New Roman;serif" w:hAnsi="Times New Roman;serif"/>
          <w:b w:val="false"/>
          <w:color w:val="000000"/>
          <w:sz w:val="22"/>
          <w:shd w:fill="FFFFFF" w:val="clear"/>
        </w:rPr>
        <w:t>(in thousands):</w:t>
      </w:r>
    </w:p>
    <w:p>
      <w:pPr>
        <w:pStyle w:val="TextBody"/>
        <w:bidi w:val="0"/>
        <w:spacing w:before="0" w:after="2"/>
        <w:jc w:val="both"/>
        <w:rPr/>
      </w:pPr>
      <w:r>
        <w:rPr/>
      </w:r>
    </w:p>
    <w:tbl>
      <w:tblPr>
        <w:tblW w:w="9086" w:type="dxa"/>
        <w:jc w:val="center"/>
        <w:tblInd w:w="0" w:type="dxa"/>
        <w:tblLayout w:type="fixed"/>
        <w:tblCellMar>
          <w:top w:w="28" w:type="dxa"/>
          <w:left w:w="28" w:type="dxa"/>
          <w:bottom w:w="28" w:type="dxa"/>
          <w:right w:w="28" w:type="dxa"/>
        </w:tblCellMar>
      </w:tblPr>
      <w:tblGrid>
        <w:gridCol w:w="586"/>
        <w:gridCol w:w="516"/>
        <w:gridCol w:w="518"/>
        <w:gridCol w:w="869"/>
        <w:gridCol w:w="869"/>
        <w:gridCol w:w="871"/>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2,958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2,785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5,784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5,429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shd w:fill="FFFFFF" w:val="clear"/>
        </w:rPr>
        <w:t xml:space="preserve">Cash paid for amounts included in the measurement of lease liabilities was </w:t>
      </w:r>
      <w:r>
        <w:rPr>
          <w:rFonts w:ascii="Times New Roman;serif" w:hAnsi="Times New Roman;serif"/>
          <w:b w:val="false"/>
          <w:color w:val="000000"/>
          <w:sz w:val="22"/>
        </w:rPr>
        <w:t>$5.1 million</w:t>
      </w:r>
      <w:r>
        <w:rPr>
          <w:color w:val="000000"/>
          <w:shd w:fill="FFFFFF" w:val="clear"/>
        </w:rPr>
        <w:t xml:space="preserve"> </w:t>
      </w:r>
      <w:r>
        <w:rPr>
          <w:rFonts w:ascii="Times New Roman;serif" w:hAnsi="Times New Roman;serif"/>
          <w:b w:val="false"/>
          <w:color w:val="000000"/>
          <w:sz w:val="22"/>
          <w:shd w:fill="FFFFFF" w:val="clear"/>
        </w:rPr>
        <w:t xml:space="preserve">and $4.8 million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rPr>
        <w:t xml:space="preserve">June 30, 2026 </w:t>
      </w:r>
      <w:r>
        <w:rPr>
          <w:rFonts w:ascii="Times New Roman;serif" w:hAnsi="Times New Roman;serif"/>
          <w:b w:val="false"/>
          <w:color w:val="000000"/>
          <w:sz w:val="22"/>
          <w:shd w:fill="FFFFFF" w:val="clear"/>
        </w:rPr>
        <w:t>and 2025, respectively.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7.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Grants of Restricted Stock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The following table summarizes the activity related to the Company's restricted stock units (</w:t>
      </w:r>
      <w:r>
        <w:rPr>
          <w:color w:val="000000"/>
        </w:rPr>
        <w:t>“</w:t>
      </w:r>
      <w:r>
        <w:rPr>
          <w:rFonts w:ascii="Times New Roman;serif" w:hAnsi="Times New Roman;serif"/>
          <w:b w:val="false"/>
          <w:color w:val="000000"/>
          <w:sz w:val="22"/>
          <w:shd w:fill="FFFFFF" w:val="clear"/>
        </w:rPr>
        <w:t>RSUs</w:t>
      </w:r>
      <w:r>
        <w:rPr>
          <w:color w:val="000000"/>
        </w:rPr>
        <w:t>”</w:t>
      </w:r>
      <w:r>
        <w:rPr>
          <w:rFonts w:ascii="Times New Roman;serif" w:hAnsi="Times New Roman;serif"/>
          <w:b w:val="false"/>
          <w:color w:val="000000"/>
          <w:sz w:val="22"/>
          <w:shd w:fill="FFFFFF" w:val="clear"/>
        </w:rPr>
        <w:t xml:space="preserve">) for the </w:t>
      </w:r>
      <w:r>
        <w:rPr>
          <w:rFonts w:ascii="Times New Roman;serif" w:hAnsi="Times New Roman;serif"/>
          <w:b w:val="false"/>
          <w:color w:val="000000"/>
          <w:sz w:val="22"/>
        </w:rPr>
        <w:t>six months ended June 30, 2026</w:t>
      </w:r>
      <w:r>
        <w:rPr>
          <w:rFonts w:ascii="Times New Roman;serif" w:hAnsi="Times New Roman;serif"/>
          <w:b w:val="false"/>
          <w:color w:val="000000"/>
          <w:sz w:val="22"/>
          <w:shd w:fill="FFFFFF" w:val="clear"/>
        </w:rPr>
        <w:t xml:space="preserve">: </w:t>
      </w:r>
    </w:p>
    <w:tbl>
      <w:tblPr>
        <w:tblW w:w="9001" w:type="dxa"/>
        <w:jc w:val="left"/>
        <w:tblInd w:w="0" w:type="dxa"/>
        <w:tblLayout w:type="fixed"/>
        <w:tblCellMar>
          <w:top w:w="28" w:type="dxa"/>
          <w:left w:w="28" w:type="dxa"/>
          <w:bottom w:w="28" w:type="dxa"/>
          <w:right w:w="28" w:type="dxa"/>
        </w:tblCellMar>
      </w:tblPr>
      <w:tblGrid>
        <w:gridCol w:w="1320"/>
        <w:gridCol w:w="1161"/>
        <w:gridCol w:w="1163"/>
        <w:gridCol w:w="525"/>
        <w:gridCol w:w="525"/>
        <w:gridCol w:w="501"/>
        <w:gridCol w:w="109"/>
        <w:gridCol w:w="109"/>
        <w:gridCol w:w="109"/>
        <w:gridCol w:w="836"/>
        <w:gridCol w:w="2028"/>
        <w:gridCol w:w="615"/>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 unvested</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3,611,467 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1,455,963 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(1,362,453)</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(238,152)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as of June 30, 2026, unvested</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3,466,825 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Total compensation expense for RSUs was </w:t>
      </w:r>
      <w:r>
        <w:rPr>
          <w:rFonts w:ascii="Times New Roman;serif" w:hAnsi="Times New Roman;serif"/>
          <w:b w:val="false"/>
          <w:color w:val="000000"/>
          <w:sz w:val="22"/>
        </w:rPr>
        <w:t>$1.3 million</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$2.8 million f</w:t>
      </w:r>
      <w:r>
        <w:rPr>
          <w:rFonts w:ascii="Times New Roman;serif" w:hAnsi="Times New Roman;serif"/>
          <w:b w:val="false"/>
          <w:color w:val="000000"/>
          <w:sz w:val="22"/>
          <w:shd w:fill="FFFFFF" w:val="clear"/>
        </w:rPr>
        <w:t xml:space="preserve">or the three and six months ended </w:t>
      </w:r>
      <w:r>
        <w:rPr>
          <w:rFonts w:ascii="Times New Roman;serif" w:hAnsi="Times New Roman;serif"/>
          <w:b w:val="false"/>
          <w:color w:val="000000"/>
          <w:sz w:val="22"/>
        </w:rPr>
        <w:t xml:space="preserve">June 30, 2026, respectively, and </w:t>
      </w:r>
      <w:r>
        <w:rPr>
          <w:rFonts w:ascii="Times New Roman;serif" w:hAnsi="Times New Roman;serif"/>
          <w:b w:val="false"/>
          <w:color w:val="000000"/>
          <w:sz w:val="22"/>
          <w:shd w:fill="FFFFFF" w:val="clear"/>
        </w:rPr>
        <w:t xml:space="preserve">$2.3 million and $4.5 million for the three and six months ended </w:t>
      </w:r>
      <w:r>
        <w:rPr>
          <w:rFonts w:ascii="Times New Roman;serif" w:hAnsi="Times New Roman;serif"/>
          <w:b w:val="false"/>
          <w:color w:val="000000"/>
          <w:sz w:val="22"/>
        </w:rPr>
        <w:t>June 30, 2025, respectively, and is</w:t>
      </w:r>
      <w:r>
        <w:rPr>
          <w:color w:val="000000"/>
          <w:shd w:fill="FFFFFF" w:val="clear"/>
        </w:rPr>
        <w:t xml:space="preserve"> </w:t>
      </w:r>
      <w:r>
        <w:rPr>
          <w:rFonts w:ascii="Times New Roman;serif" w:hAnsi="Times New Roman;serif"/>
          <w:b w:val="false"/>
          <w:color w:val="000000"/>
          <w:sz w:val="22"/>
          <w:shd w:fill="FFFFFF" w:val="clear"/>
        </w:rPr>
        <w:t xml:space="preserve">included in general and administrative expenses in the unaudited condensed </w:t>
      </w:r>
      <w:r>
        <w:rPr>
          <w:rFonts w:ascii="Times New Roman;serif" w:hAnsi="Times New Roman;serif"/>
          <w:b w:val="false"/>
          <w:color w:val="000000"/>
          <w:sz w:val="22"/>
        </w:rPr>
        <w:t>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total compensation cost related to unvested RSUs not yet recognized is $6.5 million and is expected to be recognized over a weighted-average period of approximately 2.1 years.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8</w:t>
      </w:r>
      <w:r>
        <w:rPr>
          <w:rFonts w:ascii="Times New Roman;serif" w:hAnsi="Times New Roman;serif"/>
          <w:b/>
          <w:color w:val="000000"/>
          <w:sz w:val="22"/>
          <w:shd w:fill="FFFFFF" w:val="clear"/>
        </w:rPr>
        <w:t>. INCOME TAXES AND TAX RECEIVABLE AGREEMENT</w:t>
      </w:r>
      <w:r>
        <w:rPr>
          <w:color w:val="000000"/>
        </w:rPr>
        <w:t xml:space="preserve"> </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Overview of Income Taxes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income taxed to the non-controlling interest holders is not reported by the Company in its unaudited condensed consolidated financial statements under GAAP.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left"/>
        <w:rPr/>
      </w:pPr>
      <w:r>
        <w:rPr/>
      </w:r>
    </w:p>
    <w:p>
      <w:pPr>
        <w:pStyle w:val="TextBody"/>
        <w:bidi w:val="0"/>
        <w:spacing w:lineRule="auto" w:line="300" w:before="0" w:after="20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Tax Provision and Deferred Tax Asset</w:t>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At the end of each interim period, Brilliant Earth Group, Inc. estimates the effective tax rate expected to be applicable for the full fiscal year. This differs from the method utilized at the end of an annual period. </w:t>
      </w:r>
      <w:r>
        <w:rPr>
          <w:rFonts w:ascii="Times New Roman;serif" w:hAnsi="Times New Roman;serif"/>
          <w:b w:val="false"/>
          <w:color w:val="000000"/>
          <w:sz w:val="22"/>
        </w:rPr>
        <w:t>The Company's effective tax rates of 0%</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(0.27)% for the six months ended</w:t>
      </w:r>
      <w:r>
        <w:rPr>
          <w:color w:val="000000"/>
          <w:shd w:fill="FFFFFF" w:val="clear"/>
        </w:rPr>
        <w:t xml:space="preserve"> </w:t>
      </w:r>
      <w:r>
        <w:rPr>
          <w:rFonts w:ascii="Times New Roman;serif" w:hAnsi="Times New Roman;serif"/>
          <w:b w:val="false"/>
          <w:color w:val="000000"/>
          <w:sz w:val="22"/>
        </w:rPr>
        <w:t xml:space="preserve">June 30, 2026 </w:t>
      </w:r>
      <w:r>
        <w:rPr>
          <w:rFonts w:ascii="Times New Roman;serif" w:hAnsi="Times New Roman;serif"/>
          <w:b w:val="false"/>
          <w:color w:val="000000"/>
          <w:sz w:val="22"/>
          <w:shd w:fill="FFFFFF" w:val="clear"/>
        </w:rPr>
        <w:t>and 2025</w:t>
      </w:r>
      <w:r>
        <w:rPr>
          <w:rFonts w:ascii="Times New Roman;serif" w:hAnsi="Times New Roman;serif"/>
          <w:b w:val="false"/>
          <w:color w:val="000000"/>
          <w:sz w:val="22"/>
        </w:rPr>
        <w:t>, respectively, differs from the U.S. federal statutory tax rate of 21% primarily due to income associated with the non-controlling interest, state tax expense and other permanent items.</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recognized a net change to its deferred tax asset and the related deferred tax asset valuation allowance of $0.2 million during the six months ended June 30, 2026. The decrease was related to changes related primarily to the outside basis difference of Brilliant Earth Group, Inc's investment in Brilliant Earth, LLC. </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In assessing the realizability of deferred tax assets for the six months ended</w:t>
      </w:r>
      <w:r>
        <w:rPr>
          <w:color w:val="000000"/>
          <w:shd w:fill="FFFFFF" w:val="clear"/>
        </w:rPr>
        <w:t xml:space="preserve"> </w:t>
      </w:r>
      <w:r>
        <w:rPr>
          <w:rFonts w:ascii="Times New Roman;serif" w:hAnsi="Times New Roman;serif"/>
          <w:b w:val="false"/>
          <w:color w:val="000000"/>
          <w:sz w:val="22"/>
        </w:rPr>
        <w:t>June 30, 2026, management determined that it was more likely than not that the deferred tax assets will not be realized, and accordingly, has continued to record a full valuation allowance.</w:t>
      </w:r>
    </w:p>
    <w:p>
      <w:pPr>
        <w:pStyle w:val="TextBody"/>
        <w:bidi w:val="0"/>
        <w:spacing w:lineRule="auto" w:line="300" w:before="0" w:after="2"/>
        <w:jc w:val="both"/>
        <w:rPr/>
      </w:pPr>
      <w:r>
        <w:rPr>
          <w:rFonts w:ascii="Times New Roman;serif" w:hAnsi="Times New Roman;serif"/>
          <w:b w:val="false"/>
          <w:color w:val="000000"/>
          <w:sz w:val="22"/>
          <w:shd w:fill="FFFFFF" w:val="clear"/>
        </w:rPr>
        <w:br/>
      </w:r>
      <w:r>
        <w:rPr>
          <w:rFonts w:ascii="Times New Roman;serif" w:hAnsi="Times New Roman;serif"/>
          <w:b/>
          <w:i/>
          <w:color w:val="000000"/>
          <w:sz w:val="22"/>
          <w:shd w:fill="FFFFFF" w:val="clear"/>
        </w:rPr>
        <w:t xml:space="preserve">Tax Receivable Agreement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 likely than not that the tax benefit will be realized. </w:t>
      </w:r>
    </w:p>
    <w:p>
      <w:pPr>
        <w:pStyle w:val="TextBody"/>
        <w:bidi w:val="0"/>
        <w:spacing w:before="0" w:after="0"/>
        <w:ind w:left="0" w:right="0" w:firstLine="72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addition, as part of the IPO, the Company entered into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loss. Similarly, the effect of subsequent changes in the enacted tax rates will be included in net loss. In connection with the Company concluding it was more likely than not that its deferred tax assets would not be realized and a full valuation allowance for its deferred tax assets was required, it was also determined a TRA liability was not probable at the current time.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9.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the Company may be subject from time to time to various proceedings, lawsuits, disputes or claims. In addition, the Company is regularly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2"/>
        </w:rPr>
        <w:t xml:space="preserve">statements and records, and other similar allegations. </w:t>
      </w:r>
      <w:r>
        <w:rPr>
          <w:rFonts w:ascii="Aptos;sans-serif" w:hAnsi="Aptos;sans-serif"/>
          <w:b w:val="false"/>
          <w:color w:val="000000"/>
          <w:sz w:val="24"/>
          <w:shd w:fill="FFFFFF" w:val="clear"/>
        </w:rPr>
        <w:t>T</w:t>
      </w:r>
      <w:r>
        <w:rPr>
          <w:rFonts w:ascii="Times New Roman;serif" w:hAnsi="Times New Roman;serif"/>
          <w:b w:val="false"/>
          <w:color w:val="000000"/>
          <w:sz w:val="22"/>
          <w:shd w:fill="FFFFFF" w:val="clear"/>
        </w:rPr>
        <w:t>he parties reached an agreement to resolve the matter and</w:t>
      </w:r>
      <w:r>
        <w:rPr>
          <w:rFonts w:ascii="Times New Roman;serif" w:hAnsi="Times New Roman;serif"/>
          <w:b w:val="false"/>
          <w:color w:val="000000"/>
          <w:sz w:val="22"/>
        </w:rPr>
        <w:t>,</w:t>
      </w:r>
      <w:r>
        <w:rPr>
          <w:color w:val="51A7F9"/>
        </w:rPr>
        <w:t xml:space="preserve"> </w:t>
      </w:r>
      <w:r>
        <w:rPr>
          <w:rFonts w:ascii="Times New Roman;serif" w:hAnsi="Times New Roman;serif"/>
          <w:b w:val="false"/>
          <w:color w:val="000000"/>
          <w:sz w:val="22"/>
          <w:shd w:fill="FFFFFF" w:val="clear"/>
        </w:rPr>
        <w:t>a</w:t>
      </w:r>
      <w:r>
        <w:rPr>
          <w:rFonts w:ascii="Times New Roman;serif" w:hAnsi="Times New Roman;serif"/>
          <w:b w:val="false"/>
          <w:color w:val="000000"/>
          <w:sz w:val="22"/>
        </w:rPr>
        <w:t>s of March 26, 2026, executed a stipulation of settlement and release of claims</w:t>
      </w:r>
      <w:r>
        <w:rPr>
          <w:rFonts w:ascii="Times New Roman;serif" w:hAnsi="Times New Roman;serif"/>
          <w:b w:val="false"/>
          <w:color w:val="51A7F9"/>
          <w:sz w:val="22"/>
        </w:rPr>
        <w:t xml:space="preserve">. </w:t>
      </w:r>
      <w:r>
        <w:rPr>
          <w:rFonts w:ascii="Times New Roman;serif" w:hAnsi="Times New Roman;serif"/>
          <w:b w:val="false"/>
          <w:color w:val="000000"/>
          <w:sz w:val="22"/>
          <w:shd w:fill="FFFFFF" w:val="clear"/>
        </w:rPr>
        <w:t>O</w:t>
      </w:r>
      <w:r>
        <w:rPr>
          <w:rFonts w:ascii="Times New Roman;serif" w:hAnsi="Times New Roman;serif"/>
          <w:b w:val="false"/>
          <w:color w:val="000000"/>
          <w:sz w:val="22"/>
        </w:rPr>
        <w:t>n July 28, 2026, the court preliminarily approved the stipulation of settlement and scheduled a hearing on final approval for December 2, 2026.</w:t>
      </w:r>
      <w:r>
        <w:rPr>
          <w:color w:val="000000"/>
        </w:rPr>
        <w:t xml:space="preserve"> </w:t>
      </w:r>
      <w:r>
        <w:rPr>
          <w:rFonts w:ascii="Times New Roman;serif" w:hAnsi="Times New Roman;serif"/>
          <w:b w:val="false"/>
          <w:color w:val="000000"/>
          <w:sz w:val="22"/>
        </w:rPr>
        <w:t>There can be no assurance that the settlement will receive final approval from the court. If the settlement receives final approval,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w:t>
      </w:r>
      <w:r>
        <w:rPr>
          <w:rFonts w:ascii="Times New Roman;serif" w:hAnsi="Times New Roman;serif"/>
          <w:b w:val="false"/>
          <w:color w:val="000000"/>
          <w:sz w:val="22"/>
          <w:shd w:fill="FFFFFF" w:val="clear"/>
        </w:rPr>
        <w:t>ms.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2"/>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2"/>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2025, as disclosed in our 2025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w:t>
      </w:r>
      <w:r>
        <w:rPr>
          <w:color w:val="000000"/>
        </w:rPr>
        <w:t>“</w:t>
      </w:r>
      <w:r>
        <w:rPr>
          <w:rFonts w:ascii="Times New Roman;serif" w:hAnsi="Times New Roman;serif"/>
          <w:b w:val="false"/>
          <w:i/>
          <w:color w:val="000000"/>
          <w:sz w:val="22"/>
        </w:rPr>
        <w:t>Cautionary Note Regarding Forward-Looking Statements,</w:t>
      </w:r>
      <w:r>
        <w:rPr>
          <w:color w:val="000000"/>
        </w:rPr>
        <w:t xml:space="preserve">” </w:t>
      </w:r>
      <w:r>
        <w:rPr>
          <w:rFonts w:ascii="Times New Roman;serif" w:hAnsi="Times New Roman;serif"/>
          <w:b w:val="false"/>
          <w:i/>
          <w:color w:val="000000"/>
          <w:sz w:val="22"/>
        </w:rPr>
        <w:t xml:space="preserve">and </w:t>
      </w:r>
      <w:r>
        <w:rPr>
          <w:color w:val="000000"/>
        </w:rPr>
        <w:t>“</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i/>
          <w:color w:val="000000"/>
          <w:sz w:val="22"/>
        </w:rPr>
        <w:t xml:space="preserve">in this Quarterly Report on Form 10-Q and Part I, Item 1A. </w:t>
      </w:r>
      <w:r>
        <w:rPr>
          <w:color w:val="000000"/>
        </w:rPr>
        <w:t>“</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i/>
          <w:color w:val="000000"/>
          <w:sz w:val="22"/>
        </w:rPr>
        <w:t xml:space="preserve">in our 2025 Form 10-K. We assume no obligation to update any of these forward-looking statements.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Company Overview</w:t>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both"/>
        <w:rPr/>
      </w:pPr>
      <w:r>
        <w:rPr/>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 xml:space="preserve">Below is a summary of our performance for the </w:t>
      </w:r>
      <w:r>
        <w:rPr>
          <w:rFonts w:ascii="Times New Roman;serif" w:hAnsi="Times New Roman;serif"/>
          <w:b w:val="false"/>
          <w:color w:val="000000"/>
          <w:sz w:val="22"/>
        </w:rPr>
        <w:t>three months ended June 30, 2026</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sales of $115.1 million, up 5.7%</w:t>
      </w:r>
      <w:r>
        <w:rPr>
          <w:color w:val="000000"/>
          <w:shd w:fill="FFFFFF" w:val="clear"/>
        </w:rPr>
        <w:t xml:space="preserve"> </w:t>
      </w:r>
      <w:r>
        <w:rPr>
          <w:rFonts w:ascii="Times New Roman;serif" w:hAnsi="Times New Roman;serif"/>
          <w:b w:val="false"/>
          <w:color w:val="000000"/>
          <w:sz w:val="22"/>
          <w:shd w:fill="FFFFFF" w:val="clear"/>
        </w:rPr>
        <w:t>compared to</w:t>
      </w:r>
      <w:r>
        <w:rPr>
          <w:color w:val="000000"/>
        </w:rPr>
        <w:t xml:space="preserve"> </w:t>
      </w:r>
      <w:r>
        <w:rPr>
          <w:rFonts w:ascii="Times New Roman;serif" w:hAnsi="Times New Roman;serif"/>
          <w:b w:val="false"/>
          <w:color w:val="000000"/>
          <w:sz w:val="22"/>
        </w:rPr>
        <w:t>$108.9 million for the three months ended June 30, 2025;</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2"/>
        </w:rPr>
        <w:t>Net income of</w:t>
      </w:r>
      <w:r>
        <w:rPr>
          <w:color w:val="000000"/>
          <w:shd w:fill="FFFFFF" w:val="clear"/>
        </w:rPr>
        <w:t xml:space="preserve"> </w:t>
      </w:r>
      <w:r>
        <w:rPr>
          <w:rFonts w:ascii="Times New Roman;serif" w:hAnsi="Times New Roman;serif"/>
          <w:b w:val="false"/>
          <w:color w:val="000000"/>
          <w:sz w:val="22"/>
          <w:shd w:fill="FFFFFF" w:val="clear"/>
        </w:rPr>
        <w:t>$</w:t>
      </w:r>
      <w:r>
        <w:rPr>
          <w:rFonts w:ascii="Times New Roman;serif" w:hAnsi="Times New Roman;serif"/>
          <w:b w:val="false"/>
          <w:color w:val="000000"/>
          <w:sz w:val="22"/>
        </w:rPr>
        <w:t>0.8 million,</w:t>
      </w:r>
      <w:r>
        <w:rPr>
          <w:color w:val="000000"/>
          <w:shd w:fill="FFFFFF" w:val="clear"/>
        </w:rPr>
        <w:t xml:space="preserve"> </w:t>
      </w:r>
      <w:r>
        <w:rPr>
          <w:rFonts w:ascii="Times New Roman;serif" w:hAnsi="Times New Roman;serif"/>
          <w:b w:val="false"/>
          <w:color w:val="000000"/>
          <w:sz w:val="22"/>
        </w:rPr>
        <w:t>up</w:t>
      </w:r>
      <w:r>
        <w:rPr>
          <w:color w:val="000000"/>
          <w:shd w:fill="FFFFFF" w:val="clear"/>
        </w:rPr>
        <w:t xml:space="preserve"> </w:t>
      </w:r>
      <w:r>
        <w:rPr>
          <w:rFonts w:ascii="Times New Roman;serif" w:hAnsi="Times New Roman;serif"/>
          <w:b w:val="false"/>
          <w:color w:val="000000"/>
          <w:sz w:val="22"/>
        </w:rPr>
        <w:t>175.7% compared to net loss of $1.1 million for the three months ended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t>
      </w:r>
      <w:r>
        <w:rPr>
          <w:rFonts w:ascii="Times New Roman;serif" w:hAnsi="Times New Roman;serif"/>
          <w:b w:val="false"/>
          <w:color w:val="000000"/>
          <w:sz w:val="22"/>
          <w:shd w:fill="FFFFFF" w:val="clear"/>
        </w:rPr>
        <w:t xml:space="preserve">t income margin of </w:t>
      </w:r>
      <w:r>
        <w:rPr>
          <w:rFonts w:ascii="Times New Roman;serif" w:hAnsi="Times New Roman;serif"/>
          <w:b w:val="false"/>
          <w:color w:val="000000"/>
          <w:sz w:val="22"/>
        </w:rPr>
        <w:t>0.7%</w:t>
      </w:r>
      <w:r>
        <w:rPr>
          <w:rFonts w:ascii="Times New Roman;serif" w:hAnsi="Times New Roman;serif"/>
          <w:b w:val="false"/>
          <w:color w:val="000000"/>
          <w:sz w:val="22"/>
          <w:shd w:fill="FFFFFF" w:val="clear"/>
        </w:rPr>
        <w:t>, compa</w:t>
      </w:r>
      <w:r>
        <w:rPr>
          <w:rFonts w:ascii="Times New Roman;serif" w:hAnsi="Times New Roman;serif"/>
          <w:b w:val="false"/>
          <w:color w:val="000000"/>
          <w:sz w:val="22"/>
        </w:rPr>
        <w:t>red to net loss margin of 1.0% for the three months ended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of $5.8 million, up 81.3% compared to $3.2 million for the three months ended June 30, 2025;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margin of 5.0%, compared to 2.9% for the three months ended June 30,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Below is a summary of our performance for the </w:t>
      </w:r>
      <w:r>
        <w:rPr>
          <w:rFonts w:ascii="Times New Roman;serif" w:hAnsi="Times New Roman;serif"/>
          <w:b w:val="false"/>
          <w:color w:val="000000"/>
          <w:sz w:val="22"/>
        </w:rPr>
        <w:t>six months ended June 30, 2026</w:t>
      </w:r>
      <w:r>
        <w:rPr>
          <w:rFonts w:ascii="Times New Roman;serif" w:hAnsi="Times New Roman;serif"/>
          <w:b w:val="false"/>
          <w:color w:val="000000"/>
          <w:sz w:val="22"/>
          <w:shd w:fill="FFFFFF" w:val="clear"/>
        </w:rPr>
        <w:t>:</w:t>
      </w:r>
    </w:p>
    <w:p>
      <w:pPr>
        <w:pStyle w:val="TextBody"/>
        <w:bidi w:val="0"/>
        <w:spacing w:before="0" w:after="2"/>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sales of $214.6 million, up 5.8%</w:t>
      </w:r>
      <w:r>
        <w:rPr>
          <w:color w:val="000000"/>
          <w:shd w:fill="FFFFFF" w:val="clear"/>
        </w:rPr>
        <w:t xml:space="preserve"> </w:t>
      </w:r>
      <w:r>
        <w:rPr>
          <w:rFonts w:ascii="Times New Roman;serif" w:hAnsi="Times New Roman;serif"/>
          <w:b w:val="false"/>
          <w:color w:val="000000"/>
          <w:sz w:val="22"/>
          <w:shd w:fill="FFFFFF" w:val="clear"/>
        </w:rPr>
        <w:t>compared to</w:t>
      </w:r>
      <w:r>
        <w:rPr>
          <w:color w:val="000000"/>
        </w:rPr>
        <w:t xml:space="preserve"> </w:t>
      </w:r>
      <w:r>
        <w:rPr>
          <w:rFonts w:ascii="Times New Roman;serif" w:hAnsi="Times New Roman;serif"/>
          <w:b w:val="false"/>
          <w:color w:val="000000"/>
          <w:sz w:val="22"/>
        </w:rPr>
        <w:t>$202.8 million for the six months ended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loss of $7.6 million,</w:t>
      </w:r>
      <w:r>
        <w:rPr>
          <w:color w:val="000000"/>
          <w:shd w:fill="FFFFFF" w:val="clear"/>
        </w:rPr>
        <w:t xml:space="preserve"> </w:t>
      </w:r>
      <w:r>
        <w:rPr>
          <w:rFonts w:ascii="Times New Roman;serif" w:hAnsi="Times New Roman;serif"/>
          <w:b w:val="false"/>
          <w:color w:val="000000"/>
          <w:sz w:val="22"/>
          <w:shd w:fill="FFFFFF" w:val="clear"/>
        </w:rPr>
        <w:t xml:space="preserve">down </w:t>
      </w:r>
      <w:r>
        <w:rPr>
          <w:rFonts w:ascii="Times New Roman;serif" w:hAnsi="Times New Roman;serif"/>
          <w:b w:val="false"/>
          <w:color w:val="000000"/>
          <w:sz w:val="22"/>
        </w:rPr>
        <w:t>73.8% compared to net loss of $4.4 million for the six months ended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t>
      </w:r>
      <w:r>
        <w:rPr>
          <w:rFonts w:ascii="Times New Roman;serif" w:hAnsi="Times New Roman;serif"/>
          <w:b w:val="false"/>
          <w:color w:val="000000"/>
          <w:sz w:val="22"/>
          <w:shd w:fill="FFFFFF" w:val="clear"/>
        </w:rPr>
        <w:t xml:space="preserve">t loss margin of </w:t>
      </w:r>
      <w:r>
        <w:rPr>
          <w:rFonts w:ascii="Times New Roman;serif" w:hAnsi="Times New Roman;serif"/>
          <w:b w:val="false"/>
          <w:color w:val="000000"/>
          <w:sz w:val="22"/>
        </w:rPr>
        <w:t>3.5%</w:t>
      </w:r>
      <w:r>
        <w:rPr>
          <w:rFonts w:ascii="Times New Roman;serif" w:hAnsi="Times New Roman;serif"/>
          <w:b w:val="false"/>
          <w:color w:val="000000"/>
          <w:sz w:val="22"/>
          <w:shd w:fill="FFFFFF" w:val="clear"/>
        </w:rPr>
        <w:t>, compa</w:t>
      </w:r>
      <w:r>
        <w:rPr>
          <w:rFonts w:ascii="Times New Roman;serif" w:hAnsi="Times New Roman;serif"/>
          <w:b w:val="false"/>
          <w:color w:val="000000"/>
          <w:sz w:val="22"/>
        </w:rPr>
        <w:t>red to net loss margin of 2.2% for the six months ended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of $1.1 million, </w:t>
      </w:r>
      <w:r>
        <w:rPr>
          <w:rFonts w:ascii="Times New Roman;serif" w:hAnsi="Times New Roman;serif"/>
          <w:b w:val="false"/>
          <w:color w:val="000000"/>
          <w:sz w:val="22"/>
          <w:shd w:fill="FFFFFF" w:val="clear"/>
        </w:rPr>
        <w:t>down</w:t>
      </w:r>
      <w:r>
        <w:rPr>
          <w:color w:val="000000"/>
        </w:rPr>
        <w:t xml:space="preserve"> </w:t>
      </w:r>
      <w:r>
        <w:rPr>
          <w:rFonts w:ascii="Times New Roman;serif" w:hAnsi="Times New Roman;serif"/>
          <w:b w:val="false"/>
          <w:color w:val="000000"/>
          <w:sz w:val="22"/>
        </w:rPr>
        <w:t>75.0%, compared to $4.3 million for the six months ended June 30, 2025;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margin of 0.5%, compared to 2.1% for the six months ended June 30,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 xml:space="preserve">Key Factors Affecting Our Performance </w:t>
      </w:r>
    </w:p>
    <w:p>
      <w:pPr>
        <w:pStyle w:val="TextBody"/>
        <w:bidi w:val="0"/>
        <w:spacing w:before="0" w:after="2"/>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Increase Brand Awareness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us to continue to expand across categories and channels, to deepen relationships with consumers, and to expand our presence in the U.S. and international markets.</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Cost-Effective Acquisition of New Customers and Retention of Existing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on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Continue Successfully Growing and Managing our Omnichannel Presence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drive future growth and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Successfully Introduce New Products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w:t>
      </w:r>
      <w:r>
        <w:rPr>
          <w:rFonts w:ascii="Times New Roman;serif" w:hAnsi="Times New Roman;serif"/>
          <w:b w:val="false"/>
          <w:color w:val="000000"/>
          <w:sz w:val="22"/>
          <w:shd w:fill="FFFFFF" w:val="clear"/>
        </w:rPr>
        <w:t>Expanding partnerships and brand collaborations will also expand our reach, broaden our existing assortment, and reinforce our brand ethos.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International Expansion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We are in the early stages of selling globally, and a larger geographic footprint will help drive future growth. Our proof-points from our sales to customers fr</w:t>
      </w:r>
      <w:r>
        <w:rPr>
          <w:rFonts w:ascii="Times New Roman;serif" w:hAnsi="Times New Roman;serif"/>
          <w:b w:val="false"/>
          <w:color w:val="000000"/>
          <w:sz w:val="22"/>
          <w:shd w:fill="FFFFFF" w:val="clear"/>
        </w:rPr>
        <w:t>om over 50 countries, pro</w:t>
      </w:r>
      <w:r>
        <w:rPr>
          <w:rFonts w:ascii="Times New Roman;serif" w:hAnsi="Times New Roman;serif"/>
          <w:b w:val="false"/>
          <w:color w:val="000000"/>
          <w:sz w:val="22"/>
        </w:rPr>
        <w:t xml:space="preserve">vide encouraging signs for future global expansion. We see strong potential in launching e-commerce in new overseas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Operational and Marketing Efficiency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non-restricted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Macroeconomic Trends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We believe we are well 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 </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Increases in prices of gold, platinum and other precious metals have also had an impact on our materials costs and have the potential to further impact our business. In addition, many of the materials that go into our products are sourced and manufactured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Any deterioration in macroeconomic conditions resulting from uncertainties and effects from tariffs, increases in the costs of materials, especially of gold, platinum and other precious metals, increased congestion and/or new import/export restrictions at ports that we rely on for our business, delays or disruptions in the delivery of materials, or increases in costs of the delivery of materials could adversely impact our business, financial condition, and operating results.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U.S. federal government has in the past experienced, and may in the future experience, shutdowns, funding gaps, or other fiscal disruptions. Such disruptions may result in broader economic uncertainty that could affect demand for our products, disrupt supply chains, or result in reduced discretionary spending by our customers. </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current inflationary environment and changes in macro-level consumer spending trends, due to volatile macro-economic conditions, have had a negative impact on sales and could further negatively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changes in the interest rate environment have impacted the Company's interest income earned on its cash balances. To the extent we need to raise additional capital in the future, prevailing interest rates and capital market conditions, including any tightening of credit availability, could affect the terms on which financing may be available, if at all.</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Seasonality</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larger share of our annual revenues and profits traditionally occur in the fourth quarter because it includes the November and December holiday sales period.</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 description of the components of our results of operations, refer to Part II, Item 7, “Management’s Discussion and Analysis of Financial Condition and Results of Operations” of our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results of operations data in the following table for the periods presented have been derived from the unaudited condensed consolidated financial statements included elsewhere in this Quarterly Report on Form 10-Q.</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i/>
          <w:color w:val="000000"/>
          <w:sz w:val="22"/>
        </w:rPr>
      </w:pPr>
      <w:r>
        <w:rPr>
          <w:rFonts w:ascii="Times New Roman;serif" w:hAnsi="Times New Roman;serif"/>
          <w:b/>
          <w:i/>
          <w:color w:val="000000"/>
          <w:sz w:val="22"/>
        </w:rPr>
        <w:t>Comparison of Three Months Ended June 30, 2026 and 2025</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statements of operations for the three months ended June 30, 2026 and 2025, including amounts and percentages of net sales for each period and the period-to-period change in dollars and perce</w:t>
      </w:r>
      <w:r>
        <w:rPr>
          <w:rFonts w:ascii="Times New Roman;serif" w:hAnsi="Times New Roman;serif"/>
          <w:b w:val="false"/>
          <w:color w:val="000000"/>
          <w:sz w:val="22"/>
          <w:shd w:fill="FFFFFF" w:val="clear"/>
        </w:rPr>
        <w:t>nt (in thousands):</w:t>
      </w:r>
    </w:p>
    <w:tbl>
      <w:tblPr>
        <w:tblW w:w="10205" w:type="dxa"/>
        <w:jc w:val="left"/>
        <w:tblInd w:w="0" w:type="dxa"/>
        <w:tblLayout w:type="fixed"/>
        <w:tblCellMar>
          <w:top w:w="28" w:type="dxa"/>
          <w:left w:w="28" w:type="dxa"/>
          <w:bottom w:w="28" w:type="dxa"/>
          <w:right w:w="28" w:type="dxa"/>
        </w:tblCellMar>
      </w:tblPr>
      <w:tblGrid>
        <w:gridCol w:w="1084"/>
        <w:gridCol w:w="622"/>
        <w:gridCol w:w="481"/>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616"/>
        <w:gridCol w:w="109"/>
        <w:gridCol w:w="109"/>
        <w:gridCol w:w="109"/>
        <w:gridCol w:w="109"/>
        <w:gridCol w:w="307"/>
        <w:gridCol w:w="309"/>
        <w:gridCol w:w="473"/>
      </w:tblGrid>
      <w:tr>
        <w:trPr/>
        <w:tc>
          <w:tcPr>
            <w:tcW w:w="108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4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100.0 </w:t>
            </w:r>
          </w:p>
        </w:tc>
        <w:tc>
          <w:tcPr>
            <w:tcW w:w="4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allocable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4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allocable to Brilliant Earth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Net Sales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Net sales for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rPr>
        <w:t>June 30, 2026 increased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$6.2 million</w:t>
      </w:r>
      <w:r>
        <w:rPr>
          <w:rFonts w:ascii="Times New Roman;serif" w:hAnsi="Times New Roman;serif"/>
          <w:b w:val="false"/>
          <w:color w:val="000000"/>
          <w:sz w:val="22"/>
          <w:shd w:fill="FFFFFF" w:val="clear"/>
        </w:rPr>
        <w:t xml:space="preserve">, or </w:t>
      </w:r>
      <w:r>
        <w:rPr>
          <w:rFonts w:ascii="Times New Roman;serif" w:hAnsi="Times New Roman;serif"/>
          <w:b w:val="false"/>
          <w:color w:val="000000"/>
          <w:sz w:val="22"/>
        </w:rPr>
        <w:t xml:space="preserve">5.7%, </w:t>
      </w:r>
      <w:r>
        <w:rPr>
          <w:rFonts w:ascii="Times New Roman;serif" w:hAnsi="Times New Roman;serif"/>
          <w:b w:val="false"/>
          <w:color w:val="000000"/>
          <w:sz w:val="22"/>
          <w:shd w:fill="FFFFFF" w:val="clear"/>
        </w:rPr>
        <w:t xml:space="preserve">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2025. The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in net sales was due to an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7.9%</w:t>
      </w:r>
      <w:r>
        <w:rPr>
          <w:color w:val="000000"/>
          <w:shd w:fill="FFFFFF" w:val="clear"/>
        </w:rPr>
        <w:t xml:space="preserve"> </w:t>
      </w:r>
      <w:r>
        <w:rPr>
          <w:rFonts w:ascii="Times New Roman;serif" w:hAnsi="Times New Roman;serif"/>
          <w:b w:val="false"/>
          <w:color w:val="000000"/>
          <w:sz w:val="22"/>
          <w:shd w:fill="FFFFFF" w:val="clear"/>
        </w:rPr>
        <w:t xml:space="preserve">in AOV partially offset by a </w:t>
      </w:r>
      <w:r>
        <w:rPr>
          <w:rFonts w:ascii="Times New Roman;serif" w:hAnsi="Times New Roman;serif"/>
          <w:b w:val="false"/>
          <w:color w:val="000000"/>
          <w:sz w:val="22"/>
        </w:rPr>
        <w:t xml:space="preserve">decrease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2.1%</w:t>
      </w:r>
      <w:r>
        <w:rPr>
          <w:color w:val="000000"/>
          <w:shd w:fill="FFFFFF" w:val="clear"/>
        </w:rPr>
        <w:t xml:space="preserve"> </w:t>
      </w:r>
      <w:r>
        <w:rPr>
          <w:rFonts w:ascii="Times New Roman;serif" w:hAnsi="Times New Roman;serif"/>
          <w:b w:val="false"/>
          <w:color w:val="000000"/>
          <w:sz w:val="22"/>
          <w:shd w:fill="FFFFFF" w:val="clear"/>
        </w:rPr>
        <w:t>in order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in AOV was driven by a larger sales mix of higher-priced items across our product offerings and selective price increases as a result of the higher cost of precious metals.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2.1% decrease in order volumes was due to a decline in unit volumes for lower price point products. </w:t>
      </w:r>
    </w:p>
    <w:p>
      <w:pPr>
        <w:pStyle w:val="TextBody"/>
        <w:bidi w:val="0"/>
        <w:spacing w:before="0" w:after="2"/>
        <w:jc w:val="both"/>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Gross Profit</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Gross profit for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2026 </w:t>
      </w:r>
      <w:r>
        <w:rPr>
          <w:rFonts w:ascii="Times New Roman;serif" w:hAnsi="Times New Roman;serif"/>
          <w:b w:val="false"/>
          <w:color w:val="000000"/>
          <w:sz w:val="22"/>
        </w:rPr>
        <w:t>increased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$3.1 million</w:t>
      </w:r>
      <w:r>
        <w:rPr>
          <w:rFonts w:ascii="Times New Roman;serif" w:hAnsi="Times New Roman;serif"/>
          <w:b w:val="false"/>
          <w:color w:val="000000"/>
          <w:sz w:val="22"/>
          <w:shd w:fill="FFFFFF" w:val="clear"/>
        </w:rPr>
        <w:t xml:space="preserve">, or 4.9%, 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2025. Gross margin, expressed as a percentage and calculated as gross profit divided by net sales,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40 basis points for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2026 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2025. The decrease in gross margin was largely driven by costs related to higher gold and platinum prices in comparison to the prior year, </w:t>
      </w:r>
      <w:r>
        <w:rPr>
          <w:rFonts w:ascii="Times New Roman;serif" w:hAnsi="Times New Roman;serif"/>
          <w:b w:val="false"/>
          <w:color w:val="000000"/>
          <w:sz w:val="22"/>
        </w:rPr>
        <w:t>partially offset by the continued optimization of our pricing engine, procurement efficiencies, and other efforts to mitigate the impact of tariffs and higher metal costs.</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Operating Expenses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Operating expenses for the three months ended June 30, 2026</w:t>
      </w:r>
      <w:r>
        <w:rPr>
          <w:color w:val="000000"/>
          <w:shd w:fill="FFFFFF" w:val="clear"/>
        </w:rPr>
        <w:t xml:space="preserve"> </w:t>
      </w:r>
      <w:r>
        <w:rPr>
          <w:rFonts w:ascii="Times New Roman;serif" w:hAnsi="Times New Roman;serif"/>
          <w:b w:val="false"/>
          <w:color w:val="000000"/>
          <w:sz w:val="22"/>
        </w:rPr>
        <w:t>increased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$1.5 million</w:t>
      </w:r>
      <w:r>
        <w:rPr>
          <w:rFonts w:ascii="Times New Roman;serif" w:hAnsi="Times New Roman;serif"/>
          <w:b w:val="false"/>
          <w:color w:val="000000"/>
          <w:sz w:val="22"/>
          <w:shd w:fill="FFFFFF" w:val="clear"/>
        </w:rPr>
        <w:t xml:space="preserve">, or </w:t>
      </w:r>
      <w:r>
        <w:rPr>
          <w:rFonts w:ascii="Times New Roman;serif" w:hAnsi="Times New Roman;serif"/>
          <w:b w:val="false"/>
          <w:color w:val="000000"/>
          <w:sz w:val="22"/>
        </w:rPr>
        <w:t>2.3%</w:t>
      </w:r>
      <w:r>
        <w:rPr>
          <w:rFonts w:ascii="Times New Roman;serif" w:hAnsi="Times New Roman;serif"/>
          <w:b w:val="false"/>
          <w:color w:val="000000"/>
          <w:sz w:val="22"/>
          <w:shd w:fill="FFFFFF" w:val="clear"/>
        </w:rPr>
        <w:t xml:space="preserve">, 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June 30, 2025. Operating ex</w:t>
      </w:r>
      <w:r>
        <w:rPr>
          <w:rFonts w:ascii="Times New Roman;serif" w:hAnsi="Times New Roman;serif"/>
          <w:b w:val="false"/>
          <w:color w:val="000000"/>
          <w:sz w:val="22"/>
        </w:rPr>
        <w:t>penses as a percentage of net sa</w:t>
      </w:r>
      <w:r>
        <w:rPr>
          <w:rFonts w:ascii="Times New Roman;serif" w:hAnsi="Times New Roman;serif"/>
          <w:b w:val="false"/>
          <w:color w:val="000000"/>
          <w:sz w:val="22"/>
          <w:shd w:fill="FFFFFF" w:val="clear"/>
        </w:rPr>
        <w:t xml:space="preserve">les decreased by </w:t>
      </w:r>
      <w:r>
        <w:rPr>
          <w:rFonts w:ascii="Times New Roman;serif" w:hAnsi="Times New Roman;serif"/>
          <w:b w:val="false"/>
          <w:color w:val="000000"/>
          <w:sz w:val="22"/>
        </w:rPr>
        <w:t>190</w:t>
      </w:r>
      <w:r>
        <w:rPr>
          <w:color w:val="000000"/>
          <w:shd w:fill="FFFFFF" w:val="clear"/>
        </w:rPr>
        <w:t xml:space="preserve"> </w:t>
      </w:r>
      <w:r>
        <w:rPr>
          <w:rFonts w:ascii="Times New Roman;serif" w:hAnsi="Times New Roman;serif"/>
          <w:b w:val="false"/>
          <w:color w:val="000000"/>
          <w:sz w:val="22"/>
          <w:shd w:fill="FFFFFF" w:val="clear"/>
        </w:rPr>
        <w:t>basis poi</w:t>
      </w:r>
      <w:r>
        <w:rPr>
          <w:rFonts w:ascii="Times New Roman;serif" w:hAnsi="Times New Roman;serif"/>
          <w:b w:val="false"/>
          <w:color w:val="000000"/>
          <w:sz w:val="22"/>
        </w:rPr>
        <w:t xml:space="preserve">nts for the three months ended June 30, 2026 compared to the three months ended June 30, 2025. </w:t>
      </w:r>
      <w:r>
        <w:rPr>
          <w:rFonts w:ascii="Times New Roman;serif" w:hAnsi="Times New Roman;serif"/>
          <w:b w:val="false"/>
          <w:color w:val="000000"/>
          <w:sz w:val="22"/>
          <w:shd w:fill="FFFFFF" w:val="clear"/>
        </w:rPr>
        <w:t xml:space="preserve">The increase in operating expenses was primarily driven by an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in other general and administrative expenses of </w:t>
      </w:r>
      <w:r>
        <w:rPr>
          <w:rFonts w:ascii="Times New Roman;serif" w:hAnsi="Times New Roman;serif"/>
          <w:b w:val="false"/>
          <w:color w:val="000000"/>
          <w:sz w:val="22"/>
        </w:rPr>
        <w:t xml:space="preserve">$2.0 million, partially offset by </w:t>
      </w:r>
      <w:r>
        <w:rPr>
          <w:rFonts w:ascii="Times New Roman;serif" w:hAnsi="Times New Roman;serif"/>
          <w:b w:val="false"/>
          <w:color w:val="000000"/>
          <w:sz w:val="22"/>
          <w:shd w:fill="FFFFFF" w:val="clear"/>
        </w:rPr>
        <w:t xml:space="preserve">a </w:t>
      </w:r>
      <w:r>
        <w:rPr>
          <w:rFonts w:ascii="Times New Roman;serif" w:hAnsi="Times New Roman;serif"/>
          <w:b w:val="false"/>
          <w:color w:val="000000"/>
          <w:sz w:val="22"/>
        </w:rPr>
        <w:t>decrease</w:t>
      </w:r>
      <w:r>
        <w:rPr>
          <w:color w:val="000000"/>
          <w:shd w:fill="FFFFFF" w:val="clear"/>
        </w:rPr>
        <w:t xml:space="preserve"> </w:t>
      </w:r>
      <w:r>
        <w:rPr>
          <w:rFonts w:ascii="Times New Roman;serif" w:hAnsi="Times New Roman;serif"/>
          <w:b w:val="false"/>
          <w:color w:val="000000"/>
          <w:sz w:val="22"/>
          <w:shd w:fill="FFFFFF" w:val="clear"/>
        </w:rPr>
        <w:t xml:space="preserve">in employment expenses of </w:t>
      </w:r>
      <w:r>
        <w:rPr>
          <w:rFonts w:ascii="Times New Roman;serif" w:hAnsi="Times New Roman;serif"/>
          <w:b w:val="false"/>
          <w:color w:val="000000"/>
          <w:sz w:val="22"/>
        </w:rPr>
        <w:t xml:space="preserve">$0.5 million. </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The increase in other general and administrative expenses was primarily driven by an increase in information technology and other software-related costs and an increase in rent, and lease-related expenses. These increases were partially offset by a decrease in professional fees as 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2025. The decrease in employment expenses was primarily driven by a decrease in equity-based compensation, partially offset by an increase in salaries and wages and other benefits expense primarily due to the addition of staff to support our growth. </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Interest Expense</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Interest expense for the three months ended June 30, 2026 decreased by $0.9 million, or 100.0%, compared to the three months ended June 30, 2025, primarily due to the prepayment of all principal amounts outstanding of $34.8 million under the SVB Term Loan in August 2025.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Other Income, net</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Other income, net for the three months ended</w:t>
      </w:r>
      <w:r>
        <w:rPr>
          <w:color w:val="000000"/>
          <w:shd w:fill="FFFFFF" w:val="clear"/>
        </w:rPr>
        <w:t xml:space="preserve"> </w:t>
      </w:r>
      <w:r>
        <w:rPr>
          <w:rFonts w:ascii="Times New Roman;serif" w:hAnsi="Times New Roman;serif"/>
          <w:b w:val="false"/>
          <w:color w:val="000000"/>
          <w:sz w:val="22"/>
          <w:shd w:fill="FFFFFF" w:val="clear"/>
        </w:rPr>
        <w:t>June 30, 2026</w:t>
      </w:r>
      <w:r>
        <w:rPr>
          <w:color w:val="000000"/>
        </w:rPr>
        <w:t xml:space="preserve">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$0.7 million, or 65.2%, compared to the </w:t>
      </w:r>
      <w:r>
        <w:rPr>
          <w:rFonts w:ascii="Times New Roman;serif" w:hAnsi="Times New Roman;serif"/>
          <w:b w:val="false"/>
          <w:color w:val="000000"/>
          <w:sz w:val="22"/>
        </w:rPr>
        <w:t>three months ended</w:t>
      </w:r>
      <w:r>
        <w:rPr>
          <w:color w:val="000000"/>
          <w:shd w:fill="FFFFFF" w:val="clear"/>
        </w:rPr>
        <w:t xml:space="preserve"> </w:t>
      </w:r>
      <w:r>
        <w:rPr>
          <w:rFonts w:ascii="Times New Roman;serif" w:hAnsi="Times New Roman;serif"/>
          <w:b w:val="false"/>
          <w:color w:val="000000"/>
          <w:sz w:val="22"/>
          <w:shd w:fill="FFFFFF" w:val="clear"/>
        </w:rPr>
        <w:t xml:space="preserve">June 30, 2025, </w:t>
      </w:r>
      <w:r>
        <w:rPr>
          <w:rFonts w:ascii="Times New Roman;serif" w:hAnsi="Times New Roman;serif"/>
          <w:b w:val="false"/>
          <w:color w:val="000000"/>
          <w:sz w:val="22"/>
        </w:rPr>
        <w:t>primarily due to decreased interest income earned on our cash balances. Additionally, this amount includes immaterial losses on exchange rates on consumer payments and other miscellaneous income.</w:t>
      </w:r>
    </w:p>
    <w:p>
      <w:pPr>
        <w:pStyle w:val="TextBody"/>
        <w:bidi w:val="0"/>
        <w:spacing w:before="0" w:after="2"/>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Income tax expense</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decrease in Brilliant Earth Group, Inc.'s income tax expense of $0.1 million for the three months ended June 30, 2026 compared to the three months ended June 30, 2025 was primarily due to changes in deferred taxes related to the outside basis difference of Brilliant Earth Group, Inc.'s investment in Brilliant Earth, LLC.</w:t>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i/>
          <w:color w:val="000000"/>
          <w:sz w:val="22"/>
        </w:rPr>
      </w:pPr>
      <w:r>
        <w:rPr>
          <w:rFonts w:ascii="Times New Roman;serif" w:hAnsi="Times New Roman;serif"/>
          <w:b/>
          <w:i/>
          <w:color w:val="000000"/>
          <w:sz w:val="22"/>
        </w:rPr>
        <w:t>Comparison of Six Months Ended June 30, 2026 and 2025</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statements of operations for the six months ended</w:t>
      </w:r>
      <w:r>
        <w:rPr>
          <w:color w:val="000000"/>
          <w:shd w:fill="FFFFFF" w:val="clear"/>
        </w:rPr>
        <w:t xml:space="preserve"> </w:t>
      </w:r>
      <w:r>
        <w:rPr>
          <w:rFonts w:ascii="Times New Roman;serif" w:hAnsi="Times New Roman;serif"/>
          <w:b w:val="false"/>
          <w:color w:val="000000"/>
          <w:sz w:val="22"/>
        </w:rPr>
        <w:t xml:space="preserve">June 30, 2026 </w:t>
      </w:r>
      <w:r>
        <w:rPr>
          <w:rFonts w:ascii="Times New Roman;serif" w:hAnsi="Times New Roman;serif"/>
          <w:b w:val="false"/>
          <w:color w:val="000000"/>
          <w:sz w:val="22"/>
          <w:shd w:fill="FFFFFF" w:val="clear"/>
        </w:rPr>
        <w:t>and 2025</w:t>
      </w:r>
      <w:r>
        <w:rPr>
          <w:rFonts w:ascii="Times New Roman;serif" w:hAnsi="Times New Roman;serif"/>
          <w:b w:val="false"/>
          <w:color w:val="000000"/>
          <w:sz w:val="22"/>
        </w:rPr>
        <w:t>, including amounts and percentages of net sales for each period and the period-to-period change in dollars and perce</w:t>
      </w:r>
      <w:r>
        <w:rPr>
          <w:rFonts w:ascii="Times New Roman;serif" w:hAnsi="Times New Roman;serif"/>
          <w:b w:val="false"/>
          <w:color w:val="000000"/>
          <w:sz w:val="22"/>
          <w:shd w:fill="FFFFFF" w:val="clear"/>
        </w:rPr>
        <w:t xml:space="preserve">nt (in thousands): </w:t>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1012"/>
        <w:gridCol w:w="597"/>
        <w:gridCol w:w="443"/>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721"/>
        <w:gridCol w:w="109"/>
        <w:gridCol w:w="109"/>
        <w:gridCol w:w="109"/>
        <w:gridCol w:w="109"/>
        <w:gridCol w:w="321"/>
        <w:gridCol w:w="324"/>
        <w:gridCol w:w="474"/>
      </w:tblGrid>
      <w:tr>
        <w:trPr/>
        <w:tc>
          <w:tcPr>
            <w:tcW w:w="101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100.0 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allocable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Net Sales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Net sales for the </w:t>
      </w:r>
      <w:r>
        <w:rPr>
          <w:rFonts w:ascii="Times New Roman;serif" w:hAnsi="Times New Roman;serif"/>
          <w:b w:val="false"/>
          <w:color w:val="000000"/>
          <w:sz w:val="22"/>
        </w:rPr>
        <w:t xml:space="preserve">six months ended June 30, 2026 </w:t>
      </w:r>
      <w:r>
        <w:rPr>
          <w:rFonts w:ascii="Times New Roman;serif" w:hAnsi="Times New Roman;serif"/>
          <w:b w:val="false"/>
          <w:color w:val="000000"/>
          <w:sz w:val="22"/>
          <w:shd w:fill="FFFFFF" w:val="clear"/>
        </w:rPr>
        <w:t xml:space="preserve">increased by </w:t>
      </w:r>
      <w:r>
        <w:rPr>
          <w:rFonts w:ascii="Times New Roman;serif" w:hAnsi="Times New Roman;serif"/>
          <w:b w:val="false"/>
          <w:color w:val="000000"/>
          <w:sz w:val="22"/>
        </w:rPr>
        <w:t>$11.8 million</w:t>
      </w:r>
      <w:r>
        <w:rPr>
          <w:rFonts w:ascii="Times New Roman;serif" w:hAnsi="Times New Roman;serif"/>
          <w:b w:val="false"/>
          <w:color w:val="000000"/>
          <w:sz w:val="22"/>
          <w:shd w:fill="FFFFFF" w:val="clear"/>
        </w:rPr>
        <w:t xml:space="preserve">, or </w:t>
      </w:r>
      <w:r>
        <w:rPr>
          <w:rFonts w:ascii="Times New Roman;serif" w:hAnsi="Times New Roman;serif"/>
          <w:b w:val="false"/>
          <w:color w:val="000000"/>
          <w:sz w:val="22"/>
        </w:rPr>
        <w:t xml:space="preserve">5.8%, </w:t>
      </w:r>
      <w:r>
        <w:rPr>
          <w:rFonts w:ascii="Times New Roman;serif" w:hAnsi="Times New Roman;serif"/>
          <w:b w:val="false"/>
          <w:color w:val="000000"/>
          <w:sz w:val="22"/>
          <w:shd w:fill="FFFFFF" w:val="clear"/>
        </w:rPr>
        <w:t xml:space="preserve">compared to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2025. The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in net sales was due to an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5.8%</w:t>
      </w:r>
      <w:r>
        <w:rPr>
          <w:color w:val="000000"/>
          <w:shd w:fill="FFFFFF" w:val="clear"/>
        </w:rPr>
        <w:t xml:space="preserve"> </w:t>
      </w:r>
      <w:r>
        <w:rPr>
          <w:rFonts w:ascii="Times New Roman;serif" w:hAnsi="Times New Roman;serif"/>
          <w:b w:val="false"/>
          <w:color w:val="000000"/>
          <w:sz w:val="22"/>
          <w:shd w:fill="FFFFFF" w:val="clear"/>
        </w:rPr>
        <w:t xml:space="preserve">in AOV and </w:t>
      </w:r>
      <w:r>
        <w:rPr>
          <w:rFonts w:ascii="Times New Roman;serif" w:hAnsi="Times New Roman;serif"/>
          <w:b w:val="false"/>
          <w:color w:val="000000"/>
          <w:sz w:val="22"/>
        </w:rPr>
        <w:t>an increase</w:t>
      </w:r>
      <w:r>
        <w:rPr>
          <w:color w:val="000000"/>
          <w:shd w:fill="FFFFFF" w:val="clear"/>
        </w:rPr>
        <w:t xml:space="preserve"> </w:t>
      </w:r>
      <w:r>
        <w:rPr>
          <w:rFonts w:ascii="Times New Roman;serif" w:hAnsi="Times New Roman;serif"/>
          <w:b w:val="false"/>
          <w:color w:val="000000"/>
          <w:sz w:val="22"/>
          <w:shd w:fill="FFFFFF" w:val="clear"/>
        </w:rPr>
        <w:t>of 0.1% in order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in AOV was driven by a larger sales mix of higher-priced items across our product offerings and selective price increases as a result of the rising cost of precious metals.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0.1% increase in order volumes was due to an increase in order volumes of higher price point products, partially offset by a decrease in lower price point products. </w:t>
      </w:r>
    </w:p>
    <w:p>
      <w:pPr>
        <w:pStyle w:val="TextBody"/>
        <w:bidi w:val="0"/>
        <w:spacing w:before="0" w:after="2"/>
        <w:jc w:val="both"/>
        <w:rPr/>
      </w:pPr>
      <w:r>
        <w:rPr/>
      </w:r>
    </w:p>
    <w:p>
      <w:pPr>
        <w:pStyle w:val="TextBody"/>
        <w:bidi w:val="0"/>
        <w:spacing w:lineRule="auto" w:line="288"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Gross Profit</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Gross profit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2026 increased by $2.2 million, or 1.8%, compared to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June 30, 2025. Gross margin, expressed as a percentage and calculated as gross profit divided by net sales,</w:t>
      </w:r>
      <w:r>
        <w:rPr>
          <w:color w:val="000000"/>
        </w:rPr>
        <w:t xml:space="preserve"> </w:t>
      </w:r>
      <w:r>
        <w:rPr>
          <w:rFonts w:ascii="Times New Roman;serif" w:hAnsi="Times New Roman;serif"/>
          <w:b w:val="false"/>
          <w:color w:val="000000"/>
          <w:sz w:val="22"/>
        </w:rPr>
        <w:t>decreased by 220</w:t>
      </w:r>
      <w:r>
        <w:rPr>
          <w:color w:val="000000"/>
          <w:shd w:fill="FFFFFF" w:val="clear"/>
        </w:rPr>
        <w:t xml:space="preserve"> </w:t>
      </w:r>
      <w:r>
        <w:rPr>
          <w:rFonts w:ascii="Times New Roman;serif" w:hAnsi="Times New Roman;serif"/>
          <w:b w:val="false"/>
          <w:color w:val="000000"/>
          <w:sz w:val="22"/>
          <w:shd w:fill="FFFFFF" w:val="clear"/>
        </w:rPr>
        <w:t xml:space="preserve">basis points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2026 compared to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2025, </w:t>
      </w:r>
      <w:r>
        <w:rPr>
          <w:rFonts w:ascii="Times New Roman;serif" w:hAnsi="Times New Roman;serif"/>
          <w:b w:val="false"/>
          <w:color w:val="000000"/>
          <w:sz w:val="22"/>
        </w:rPr>
        <w:t xml:space="preserve">primarily driven by costs related to higher gold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platinum costs. The increase in costs related to higher gold and platinum costs was partially offset by the continued optimization of our pricing engine, procurement efficiencies, and other efforts to mitigate the impact of tariffs and higher metal costs.</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Operating Expenses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Operating expenses for the six months ended June 30, 2026</w:t>
      </w:r>
      <w:r>
        <w:rPr>
          <w:color w:val="000000"/>
          <w:shd w:fill="FFFFFF" w:val="clear"/>
        </w:rPr>
        <w:t xml:space="preserve"> </w:t>
      </w:r>
      <w:r>
        <w:rPr>
          <w:rFonts w:ascii="Times New Roman;serif" w:hAnsi="Times New Roman;serif"/>
          <w:b w:val="false"/>
          <w:color w:val="000000"/>
          <w:sz w:val="22"/>
          <w:shd w:fill="FFFFFF" w:val="clear"/>
        </w:rPr>
        <w:t xml:space="preserve">increased by $5.9 million, or 4.8%, compared to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June 30, 2025. Operating ex</w:t>
      </w:r>
      <w:r>
        <w:rPr>
          <w:rFonts w:ascii="Times New Roman;serif" w:hAnsi="Times New Roman;serif"/>
          <w:b w:val="false"/>
          <w:color w:val="000000"/>
          <w:sz w:val="22"/>
        </w:rPr>
        <w:t>penses as a percentage of net sa</w:t>
      </w:r>
      <w:r>
        <w:rPr>
          <w:rFonts w:ascii="Times New Roman;serif" w:hAnsi="Times New Roman;serif"/>
          <w:b w:val="false"/>
          <w:color w:val="000000"/>
          <w:sz w:val="22"/>
          <w:shd w:fill="FFFFFF" w:val="clear"/>
        </w:rPr>
        <w:t xml:space="preserve">les decreased by </w:t>
      </w:r>
      <w:r>
        <w:rPr>
          <w:rFonts w:ascii="Times New Roman;serif" w:hAnsi="Times New Roman;serif"/>
          <w:b w:val="false"/>
          <w:color w:val="000000"/>
          <w:sz w:val="22"/>
        </w:rPr>
        <w:t>60</w:t>
      </w:r>
      <w:r>
        <w:rPr>
          <w:color w:val="000000"/>
          <w:shd w:fill="FFFFFF" w:val="clear"/>
        </w:rPr>
        <w:t xml:space="preserve"> </w:t>
      </w:r>
      <w:r>
        <w:rPr>
          <w:rFonts w:ascii="Times New Roman;serif" w:hAnsi="Times New Roman;serif"/>
          <w:b w:val="false"/>
          <w:color w:val="000000"/>
          <w:sz w:val="22"/>
          <w:shd w:fill="FFFFFF" w:val="clear"/>
        </w:rPr>
        <w:t>basis poi</w:t>
      </w:r>
      <w:r>
        <w:rPr>
          <w:rFonts w:ascii="Times New Roman;serif" w:hAnsi="Times New Roman;serif"/>
          <w:b w:val="false"/>
          <w:color w:val="000000"/>
          <w:sz w:val="22"/>
        </w:rPr>
        <w:t xml:space="preserve">nts for the six months ended June 30, 2026 compared to the six months ended June 30, 2025. </w:t>
      </w:r>
      <w:r>
        <w:rPr>
          <w:rFonts w:ascii="Times New Roman;serif" w:hAnsi="Times New Roman;serif"/>
          <w:b w:val="false"/>
          <w:color w:val="000000"/>
          <w:sz w:val="22"/>
          <w:shd w:fill="FFFFFF" w:val="clear"/>
        </w:rPr>
        <w:t xml:space="preserve">The increase in operating expenses was primarily driven by an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in other general and administrative expenses of </w:t>
      </w:r>
      <w:r>
        <w:rPr>
          <w:rFonts w:ascii="Times New Roman;serif" w:hAnsi="Times New Roman;serif"/>
          <w:b w:val="false"/>
          <w:color w:val="000000"/>
          <w:sz w:val="22"/>
        </w:rPr>
        <w:t xml:space="preserve">$3.8 million, </w:t>
      </w:r>
      <w:r>
        <w:rPr>
          <w:rFonts w:ascii="Times New Roman;serif" w:hAnsi="Times New Roman;serif"/>
          <w:b w:val="false"/>
          <w:color w:val="000000"/>
          <w:sz w:val="22"/>
          <w:shd w:fill="FFFFFF" w:val="clear"/>
        </w:rPr>
        <w:t xml:space="preserve">an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 xml:space="preserve">in employment expenses of </w:t>
      </w:r>
      <w:r>
        <w:rPr>
          <w:rFonts w:ascii="Times New Roman;serif" w:hAnsi="Times New Roman;serif"/>
          <w:b w:val="false"/>
          <w:color w:val="000000"/>
          <w:sz w:val="22"/>
        </w:rPr>
        <w:t>$1.5 million</w:t>
      </w:r>
      <w:r>
        <w:rPr>
          <w:rFonts w:ascii="Times New Roman;serif" w:hAnsi="Times New Roman;serif"/>
          <w:b w:val="false"/>
          <w:color w:val="000000"/>
          <w:sz w:val="22"/>
          <w:shd w:fill="FFFFFF" w:val="clear"/>
        </w:rPr>
        <w:t xml:space="preserve">, and </w:t>
      </w:r>
      <w:r>
        <w:rPr>
          <w:rFonts w:ascii="Times New Roman;serif" w:hAnsi="Times New Roman;serif"/>
          <w:b w:val="false"/>
          <w:color w:val="000000"/>
          <w:sz w:val="22"/>
        </w:rPr>
        <w:t>an increase</w:t>
      </w:r>
      <w:r>
        <w:rPr>
          <w:color w:val="000000"/>
          <w:shd w:fill="FFFFFF" w:val="clear"/>
        </w:rPr>
        <w:t xml:space="preserve"> </w:t>
      </w:r>
      <w:r>
        <w:rPr>
          <w:rFonts w:ascii="Times New Roman;serif" w:hAnsi="Times New Roman;serif"/>
          <w:b w:val="false"/>
          <w:color w:val="000000"/>
          <w:sz w:val="22"/>
          <w:shd w:fill="FFFFFF" w:val="clear"/>
        </w:rPr>
        <w:t xml:space="preserve">in marketing expenses of </w:t>
      </w:r>
      <w:r>
        <w:rPr>
          <w:rFonts w:ascii="Times New Roman;serif" w:hAnsi="Times New Roman;serif"/>
          <w:b w:val="false"/>
          <w:color w:val="000000"/>
          <w:sz w:val="22"/>
        </w:rPr>
        <w:t>$0.5 million</w:t>
      </w:r>
      <w:r>
        <w:rPr>
          <w:color w:val="000000"/>
          <w:shd w:fill="FFFFFF" w:val="clear"/>
        </w:rPr>
        <w:t xml:space="preserve"> </w:t>
      </w:r>
      <w:r>
        <w:rPr>
          <w:rFonts w:ascii="Times New Roman;serif" w:hAnsi="Times New Roman;serif"/>
          <w:b w:val="false"/>
          <w:color w:val="000000"/>
          <w:sz w:val="22"/>
          <w:shd w:fill="FFFFFF" w:val="clear"/>
        </w:rPr>
        <w:t>for the period.</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in other general and administrative expenses was primarily driven by increase in information technology and other software-related costs, an increase in donation expense, and an increase in rent and lease-related expenses. The increase in employment expenses was primarily driven by an increase in salaries and wages and other benefits expense primarily due to the addition of staff to support our growth. These increases were partially offset by a decrease in professional fees and future showroom expenses as compared to the six months ended June 30, 2025. The increase in marketing expenses compared to the six months ended June 30, 2025 was a result of our continued focus on managing our marketing spend in relation to our sales volume. </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Interest Expense</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shd w:fill="FFFFFF" w:val="clear"/>
        </w:rPr>
        <w:t xml:space="preserve">Interest expense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2026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$2.0 million, or 100.0%, compared to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2025, </w:t>
      </w:r>
      <w:r>
        <w:rPr>
          <w:rFonts w:ascii="Times New Roman;serif" w:hAnsi="Times New Roman;serif"/>
          <w:b w:val="false"/>
          <w:color w:val="000000"/>
          <w:sz w:val="22"/>
        </w:rPr>
        <w:t xml:space="preserve">primarily due to the prepayment of all principal amounts outstanding of $34.8 million under the SVB Term Loan in August 2025.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Other Income, net</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Other income, net for the six months ended June 30, 2026 decreased by $1.6 million, or 65.3%, compared to the six months ended June 30, 2025, primarily due to decreased interest income earned on our cash balances. Additionally, this amount includes immaterial losses on exchange rates on consumer payments and other miscellaneous income.</w:t>
      </w:r>
    </w:p>
    <w:p>
      <w:pPr>
        <w:pStyle w:val="TextBody"/>
        <w:bidi w:val="0"/>
        <w:spacing w:before="0" w:after="2"/>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Income tax expense</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decrease in Brilliant Earth Group, Inc.'s income tax expense of </w:t>
      </w:r>
      <w:r>
        <w:rPr>
          <w:rFonts w:ascii="Times New Roman;serif" w:hAnsi="Times New Roman;serif"/>
          <w:b w:val="false"/>
          <w:color w:val="000000"/>
          <w:sz w:val="22"/>
          <w:shd w:fill="FFFFFF" w:val="clear"/>
        </w:rPr>
        <w:t>$12.0 thousand</w:t>
      </w:r>
      <w:r>
        <w:rPr>
          <w:color w:val="000000"/>
        </w:rPr>
        <w:t xml:space="preserve"> </w:t>
      </w:r>
      <w:r>
        <w:rPr>
          <w:rFonts w:ascii="Times New Roman;serif" w:hAnsi="Times New Roman;serif"/>
          <w:b w:val="false"/>
          <w:color w:val="000000"/>
          <w:sz w:val="22"/>
        </w:rPr>
        <w:t xml:space="preserve">for the six months ended </w:t>
      </w:r>
      <w:r>
        <w:rPr>
          <w:rFonts w:ascii="Times New Roman;serif" w:hAnsi="Times New Roman;serif"/>
          <w:b w:val="false"/>
          <w:color w:val="000000"/>
          <w:sz w:val="22"/>
          <w:shd w:fill="FFFFFF" w:val="clear"/>
        </w:rPr>
        <w:t>June 30, 2026</w:t>
      </w:r>
      <w:r>
        <w:rPr>
          <w:color w:val="000000"/>
        </w:rPr>
        <w:t xml:space="preserve"> </w:t>
      </w:r>
      <w:r>
        <w:rPr>
          <w:rFonts w:ascii="Times New Roman;serif" w:hAnsi="Times New Roman;serif"/>
          <w:b w:val="false"/>
          <w:color w:val="000000"/>
          <w:sz w:val="22"/>
        </w:rPr>
        <w:t>compared to the six months ended</w:t>
      </w:r>
      <w:r>
        <w:rPr>
          <w:color w:val="000000"/>
          <w:shd w:fill="FFFFFF" w:val="clear"/>
        </w:rPr>
        <w:t xml:space="preserve"> </w:t>
      </w:r>
      <w:r>
        <w:rPr>
          <w:rFonts w:ascii="Times New Roman;serif" w:hAnsi="Times New Roman;serif"/>
          <w:b w:val="false"/>
          <w:color w:val="000000"/>
          <w:sz w:val="22"/>
          <w:shd w:fill="FFFFFF" w:val="clear"/>
        </w:rPr>
        <w:t>June 30, 2025</w:t>
      </w:r>
      <w:r>
        <w:rPr>
          <w:color w:val="000000"/>
        </w:rPr>
        <w:t xml:space="preserve"> </w:t>
      </w:r>
      <w:r>
        <w:rPr>
          <w:rFonts w:ascii="Times New Roman;serif" w:hAnsi="Times New Roman;serif"/>
          <w:b w:val="false"/>
          <w:color w:val="000000"/>
          <w:sz w:val="22"/>
        </w:rPr>
        <w:t>was primarily due to changes in deferred taxes related to the outside basis difference of Brilliant Earth Group, Inc.'s investment in Brilliant Earth, LLC.</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key performance metrics for the periods presented</w:t>
      </w:r>
      <w:r>
        <w:rPr>
          <w:color w:val="000000"/>
          <w:shd w:fill="FFFFFF" w:val="clear"/>
        </w:rPr>
        <w:t xml:space="preserve"> </w:t>
      </w:r>
      <w:r>
        <w:rPr>
          <w:rFonts w:ascii="Times New Roman;serif" w:hAnsi="Times New Roman;serif"/>
          <w:b w:val="false"/>
          <w:color w:val="000000"/>
          <w:sz w:val="22"/>
          <w:shd w:fill="FFFFFF" w:val="clear"/>
        </w:rPr>
        <w:t>(dollars in thousands, except for AOV):</w:t>
      </w:r>
    </w:p>
    <w:p>
      <w:pPr>
        <w:pStyle w:val="TextBody"/>
        <w:bidi w:val="0"/>
        <w:spacing w:before="0" w:after="2"/>
        <w:jc w:val="both"/>
        <w:rPr/>
      </w:pPr>
      <w:r>
        <w:rPr/>
      </w:r>
    </w:p>
    <w:tbl>
      <w:tblPr>
        <w:tblW w:w="10893" w:type="dxa"/>
        <w:jc w:val="center"/>
        <w:tblInd w:w="0" w:type="dxa"/>
        <w:tblLayout w:type="fixed"/>
        <w:tblCellMar>
          <w:top w:w="28" w:type="dxa"/>
          <w:left w:w="28" w:type="dxa"/>
          <w:bottom w:w="28" w:type="dxa"/>
          <w:right w:w="28" w:type="dxa"/>
        </w:tblCellMar>
      </w:tblPr>
      <w:tblGrid>
        <w:gridCol w:w="299"/>
        <w:gridCol w:w="198"/>
        <w:gridCol w:w="164"/>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14"/>
        <w:gridCol w:w="214"/>
        <w:gridCol w:w="503"/>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7"/>
        <w:gridCol w:w="217"/>
        <w:gridCol w:w="602"/>
      </w:tblGrid>
      <w:tr>
        <w:trPr/>
        <w:tc>
          <w:tcPr>
            <w:tcW w:w="2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AOV</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Total Orders</w:t>
      </w:r>
    </w:p>
    <w:p>
      <w:pPr>
        <w:pStyle w:val="TextBody"/>
        <w:bidi w:val="0"/>
        <w:spacing w:before="0" w:after="0"/>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Average Order Value</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Non-GAAP Financial Measures</w:t>
      </w:r>
    </w:p>
    <w:p>
      <w:pPr>
        <w:pStyle w:val="TextBody"/>
        <w:bidi w:val="0"/>
        <w:spacing w:before="0" w:after="0"/>
        <w:ind w:left="0" w:right="0" w:firstLine="72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2"/>
        <w:jc w:val="both"/>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Adjusted EBITDA and Adjusted EBITDA margin, which are non-GAAP financial measures, are included in this Quarterly Report on Form 10-Q because they are used by management and our board of directors to assess our financial performance. We define Adjusted EBITDA</w:t>
      </w:r>
      <w:r>
        <w:rPr>
          <w:color w:val="000000"/>
          <w:shd w:fill="FFFFFF" w:val="clear"/>
        </w:rPr>
        <w:t xml:space="preserve"> </w:t>
      </w:r>
      <w:r>
        <w:rPr>
          <w:rFonts w:ascii="Times New Roman;serif" w:hAnsi="Times New Roman;serif"/>
          <w:b w:val="false"/>
          <w:color w:val="000000"/>
          <w:sz w:val="22"/>
          <w:shd w:fill="FFFFFF" w:val="clear"/>
        </w:rPr>
        <w:t xml:space="preserve">as net income (loss) excluding interest expense, income taxes, depreciation expense, amortization of cloud-based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2"/>
          <w:shd w:fill="FFFFFF" w:val="clear"/>
        </w:rPr>
        <w:t>implementation costs, showroom pre-opening expense, equity-based compensation</w:t>
      </w:r>
      <w:r>
        <w:rPr>
          <w:color w:val="000000"/>
        </w:rPr>
        <w:t xml:space="preserve"> </w:t>
      </w:r>
      <w:r>
        <w:rPr>
          <w:rFonts w:ascii="Times New Roman;serif" w:hAnsi="Times New Roman;serif"/>
          <w:b w:val="false"/>
          <w:color w:val="000000"/>
          <w:sz w:val="22"/>
        </w:rPr>
        <w:t>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that may vary substantially in frequency and magnitude from period to period. These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Adjusted EBITDA and Adjusted EBITDA margin to its most directly comparable GAAP financial measure, net income (loss) and net income (loss)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presents a reconciliation o</w:t>
      </w:r>
      <w:r>
        <w:rPr>
          <w:rFonts w:ascii="Times New Roman;serif" w:hAnsi="Times New Roman;serif"/>
          <w:b w:val="false"/>
          <w:color w:val="000000"/>
          <w:sz w:val="22"/>
          <w:shd w:fill="FFFFFF" w:val="clear"/>
        </w:rPr>
        <w:t>f net income (loss) and net income (loss) margin, the most comparable GAAP financial measures, to Adjusted EBITDA and Adjusted EBITDA margin, respectively, for the periods presented (in thousands):</w:t>
      </w:r>
    </w:p>
    <w:tbl>
      <w:tblPr>
        <w:tblW w:w="10205" w:type="dxa"/>
        <w:jc w:val="left"/>
        <w:tblInd w:w="0" w:type="dxa"/>
        <w:tblLayout w:type="fixed"/>
        <w:tblCellMar>
          <w:top w:w="28" w:type="dxa"/>
          <w:left w:w="28" w:type="dxa"/>
          <w:bottom w:w="28" w:type="dxa"/>
          <w:right w:w="28" w:type="dxa"/>
        </w:tblCellMar>
      </w:tblPr>
      <w:tblGrid>
        <w:gridCol w:w="1632"/>
        <w:gridCol w:w="1422"/>
        <w:gridCol w:w="1397"/>
        <w:gridCol w:w="211"/>
        <w:gridCol w:w="631"/>
        <w:gridCol w:w="301"/>
        <w:gridCol w:w="109"/>
        <w:gridCol w:w="109"/>
        <w:gridCol w:w="109"/>
        <w:gridCol w:w="211"/>
        <w:gridCol w:w="682"/>
        <w:gridCol w:w="301"/>
        <w:gridCol w:w="109"/>
        <w:gridCol w:w="109"/>
        <w:gridCol w:w="109"/>
        <w:gridCol w:w="211"/>
        <w:gridCol w:w="682"/>
        <w:gridCol w:w="301"/>
        <w:gridCol w:w="109"/>
        <w:gridCol w:w="109"/>
        <w:gridCol w:w="109"/>
        <w:gridCol w:w="211"/>
        <w:gridCol w:w="682"/>
        <w:gridCol w:w="349"/>
      </w:tblGrid>
      <w:tr>
        <w:trPr/>
        <w:tc>
          <w:tcPr>
            <w:tcW w:w="163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842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(7,611)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(4,380)</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cloud-based software implementation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Showroom pre-opening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5,770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3,182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1,065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4,260</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0.7</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(3.5)</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(2.2)</w:t>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0.5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2.1</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60" w:after="160"/>
        <w:jc w:val="left"/>
        <w:rPr/>
      </w:pPr>
      <w:r>
        <w:rPr>
          <w:rFonts w:ascii="Times New Roman;serif" w:hAnsi="Times New Roman;serif"/>
          <w:b w:val="false"/>
          <w:color w:val="000000"/>
          <w:sz w:val="16"/>
        </w:rPr>
        <w:t xml:space="preserve">(1) </w:t>
      </w:r>
      <w:r>
        <w:rPr>
          <w:rFonts w:ascii="Times New Roman;serif" w:hAnsi="Times New Roman;serif"/>
          <w:b w:val="false"/>
          <w:color w:val="000000"/>
          <w:sz w:val="16"/>
          <w:shd w:fill="FFFFFF" w:val="clear"/>
        </w:rPr>
        <w:t>Other income, net consists primarily of interest and other miscellaneous income, partially offset by expenses such as losses on exchange rates on consumer payments.</w:t>
      </w:r>
    </w:p>
    <w:p>
      <w:pPr>
        <w:pStyle w:val="TextBody"/>
        <w:bidi w:val="0"/>
        <w:spacing w:lineRule="auto" w:line="288" w:before="160" w:after="160"/>
        <w:jc w:val="left"/>
        <w:rPr/>
      </w:pPr>
      <w:r>
        <w:rPr>
          <w:rFonts w:ascii="Times New Roman;serif" w:hAnsi="Times New Roman;serif"/>
          <w:b w:val="false"/>
          <w:color w:val="000000"/>
          <w:sz w:val="16"/>
          <w:shd w:fill="FFFFFF" w:val="clear"/>
        </w:rPr>
        <w:t xml:space="preserve">(2) These expenses are those that we did not incur in the normal course of business. For the three months ended June 30, 2026, these expenses include a </w:t>
      </w:r>
      <w:r>
        <w:rPr>
          <w:rFonts w:ascii="Times New Roman;serif" w:hAnsi="Times New Roman;serif"/>
          <w:b w:val="false"/>
          <w:color w:val="000000"/>
          <w:sz w:val="16"/>
        </w:rPr>
        <w:t>$1.8 million charge for write-offs of information technology projects.</w:t>
      </w:r>
      <w:r>
        <w:rPr>
          <w:color w:val="000000"/>
          <w:shd w:fill="FFFFFF" w:val="clear"/>
        </w:rPr>
        <w:t xml:space="preserve"> </w:t>
      </w:r>
      <w:r>
        <w:rPr>
          <w:rFonts w:ascii="Times New Roman;serif" w:hAnsi="Times New Roman;serif"/>
          <w:b w:val="false"/>
          <w:color w:val="000000"/>
          <w:sz w:val="16"/>
          <w:shd w:fill="FFFFFF" w:val="clear"/>
        </w:rPr>
        <w:t xml:space="preserve">For the six months ended June 30, 2026, these expenses also include a $0.6 million charitable contribution.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Overview</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primary requirements for liquidity and capital are for purchases of inventory, payment of operating expenses, tax distributions to Continuing Equity Owners, and capital expenditures. Historically, these cash requirements have been met through cash provided by operating activities,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2"/>
        </w:rPr>
        <w:t xml:space="preserve">equivalents, proceeds from capital-raising activities and borrowings under our loan facilities. We have historically had negative working capital driven by our high inventory turns and typical collection of payments from customers prior to payment of suppliers. As of June 30, 2026, we had a cash balance, excluding restricted cash, of </w:t>
      </w:r>
      <w:r>
        <w:rPr>
          <w:rFonts w:ascii="Times New Roman;serif" w:hAnsi="Times New Roman;serif"/>
          <w:b w:val="false"/>
          <w:color w:val="000000"/>
          <w:sz w:val="22"/>
          <w:shd w:fill="FFFFFF" w:val="clear"/>
        </w:rPr>
        <w:t>$74.9 million</w:t>
      </w:r>
      <w:r>
        <w:rPr>
          <w:rFonts w:ascii="Times New Roman;serif" w:hAnsi="Times New Roman;serif"/>
          <w:b w:val="false"/>
          <w:color w:val="000000"/>
          <w:sz w:val="22"/>
        </w:rPr>
        <w:t xml:space="preserve">, and negative working capital, excluding non-restricted cash, of </w:t>
      </w:r>
      <w:r>
        <w:rPr>
          <w:rFonts w:ascii="Times New Roman;serif" w:hAnsi="Times New Roman;serif"/>
          <w:b w:val="false"/>
          <w:color w:val="000000"/>
          <w:sz w:val="22"/>
          <w:shd w:fill="FFFFFF" w:val="clear"/>
        </w:rPr>
        <w:t>$24.0 million</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the six months ended June 30, 2026, the Company declared and paid $1.5 million of distributions to, or on behalf of, members associated with their </w:t>
      </w:r>
      <w:r>
        <w:rPr>
          <w:rFonts w:ascii="Times New Roman;serif" w:hAnsi="Times New Roman;serif"/>
          <w:b w:val="false"/>
          <w:color w:val="000000"/>
          <w:sz w:val="22"/>
          <w:shd w:fill="FFFFFF" w:val="clear"/>
        </w:rPr>
        <w:t>estimated income tax obligations pursuant to the LLC Agreement. We are comm</w:t>
      </w:r>
      <w:r>
        <w:rPr>
          <w:rFonts w:ascii="Times New Roman;serif" w:hAnsi="Times New Roman;serif"/>
          <w:b w:val="false"/>
          <w:color w:val="000000"/>
          <w:sz w:val="22"/>
        </w:rPr>
        <w:t xml:space="preserve">itted to continue to make quarterly distributions in connection with member estimated income tax obligations which we expect to fund with cash flow from operations. </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based on our current projections, that we have sufficient sources of liquidity to meet our projected operating and tax distribution requirements for at least the next 12 months following the filing of this Quarterly Report on Form 10-Q. </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Additional future liquidity needs</w:t>
      </w:r>
      <w:r>
        <w:rPr>
          <w:color w:val="000000"/>
          <w:shd w:fill="FFFFFF" w:val="clear"/>
        </w:rPr>
        <w:t xml:space="preserve"> </w:t>
      </w:r>
      <w:r>
        <w:rPr>
          <w:rFonts w:ascii="Times New Roman;serif" w:hAnsi="Times New Roman;serif"/>
          <w:b w:val="false"/>
          <w:color w:val="000000"/>
          <w:sz w:val="22"/>
          <w:shd w:fill="FFFFFF" w:val="clear"/>
        </w:rPr>
        <w:t>may also include p</w:t>
      </w:r>
      <w:r>
        <w:rPr>
          <w:rFonts w:ascii="Times New Roman;serif" w:hAnsi="Times New Roman;serif"/>
          <w:b w:val="false"/>
          <w:color w:val="000000"/>
          <w:sz w:val="22"/>
        </w:rPr>
        <w:t xml:space="preserve">ayments under the TRA, and state and federal taxes to the extent not offset by our deferred income tax assets, including those arising as a result of purchases or exchanges of common units for Class A and Class D common stock. As of June 30, 2026 and December 31, 2025, there was no TRA liability reflected on the Company's consolidated balance sheet. For similar reasons that led the Company to record a full valuation allowance on the deferred tax assets during the fourth quarter 2025, we evaluated the probability of amounts being owed pursuant to the TRA and determined the likelihood of a future liability was not probable at that time. We are currently unable to determine the total future amounts of these payments due to the unpredictable nature of factors such as timing of future exchanges, the market price of the Class A common stock at the time of the exchanges, the extent to which the exchanges are taxable and the amount and timing of future taxable income sufficient to utilize tax savings that give rise to the payments under the TRA.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new debt financing would result in debt service obligations, and any future instruments governing such debt could provide for operating and financing covenants that could restrict our operations. We cannot ensure that we could obtain new debt financing on favorable terms or at all. </w:t>
      </w:r>
    </w:p>
    <w:p>
      <w:pPr>
        <w:pStyle w:val="TextBody"/>
        <w:bidi w:val="0"/>
        <w:spacing w:before="0" w:after="2"/>
        <w:jc w:val="both"/>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left"/>
        <w:rPr>
          <w:rFonts w:ascii="Times New Roman;serif" w:hAnsi="Times New Roman;serif"/>
          <w:b/>
          <w:i/>
          <w:color w:val="000000"/>
          <w:sz w:val="22"/>
        </w:rPr>
      </w:pPr>
      <w:r>
        <w:rPr>
          <w:rFonts w:ascii="Times New Roman;serif" w:hAnsi="Times New Roman;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The following table summarizes our cash flows for the six months ended June 30, 2026 and 2025</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0"/>
        <w:jc w:val="left"/>
        <w:rPr/>
      </w:pPr>
      <w:r>
        <w:rPr/>
      </w:r>
    </w:p>
    <w:tbl>
      <w:tblPr>
        <w:tblW w:w="7958" w:type="dxa"/>
        <w:jc w:val="left"/>
        <w:tblInd w:w="0" w:type="dxa"/>
        <w:tblLayout w:type="fixed"/>
        <w:tblCellMar>
          <w:top w:w="28" w:type="dxa"/>
          <w:left w:w="28" w:type="dxa"/>
          <w:bottom w:w="28" w:type="dxa"/>
          <w:right w:w="28" w:type="dxa"/>
        </w:tblCellMar>
      </w:tblPr>
      <w:tblGrid>
        <w:gridCol w:w="1942"/>
        <w:gridCol w:w="1707"/>
        <w:gridCol w:w="1720"/>
        <w:gridCol w:w="211"/>
        <w:gridCol w:w="736"/>
        <w:gridCol w:w="109"/>
        <w:gridCol w:w="109"/>
        <w:gridCol w:w="109"/>
        <w:gridCol w:w="109"/>
        <w:gridCol w:w="211"/>
        <w:gridCol w:w="841"/>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(28,307)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75,075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133,834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Net Cash Provided by (Used In) Operating Activities</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2026, net cash used in operating activities was $1.4 million compared to net cash provided by operating activities of $1.9 million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 xml:space="preserve">June 30, 2025, an increase in cash used of $3.3 million. This increase was primarily driven by an increase in net loss adjusted for non-cash expense add backs of $2.8 million and an increase in cash used from changes in assets and liabilities related to working capital management activities of $0.5 million. The increase in cash used from changes in working capital was primarily due to an increase in cash used of $9.7 million in accounts payable, accrued expenses and other current liabilities, deferred revenue and operating lease liabilities. That increase was partially offset by a decrease in cash used in inventories and prepaid expenses and other current assets of $9.2 million. </w:t>
      </w:r>
    </w:p>
    <w:p>
      <w:pPr>
        <w:pStyle w:val="TextBody"/>
        <w:bidi w:val="0"/>
        <w:spacing w:before="0" w:after="2"/>
        <w:jc w:val="both"/>
        <w:rPr/>
      </w:pPr>
      <w:r>
        <w:rPr/>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For the six months ended June 30, 2026, net cash us</w:t>
      </w:r>
      <w:r>
        <w:rPr>
          <w:rFonts w:ascii="Times New Roman;serif" w:hAnsi="Times New Roman;serif"/>
          <w:b w:val="false"/>
          <w:color w:val="000000"/>
          <w:sz w:val="22"/>
          <w:shd w:fill="FFFFFF" w:val="clear"/>
        </w:rPr>
        <w:t xml:space="preserve">ed in investing activities was $1.4 million compared to $1.9 million for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June 30, 2025. The decrease of $0.4 million was principally due to a decrease in purchases of property and equipment related to new facilities leased during the period.</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the six months ended June 30, 2026, net cash used in financing activities was </w:t>
      </w:r>
      <w:r>
        <w:rPr>
          <w:rFonts w:ascii="Times New Roman;serif" w:hAnsi="Times New Roman;serif"/>
          <w:b w:val="false"/>
          <w:color w:val="000000"/>
          <w:sz w:val="22"/>
          <w:shd w:fill="FFFFFF" w:val="clear"/>
        </w:rPr>
        <w:t>$1.6 million</w:t>
      </w:r>
      <w:r>
        <w:rPr>
          <w:color w:val="000000"/>
        </w:rPr>
        <w:t xml:space="preserve"> </w:t>
      </w:r>
      <w:r>
        <w:rPr>
          <w:rFonts w:ascii="Times New Roman;serif" w:hAnsi="Times New Roman;serif"/>
          <w:b w:val="false"/>
          <w:color w:val="000000"/>
          <w:sz w:val="22"/>
        </w:rPr>
        <w:t xml:space="preserve">compared to </w:t>
      </w:r>
      <w:r>
        <w:rPr>
          <w:rFonts w:ascii="Times New Roman;serif" w:hAnsi="Times New Roman;serif"/>
          <w:b w:val="false"/>
          <w:color w:val="000000"/>
          <w:sz w:val="22"/>
          <w:shd w:fill="FFFFFF" w:val="clear"/>
        </w:rPr>
        <w:t>$28.4 million</w:t>
      </w:r>
      <w:r>
        <w:rPr>
          <w:color w:val="000000"/>
        </w:rPr>
        <w:t xml:space="preserve"> </w:t>
      </w:r>
      <w:r>
        <w:rPr>
          <w:rFonts w:ascii="Times New Roman;serif" w:hAnsi="Times New Roman;serif"/>
          <w:b w:val="false"/>
          <w:color w:val="000000"/>
          <w:sz w:val="22"/>
        </w:rPr>
        <w:t xml:space="preserve">for the six months ended </w:t>
      </w:r>
      <w:r>
        <w:rPr>
          <w:rFonts w:ascii="Times New Roman;serif" w:hAnsi="Times New Roman;serif"/>
          <w:b w:val="false"/>
          <w:color w:val="000000"/>
          <w:sz w:val="22"/>
          <w:shd w:fill="FFFFFF" w:val="clear"/>
        </w:rPr>
        <w:t>June 30, 2025</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 xml:space="preserve">The decrease of $26.8 million was primarily due to no debt payments or stock repurchases made during the six months ended June 30, 2026 when compared to the debt payments and stock repurchases made during the </w:t>
      </w:r>
      <w:r>
        <w:rPr>
          <w:rFonts w:ascii="Times New Roman;serif" w:hAnsi="Times New Roman;serif"/>
          <w:b w:val="false"/>
          <w:color w:val="000000"/>
          <w:sz w:val="22"/>
        </w:rPr>
        <w:t>six months ended</w:t>
      </w:r>
      <w:r>
        <w:rPr>
          <w:color w:val="000000"/>
          <w:shd w:fill="FFFFFF" w:val="clear"/>
        </w:rPr>
        <w:t xml:space="preserve"> </w:t>
      </w:r>
      <w:r>
        <w:rPr>
          <w:rFonts w:ascii="Times New Roman;serif" w:hAnsi="Times New Roman;serif"/>
          <w:b w:val="false"/>
          <w:color w:val="000000"/>
          <w:sz w:val="22"/>
          <w:shd w:fill="FFFFFF" w:val="clear"/>
        </w:rPr>
        <w:t>June 30, 2025.</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Additional Liquidity Requirements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income taxes imposed on such members with respect to the allocation of taxable income from Brilliant Earth, LLC as well as to cover our obligations under the TRA and other administrative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In addition, if Brilliant Earth, LLC does not have sufficient funds to make distributions, our ability to declare and pay cash dividends will also be restricted or impaired.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Exchange Act.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pStyle w:val="TextBody"/>
        <w:bidi w:val="0"/>
        <w:spacing w:lineRule="auto" w:line="288" w:before="16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Contractual Obligations and Commitments</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As of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there were no material changes to our contractual obligations and commitments as disclosed in Part II, Item 7, </w:t>
      </w:r>
      <w:r>
        <w:rPr>
          <w:color w:val="000000"/>
        </w:rPr>
        <w:t>“</w:t>
      </w:r>
      <w:r>
        <w:rPr>
          <w:rFonts w:ascii="Times New Roman;serif" w:hAnsi="Times New Roman;serif"/>
          <w:b w:val="false"/>
          <w:color w:val="000000"/>
          <w:sz w:val="22"/>
          <w:shd w:fill="FFFFFF" w:val="clear"/>
        </w:rPr>
        <w:t>Management's Discussion and Analysis of Financial Condition and Results of Operations</w:t>
      </w:r>
      <w:r>
        <w:rPr>
          <w:color w:val="000000"/>
        </w:rPr>
        <w:t>”</w:t>
      </w:r>
      <w:r>
        <w:rPr>
          <w:color w:val="000000"/>
          <w:shd w:fill="FFFFFF" w:val="clear"/>
        </w:rPr>
        <w:t xml:space="preserve"> </w:t>
      </w:r>
      <w:r>
        <w:rPr>
          <w:rFonts w:ascii="Times New Roman;serif" w:hAnsi="Times New Roman;serif"/>
          <w:b w:val="false"/>
          <w:color w:val="000000"/>
          <w:sz w:val="22"/>
          <w:shd w:fill="FFFFFF" w:val="clear"/>
        </w:rPr>
        <w:t xml:space="preserve">of our 2025 Form 10-K.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2025 Form 10-K.</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rPr>
      </w:pPr>
      <w:r>
        <w:rPr>
          <w:rFonts w:ascii="Times New Roman;serif" w:hAnsi="Times New Roman;serif"/>
          <w:b/>
          <w:i/>
          <w:color w:val="000000"/>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For information regarding recent accounting pronouncements, see Note 1</w:t>
      </w:r>
      <w:r>
        <w:rPr>
          <w:color w:val="000000"/>
        </w:rPr>
        <w:t xml:space="preserve"> </w:t>
      </w:r>
      <w:r>
        <w:rPr>
          <w:rFonts w:ascii="Times New Roman;serif" w:hAnsi="Times New Roman;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i/>
          <w:color w:val="000000"/>
          <w:sz w:val="22"/>
        </w:rPr>
      </w:pPr>
      <w:r>
        <w:rPr>
          <w:rFonts w:ascii="Times New Roman;serif" w:hAnsi="Times New Roman;serif"/>
          <w:b w:val="false"/>
          <w:i/>
          <w:color w:val="000000"/>
          <w:sz w:val="22"/>
        </w:rPr>
        <w:t>Evaluation of disclosure controls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June 30, 2026, our disclosure controls and procedures were effective. </w:t>
      </w:r>
    </w:p>
    <w:p>
      <w:pPr>
        <w:pStyle w:val="TextBody"/>
        <w:bidi w:val="0"/>
        <w:spacing w:before="0" w:after="2"/>
        <w:ind w:left="0" w:right="0" w:firstLine="720"/>
        <w:jc w:val="both"/>
        <w:rPr/>
      </w:pPr>
      <w:r>
        <w:rPr/>
      </w:r>
    </w:p>
    <w:p>
      <w:pPr>
        <w:pStyle w:val="TextBody"/>
        <w:bidi w:val="0"/>
        <w:spacing w:lineRule="auto" w:line="300" w:before="0" w:after="2"/>
        <w:jc w:val="both"/>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There have been </w:t>
      </w:r>
      <w:r>
        <w:rPr>
          <w:rFonts w:ascii="Times New Roman;serif" w:hAnsi="Times New Roman;serif"/>
          <w:b w:val="false"/>
          <w:color w:val="000000"/>
          <w:sz w:val="22"/>
          <w:shd w:fill="FFFFFF" w:val="clear"/>
        </w:rPr>
        <w:t xml:space="preserve">no changes </w:t>
      </w:r>
      <w:r>
        <w:rPr>
          <w:rFonts w:ascii="Times New Roman;serif" w:hAnsi="Times New Roman;serif"/>
          <w:b w:val="false"/>
          <w:color w:val="000000"/>
          <w:sz w:val="22"/>
        </w:rPr>
        <w:t xml:space="preserve">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2"/>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w:t>
      </w:r>
      <w:r>
        <w:rPr>
          <w:rFonts w:ascii="Aptos;sans-serif" w:hAnsi="Aptos;sans-serif"/>
          <w:b w:val="false"/>
          <w:color w:val="000000"/>
          <w:sz w:val="24"/>
          <w:shd w:fill="FFFFFF" w:val="clear"/>
        </w:rPr>
        <w:t>T</w:t>
      </w:r>
      <w:r>
        <w:rPr>
          <w:rFonts w:ascii="Times New Roman;serif" w:hAnsi="Times New Roman;serif"/>
          <w:b w:val="false"/>
          <w:color w:val="000000"/>
          <w:sz w:val="22"/>
          <w:shd w:fill="FFFFFF" w:val="clear"/>
        </w:rPr>
        <w:t>he parties reached an agreement to resolve the matter and</w:t>
      </w:r>
      <w:r>
        <w:rPr>
          <w:rFonts w:ascii="Times New Roman;serif" w:hAnsi="Times New Roman;serif"/>
          <w:b w:val="false"/>
          <w:color w:val="000000"/>
          <w:sz w:val="22"/>
        </w:rPr>
        <w:t>,</w:t>
      </w:r>
      <w:r>
        <w:rPr>
          <w:color w:val="51A7F9"/>
        </w:rPr>
        <w:t xml:space="preserve"> </w:t>
      </w:r>
      <w:r>
        <w:rPr>
          <w:rFonts w:ascii="Times New Roman;serif" w:hAnsi="Times New Roman;serif"/>
          <w:b w:val="false"/>
          <w:color w:val="000000"/>
          <w:sz w:val="22"/>
          <w:shd w:fill="FFFFFF" w:val="clear"/>
        </w:rPr>
        <w:t>a</w:t>
      </w:r>
      <w:r>
        <w:rPr>
          <w:rFonts w:ascii="Times New Roman;serif" w:hAnsi="Times New Roman;serif"/>
          <w:b w:val="false"/>
          <w:color w:val="000000"/>
          <w:sz w:val="22"/>
        </w:rPr>
        <w:t>s of March 26, 2026, executed a stipulation of settlement and release of claims</w:t>
      </w:r>
      <w:r>
        <w:rPr>
          <w:rFonts w:ascii="Times New Roman;serif" w:hAnsi="Times New Roman;serif"/>
          <w:b w:val="false"/>
          <w:color w:val="51A7F9"/>
          <w:sz w:val="22"/>
        </w:rPr>
        <w:t xml:space="preserve">. </w:t>
      </w:r>
      <w:r>
        <w:rPr>
          <w:rFonts w:ascii="Times New Roman;serif" w:hAnsi="Times New Roman;serif"/>
          <w:b w:val="false"/>
          <w:color w:val="000000"/>
          <w:sz w:val="22"/>
          <w:shd w:fill="FFFFFF" w:val="clear"/>
        </w:rPr>
        <w:t>O</w:t>
      </w:r>
      <w:r>
        <w:rPr>
          <w:rFonts w:ascii="Times New Roman;serif" w:hAnsi="Times New Roman;serif"/>
          <w:b w:val="false"/>
          <w:color w:val="000000"/>
          <w:sz w:val="22"/>
        </w:rPr>
        <w:t>n July 28, 2026, the court preliminarily approved the stipulation of settlement and scheduled a hearing on final approval for December 2, 2026.</w:t>
      </w:r>
      <w:r>
        <w:rPr>
          <w:color w:val="000000"/>
        </w:rPr>
        <w:t xml:space="preserve"> </w:t>
      </w:r>
      <w:r>
        <w:rPr>
          <w:rFonts w:ascii="Times New Roman;serif" w:hAnsi="Times New Roman;serif"/>
          <w:b w:val="false"/>
          <w:color w:val="000000"/>
          <w:sz w:val="22"/>
        </w:rPr>
        <w:t>There can be no assurance that the settlement will receive final approval from the court. If the settlement receives final approval,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w:t>
      </w:r>
      <w:r>
        <w:rPr>
          <w:rFonts w:ascii="Times New Roman;serif" w:hAnsi="Times New Roman;serif"/>
          <w:b w:val="false"/>
          <w:color w:val="000000"/>
          <w:sz w:val="22"/>
          <w:shd w:fill="FFFFFF" w:val="clear"/>
        </w:rPr>
        <w:t>ms.</w:t>
      </w:r>
    </w:p>
    <w:p>
      <w:pPr>
        <w:pStyle w:val="TextBody"/>
        <w:bidi w:val="0"/>
        <w:spacing w:before="0" w:after="2"/>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risk factors are described in Part I, Item 1A, “Risk Factors” of our 2025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2025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5. Other Information</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None.</w:t>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None.</w:t>
      </w:r>
    </w:p>
    <w:p>
      <w:pPr>
        <w:pStyle w:val="TextBody"/>
        <w:bidi w:val="0"/>
        <w:spacing w:lineRule="auto" w:line="268" w:before="0" w:after="0"/>
        <w:ind w:left="0" w:right="0" w:firstLine="720"/>
        <w:jc w:val="both"/>
        <w:rPr/>
      </w:pPr>
      <w:r>
        <w:rPr>
          <w:rFonts w:ascii="Times New Roman;serif" w:hAnsi="Times New Roman;serif"/>
          <w:b w:val="false"/>
          <w:color w:val="000000"/>
          <w:sz w:val="22"/>
          <w:shd w:fill="FFFFFF" w:val="clear"/>
        </w:rPr>
        <w:t>(c)</w:t>
      </w:r>
      <w:r>
        <w:rPr>
          <w:color w:val="000000"/>
        </w:rPr>
        <w:t xml:space="preserve"> </w:t>
      </w:r>
      <w:r>
        <w:rPr>
          <w:rFonts w:ascii="Times New Roman;serif" w:hAnsi="Times New Roman;serif"/>
          <w:b w:val="false"/>
          <w:color w:val="000000"/>
          <w:sz w:val="22"/>
        </w:rPr>
        <w:t>During the three months ended June 30, 2026, no directors or “officers” (as defined in Rule 16a-1(f) under the Exchange Act) of the Company adopted, modified or terminated “Rule 10b5-1 trading arrangements” and/or “non-Rule 10b5-1 trading arrangements” (each as defined in Item 408 of Regulation 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left"/>
        <w:rPr>
          <w:color w:val="008080"/>
        </w:rPr>
      </w:pPr>
      <w:r>
        <w:rPr>
          <w:color w:val="00808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w:t>
      </w:r>
    </w:p>
    <w:tbl>
      <w:tblPr>
        <w:tblW w:w="10205" w:type="dxa"/>
        <w:jc w:val="left"/>
        <w:tblInd w:w="0" w:type="dxa"/>
        <w:tblLayout w:type="fixed"/>
        <w:tblCellMar>
          <w:top w:w="28" w:type="dxa"/>
          <w:left w:w="28" w:type="dxa"/>
          <w:bottom w:w="28" w:type="dxa"/>
          <w:right w:w="28" w:type="dxa"/>
        </w:tblCellMar>
      </w:tblPr>
      <w:tblGrid>
        <w:gridCol w:w="329"/>
        <w:gridCol w:w="290"/>
        <w:gridCol w:w="291"/>
        <w:gridCol w:w="1889"/>
        <w:gridCol w:w="1790"/>
        <w:gridCol w:w="1797"/>
        <w:gridCol w:w="163"/>
        <w:gridCol w:w="163"/>
        <w:gridCol w:w="158"/>
        <w:gridCol w:w="249"/>
        <w:gridCol w:w="249"/>
        <w:gridCol w:w="187"/>
        <w:gridCol w:w="205"/>
        <w:gridCol w:w="205"/>
        <w:gridCol w:w="206"/>
        <w:gridCol w:w="223"/>
        <w:gridCol w:w="223"/>
        <w:gridCol w:w="224"/>
        <w:gridCol w:w="396"/>
        <w:gridCol w:w="396"/>
        <w:gridCol w:w="572"/>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c>
          <w:tcPr>
            <w:tcW w:w="1364"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Filed / Furnished Herewith</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4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Form</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Exhibit</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c>
          <w:tcPr>
            <w:tcW w:w="1364"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r>
      <w:tr>
        <w:trPr/>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54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16"/>
                  <w:u w:val="single"/>
                </w:rPr>
                <w:t>Certificate of Incorporation of Brilliant Earth Group, Inc.</w:t>
              </w:r>
            </w:hyperlink>
          </w:p>
        </w:tc>
        <w:tc>
          <w:tcPr>
            <w:tcW w:w="4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12/22/2025</w:t>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16"/>
                  <w:u w:val="single"/>
                </w:rPr>
                <w:t>Bylaws of Brilliant Earth Group, Inc.</w:t>
              </w:r>
            </w:hyperlink>
          </w:p>
        </w:tc>
        <w:tc>
          <w:tcPr>
            <w:tcW w:w="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6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12/22/2025</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76" w:type="dxa"/>
            <w:gridSpan w:val="3"/>
            <w:tcBorders/>
            <w:vAlign w:val="center"/>
          </w:tcPr>
          <w:p>
            <w:pPr>
              <w:pStyle w:val="TableContents"/>
              <w:bidi w:val="0"/>
              <w:spacing w:before="0" w:after="283"/>
              <w:jc w:val="left"/>
              <w:rPr>
                <w:sz w:val="4"/>
                <w:szCs w:val="4"/>
              </w:rPr>
            </w:pPr>
            <w:r>
              <w:rPr>
                <w:sz w:val="4"/>
                <w:szCs w:val="4"/>
              </w:rPr>
            </w:r>
          </w:p>
        </w:tc>
        <w:tc>
          <w:tcPr>
            <w:tcW w:w="484"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76" w:type="dxa"/>
            <w:gridSpan w:val="3"/>
            <w:tcBorders/>
            <w:vAlign w:val="center"/>
          </w:tcPr>
          <w:p>
            <w:pPr>
              <w:pStyle w:val="TableContents"/>
              <w:bidi w:val="0"/>
              <w:spacing w:before="0" w:after="283"/>
              <w:jc w:val="left"/>
              <w:rPr>
                <w:sz w:val="4"/>
                <w:szCs w:val="4"/>
              </w:rPr>
            </w:pPr>
            <w:r>
              <w:rPr>
                <w:sz w:val="4"/>
                <w:szCs w:val="4"/>
              </w:rPr>
            </w:r>
          </w:p>
        </w:tc>
        <w:tc>
          <w:tcPr>
            <w:tcW w:w="484"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erif" w:hAnsi="Times New Roman;serif"/>
                  <w:b w:val="false"/>
                  <w:color w:val="0000FF"/>
                  <w:sz w:val="16"/>
                  <w:u w:val="single"/>
                </w:rPr>
                <w:t>Certification of Chief Executive Officer pursuant to Rule 13a-14(a)/15d-14(a).</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erif" w:hAnsi="Times New Roman;serif"/>
                  <w:b w:val="false"/>
                  <w:color w:val="0000FF"/>
                  <w:sz w:val="16"/>
                  <w:u w:val="single"/>
                </w:rPr>
                <w:t>Certification of Chief Financial Officer pursuant to Rule 13a-14(a)/15d-14(a).</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erif" w:hAnsi="Times New Roman;serif"/>
                  <w:b w:val="false"/>
                  <w:color w:val="0000FF"/>
                  <w:sz w:val="16"/>
                  <w:u w:val="single"/>
                </w:rPr>
                <w:t>Certification of Chief Executive Officer pursuant to 18 U.S.C. Section 1350.</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erif" w:hAnsi="Times New Roman;serif"/>
                  <w:b w:val="false"/>
                  <w:color w:val="0000FF"/>
                  <w:sz w:val="16"/>
                  <w:u w:val="single"/>
                </w:rPr>
                <w:t>Certification of Chief Financial Officer pursuant to 18 U.S.C. Section 1350.</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4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76" w:type="dxa"/>
            <w:gridSpan w:val="3"/>
            <w:tcBorders/>
            <w:vAlign w:val="center"/>
          </w:tcPr>
          <w:p>
            <w:pPr>
              <w:pStyle w:val="TableContents"/>
              <w:bidi w:val="0"/>
              <w:spacing w:before="0" w:after="283"/>
              <w:jc w:val="left"/>
              <w:rPr>
                <w:sz w:val="4"/>
                <w:szCs w:val="4"/>
              </w:rPr>
            </w:pPr>
            <w:r>
              <w:rPr>
                <w:sz w:val="4"/>
                <w:szCs w:val="4"/>
              </w:rPr>
            </w:r>
          </w:p>
        </w:tc>
        <w:tc>
          <w:tcPr>
            <w:tcW w:w="484"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76" w:type="dxa"/>
            <w:gridSpan w:val="3"/>
            <w:tcBorders/>
            <w:vAlign w:val="center"/>
          </w:tcPr>
          <w:p>
            <w:pPr>
              <w:pStyle w:val="TableContents"/>
              <w:bidi w:val="0"/>
              <w:spacing w:before="0" w:after="283"/>
              <w:jc w:val="left"/>
              <w:rPr>
                <w:sz w:val="4"/>
                <w:szCs w:val="4"/>
              </w:rPr>
            </w:pPr>
            <w:r>
              <w:rPr>
                <w:sz w:val="4"/>
                <w:szCs w:val="4"/>
              </w:rPr>
            </w:r>
          </w:p>
        </w:tc>
        <w:tc>
          <w:tcPr>
            <w:tcW w:w="484"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76" w:type="dxa"/>
            <w:gridSpan w:val="3"/>
            <w:tcBorders/>
            <w:vAlign w:val="center"/>
          </w:tcPr>
          <w:p>
            <w:pPr>
              <w:pStyle w:val="TableContents"/>
              <w:bidi w:val="0"/>
              <w:spacing w:before="0" w:after="283"/>
              <w:jc w:val="left"/>
              <w:rPr>
                <w:sz w:val="4"/>
                <w:szCs w:val="4"/>
              </w:rPr>
            </w:pPr>
            <w:r>
              <w:rPr>
                <w:sz w:val="4"/>
                <w:szCs w:val="4"/>
              </w:rPr>
            </w:r>
          </w:p>
        </w:tc>
        <w:tc>
          <w:tcPr>
            <w:tcW w:w="484"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288" w:before="0" w:after="2"/>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Brilliant Earth Group, Inc.</w:t>
      </w:r>
    </w:p>
    <w:p>
      <w:pPr>
        <w:pStyle w:val="TextBody"/>
        <w:bidi w:val="0"/>
        <w:spacing w:before="0" w:after="2"/>
        <w:ind w:left="0" w:right="0" w:hanging="3510"/>
        <w:jc w:val="left"/>
        <w:rPr/>
      </w:pPr>
      <w:r>
        <w:rPr/>
      </w:r>
    </w:p>
    <w:p>
      <w:pPr>
        <w:pStyle w:val="TextBody"/>
        <w:bidi w:val="0"/>
        <w:spacing w:lineRule="auto" w:line="288" w:before="0" w:after="2"/>
        <w:jc w:val="right"/>
        <w:rPr/>
      </w:pPr>
      <w:r>
        <w:rPr>
          <w:rFonts w:ascii="Times New Roman;serif" w:hAnsi="Times New Roman;serif"/>
          <w:b w:val="false"/>
          <w:color w:val="000000"/>
          <w:sz w:val="22"/>
          <w:shd w:fill="FFFFFF" w:val="clear"/>
        </w:rPr>
        <w:t>August 6, 2026</w:t>
      </w:r>
      <w:r>
        <w:rPr>
          <w:color w:val="000000"/>
        </w:rPr>
        <w:t>             </w:t>
      </w:r>
      <w:r>
        <w:rPr>
          <w:rFonts w:ascii="Times New Roman;serif" w:hAnsi="Times New Roman;serif"/>
          <w:b w:val="false"/>
          <w:color w:val="000000"/>
          <w:sz w:val="22"/>
          <w:u w:val="single"/>
        </w:rPr>
        <w:t>By:/s/ Jeffrey Kuo</w:t>
      </w:r>
    </w:p>
    <w:p>
      <w:pPr>
        <w:pStyle w:val="TextBody"/>
        <w:bidi w:val="0"/>
        <w:spacing w:lineRule="auto" w:line="288" w:before="0" w:after="2"/>
        <w:ind w:left="0" w:right="0" w:hanging="3510"/>
        <w:jc w:val="right"/>
        <w:rPr>
          <w:rFonts w:ascii="Times New Roman;serif" w:hAnsi="Times New Roman;serif"/>
          <w:b w:val="false"/>
          <w:color w:val="000000"/>
          <w:sz w:val="22"/>
        </w:rPr>
      </w:pPr>
      <w:r>
        <w:rPr>
          <w:rFonts w:ascii="Times New Roman;serif" w:hAnsi="Times New Roman;serif"/>
          <w:b w:val="false"/>
          <w:color w:val="000000"/>
          <w:sz w:val="22"/>
        </w:rPr>
        <w:t xml:space="preserve">Jeffrey Kuo </w:t>
      </w:r>
    </w:p>
    <w:p>
      <w:pPr>
        <w:pStyle w:val="TextBody"/>
        <w:bidi w:val="0"/>
        <w:spacing w:lineRule="auto" w:line="288" w:before="0" w:after="2"/>
        <w:ind w:left="0" w:right="0" w:hanging="3510"/>
        <w:jc w:val="right"/>
        <w:rPr>
          <w:rFonts w:ascii="Times New Roman;serif" w:hAnsi="Times New Roman;serif"/>
          <w:b w:val="false"/>
          <w:color w:val="000000"/>
          <w:sz w:val="22"/>
        </w:rPr>
      </w:pPr>
      <w:r>
        <w:rPr>
          <w:rFonts w:ascii="Times New Roman;serif" w:hAnsi="Times New Roman;serif"/>
          <w:b w:val="false"/>
          <w:color w:val="000000"/>
          <w:sz w:val="22"/>
        </w:rPr>
        <w:t>Chief Financial Officer</w:t>
      </w:r>
    </w:p>
    <w:p>
      <w:pPr>
        <w:pStyle w:val="TextBody"/>
        <w:bidi w:val="0"/>
        <w:spacing w:lineRule="auto" w:line="288" w:before="0" w:after="2"/>
        <w:ind w:left="0" w:right="0" w:hanging="3510"/>
        <w:jc w:val="right"/>
        <w:rPr>
          <w:rFonts w:ascii="Times New Roman;serif" w:hAnsi="Times New Roman;serif"/>
          <w:b w:val="false"/>
          <w:i/>
          <w:color w:val="000000"/>
          <w:sz w:val="22"/>
        </w:rPr>
      </w:pPr>
      <w:r>
        <w:rPr>
          <w:rFonts w:ascii="Times New Roman;serif" w:hAnsi="Times New Roman;serif"/>
          <w:b w:val="false"/>
          <w:i/>
          <w:color w:val="000000"/>
          <w:sz w:val="22"/>
        </w:rPr>
        <w:t xml:space="preserve">(Principal Financial Officer and 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31.1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August 6, 2026</w:t>
      </w: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Beth Gerstein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Beth Gerstein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lineRule="auto" w:line="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rPr>
        <w:t>Principal Executive Officer</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5.</w:t>
      </w:r>
      <w:r>
        <w:rPr>
          <w:rFonts w:ascii="Times New Roman;serif" w:hAnsi="Times New Roman;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August 6, 2026</w:t>
      </w: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w:t>
      </w:r>
      <w:r>
        <w:rPr>
          <w:rFonts w:ascii="Times New Roman;serif" w:hAnsi="Times New Roman;serif"/>
          <w:b w:val="false"/>
          <w:color w:val="000000"/>
          <w:sz w:val="24"/>
          <w:u w:val="single"/>
        </w:rPr>
        <w:t>Jeffrey</w:t>
      </w:r>
      <w:r>
        <w:rPr>
          <w:color w:val="000000"/>
          <w:u w:val="single"/>
        </w:rPr>
        <w:t xml:space="preserve"> </w:t>
      </w:r>
      <w:r>
        <w:rPr>
          <w:rFonts w:ascii="Times New Roman;serif" w:hAnsi="Times New Roman;serif"/>
          <w:b w:val="false"/>
          <w:color w:val="000000"/>
          <w:sz w:val="22"/>
          <w:u w:val="single"/>
        </w:rPr>
        <w:t>Kuo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Jeffrey Kuo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rPr>
        <w:t>Principal Financial Officer</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on Form 10-Q of Brilliant Earth Group, Inc. (the “Company”) for the period ended June 30, 2026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August 6, 2026</w:t>
      </w: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Beth Gerstein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Name: Beth Gerstein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erif" w:hAnsi="Times New Roman;serif"/>
          <w:b w:val="false"/>
          <w:color w:val="000000"/>
          <w:sz w:val="22"/>
        </w:rPr>
        <w:t>(</w:t>
      </w:r>
      <w:r>
        <w:rPr>
          <w:rFonts w:ascii="Times New Roman;serif" w:hAnsi="Times New Roman;serif"/>
          <w:b w:val="false"/>
          <w:i/>
          <w:color w:val="000000"/>
          <w:sz w:val="22"/>
        </w:rPr>
        <w:t>Principal Executive Officer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on Form 10-Q of Brilliant Earth Group, Inc. (the “Company”) for the period ended June 30, 2026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August 6, 2026</w:t>
      </w: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w:t>
      </w:r>
      <w:r>
        <w:rPr>
          <w:rFonts w:ascii="Times New Roman;serif" w:hAnsi="Times New Roman;serif"/>
          <w:b w:val="false"/>
          <w:color w:val="000000"/>
          <w:sz w:val="24"/>
          <w:u w:val="single"/>
        </w:rPr>
        <w:t>Jeffrey</w:t>
      </w:r>
      <w:r>
        <w:rPr>
          <w:color w:val="000000"/>
          <w:u w:val="single"/>
        </w:rPr>
        <w:t xml:space="preserve"> </w:t>
      </w:r>
      <w:r>
        <w:rPr>
          <w:rFonts w:ascii="Times New Roman;serif" w:hAnsi="Times New Roman;serif"/>
          <w:b w:val="false"/>
          <w:color w:val="000000"/>
          <w:sz w:val="22"/>
          <w:u w:val="single"/>
        </w:rPr>
        <w:t>Kuo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Name: Jeffrey Kuo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erif" w:hAnsi="Times New Roman;serif"/>
          <w:b w:val="false"/>
          <w:color w:val="000000"/>
          <w:sz w:val="22"/>
        </w:rPr>
        <w:t>(</w:t>
      </w:r>
      <w:r>
        <w:rPr>
          <w:rFonts w:ascii="Times New Roman;serif" w:hAnsi="Times New Roman;serif"/>
          <w:b w:val="false"/>
          <w:i/>
          <w:color w:val="000000"/>
          <w:sz w:val="22"/>
        </w:rPr>
        <w:t>Principal Financial Officer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757/000114036125046408/ny20061505x1_ex3-1.htm" TargetMode="External"/><Relationship Id="rId3" Type="http://schemas.openxmlformats.org/officeDocument/2006/relationships/hyperlink" Target="https://www.sec.gov/Archives/edgar/data/1866757/000114036125046408/ny20061505x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15535</Words>
  <Characters>85272</Characters>
  <CharactersWithSpaces>99992</CharactersWithSpaces>
  <Paragraphs>2189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