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3acef7ad75de4ecf8137c5aa66662c57_7">
        <w:r>
          <w:rPr>
            <w:rStyle w:val="InternetLink"/>
            <w:rFonts w:ascii="Times New Roman;sans-serif" w:hAnsi="Times New Roman;sans-serif"/>
            <w:b w:val="false"/>
            <w:color w:val="0000FF"/>
            <w:sz w:val="20"/>
            <w:u w:val="single"/>
          </w:rPr>
          <w:t>Table of Contents</w:t>
        </w:r>
      </w:hyperlink>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001-40836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Brilliant Earth Group, Inc.</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8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87-1015499</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300 Grant Avenue, Third Floor</w:t>
            </w:r>
          </w:p>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(800) 691-0952</w:t>
      </w:r>
    </w:p>
    <w:p>
      <w:pPr>
        <w:pStyle w:val="TextBody"/>
        <w:bidi w:val="0"/>
        <w:spacing w:lineRule="auto" w:line="21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56"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BRLT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The Nasdaq Global Market </w:t>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60"/>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405"/>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lineRule="auto" w:line="300" w:before="0" w:after="2"/>
        <w:jc w:val="both"/>
        <w:rPr>
          <w:rFonts w:ascii="Times New Roman;sans-serif" w:hAnsi="Times New Roman;sans-serif"/>
          <w:b w:val="false"/>
          <w:color w:val="000000"/>
          <w:sz w:val="16"/>
        </w:rPr>
      </w:pPr>
      <w:r>
        <w:rPr>
          <w:rFonts w:ascii="Times New Roman;sans-serif" w:hAnsi="Times New Roman;sans-serif"/>
          <w:b w:val="false"/>
          <w:color w:val="000000"/>
          <w:sz w:val="16"/>
        </w:rPr>
        <w:t>As of August 7, 2023, there were 12,039,540 shares of the registrant's Class A common stock, $0.0001 par value per share, outstanding, 35,616,783 shares of the registrant's Class B common stock, $0.0001 par value per share, outstanding, 49,119,976 shares of the registrant's Class C common stock, $0.0001 par value per share, outstanding and no shares of the registrant's Class D common stock,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79095"/>
                <wp:effectExtent l="0" t="0" r="0" b="0"/>
                <wp:wrapNone/>
                <wp:docPr id="1" name="Frame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p>
      <w:pPr>
        <w:pStyle w:val="TextBody"/>
        <w:bidi w:val="0"/>
        <w:spacing w:before="0" w:after="2"/>
        <w:jc w:val="center"/>
        <w:rPr/>
      </w:pPr>
      <w:r>
        <w:rPr/>
      </w:r>
    </w:p>
    <w:tbl>
      <w:tblPr>
        <w:tblW w:w="9211" w:type="dxa"/>
        <w:jc w:val="left"/>
        <w:tblInd w:w="0" w:type="dxa"/>
        <w:tblLayout w:type="fixed"/>
        <w:tblCellMar>
          <w:top w:w="28" w:type="dxa"/>
          <w:left w:w="28" w:type="dxa"/>
          <w:bottom w:w="28" w:type="dxa"/>
          <w:right w:w="28" w:type="dxa"/>
        </w:tblCellMar>
      </w:tblPr>
      <w:tblGrid>
        <w:gridCol w:w="3136"/>
        <w:gridCol w:w="2760"/>
        <w:gridCol w:w="2774"/>
        <w:gridCol w:w="158"/>
        <w:gridCol w:w="158"/>
        <w:gridCol w:w="225"/>
      </w:tblGrid>
      <w:tr>
        <w:trPr/>
        <w:tc>
          <w:tcPr>
            <w:tcW w:w="3136"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6">
              <w:r>
                <w:rPr>
                  <w:rStyle w:val="InternetLink"/>
                  <w:rFonts w:ascii="Times New Roman;sans-serif" w:hAnsi="Times New Roman;sans-serif"/>
                  <w:b w:val="false"/>
                  <w:color w:val="0000FF"/>
                  <w:sz w:val="20"/>
                  <w:u w:val="single"/>
                </w:rPr>
                <w:t>Part I -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9">
              <w:r>
                <w:rPr>
                  <w:rStyle w:val="InternetLink"/>
                  <w:rFonts w:ascii="Times New Roman;sans-serif" w:hAnsi="Times New Roman;sans-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9">
              <w:r>
                <w:rPr>
                  <w:rStyle w:val="InternetLink"/>
                  <w:rFonts w:ascii="Times New Roman;sans-serif" w:hAnsi="Times New Roman;sans-serif"/>
                  <w:b w:val="false"/>
                  <w:color w:val="0000FF"/>
                  <w:sz w:val="20"/>
                  <w:u w:val="single"/>
                </w:rPr>
                <w:t>5</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7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73">
              <w:r>
                <w:rPr>
                  <w:rStyle w:val="InternetLink"/>
                  <w:rFonts w:ascii="Times New Roman;sans-serif" w:hAnsi="Times New Roman;sans-serif"/>
                  <w:b w:val="false"/>
                  <w:color w:val="0000FF"/>
                  <w:sz w:val="20"/>
                  <w:u w:val="single"/>
                </w:rPr>
                <w:t>25</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3acef7ad75de4ecf8137c5aa66662c57_112">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12">
              <w:r>
                <w:rPr>
                  <w:rStyle w:val="InternetLink"/>
                  <w:rFonts w:ascii="Times New Roman;sans-serif" w:hAnsi="Times New Roman;sans-serif"/>
                  <w:b w:val="false"/>
                  <w:color w:val="0000FF"/>
                  <w:sz w:val="20"/>
                  <w:u w:val="single"/>
                </w:rPr>
                <w:t>41</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3acef7ad75de4ecf8137c5aa66662c57_115">
              <w:r>
                <w:rPr>
                  <w:rStyle w:val="InternetLink"/>
                  <w:rFonts w:ascii="Times New Roman;sans-serif" w:hAnsi="Times New Roman;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15">
              <w:r>
                <w:rPr>
                  <w:rStyle w:val="InternetLink"/>
                  <w:rFonts w:ascii="Times New Roman;sans-serif" w:hAnsi="Times New Roman;sans-serif"/>
                  <w:b w:val="false"/>
                  <w:color w:val="0000FF"/>
                  <w:sz w:val="20"/>
                  <w:u w:val="single"/>
                </w:rPr>
                <w:t>41</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3acef7ad75de4ecf8137c5aa66662c57_118">
              <w:r>
                <w:rPr>
                  <w:rStyle w:val="InternetLink"/>
                  <w:rFonts w:ascii="Times New Roman;sans-serif" w:hAnsi="Times New Roman;sans-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3acef7ad75de4ecf8137c5aa66662c57_121">
              <w:r>
                <w:rPr>
                  <w:rStyle w:val="InternetLink"/>
                  <w:rFonts w:ascii="Times New Roman;sans-serif" w:hAnsi="Times New Roman;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21">
              <w:r>
                <w:rPr>
                  <w:rStyle w:val="InternetLink"/>
                  <w:rFonts w:ascii="Times New Roman;sans-serif" w:hAnsi="Times New Roman;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24">
              <w:r>
                <w:rPr>
                  <w:rStyle w:val="InternetLink"/>
                  <w:rFonts w:ascii="Times New Roman;sans-serif" w:hAnsi="Times New Roman;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24">
              <w:r>
                <w:rPr>
                  <w:rStyle w:val="InternetLink"/>
                  <w:rFonts w:ascii="Times New Roman;sans-serif" w:hAnsi="Times New Roman;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27">
              <w:r>
                <w:rPr>
                  <w:rStyle w:val="InternetLink"/>
                  <w:rFonts w:ascii="Times New Roman;sans-serif" w:hAnsi="Times New Roman;sans-serif"/>
                  <w:b w:val="false"/>
                  <w:color w:val="0000FF"/>
                  <w:sz w:val="20"/>
                  <w:u w:val="single"/>
                </w:rPr>
                <w:t>Item 2. Unregistered Sales of Equity Securities, Use of Proceeds,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27">
              <w:r>
                <w:rPr>
                  <w:rStyle w:val="InternetLink"/>
                  <w:rFonts w:ascii="Times New Roman;sans-serif" w:hAnsi="Times New Roman;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30">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30">
              <w:r>
                <w:rPr>
                  <w:rStyle w:val="InternetLink"/>
                  <w:rFonts w:ascii="Times New Roman;sans-serif" w:hAnsi="Times New Roman;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33">
              <w:r>
                <w:rPr>
                  <w:rStyle w:val="InternetLink"/>
                  <w:rFonts w:ascii="Times New Roman;sans-serif" w:hAnsi="Times New Roman;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33">
              <w:r>
                <w:rPr>
                  <w:rStyle w:val="InternetLink"/>
                  <w:rFonts w:ascii="Times New Roman;sans-serif" w:hAnsi="Times New Roman;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36">
              <w:r>
                <w:rPr>
                  <w:rStyle w:val="InternetLink"/>
                  <w:rFonts w:ascii="Times New Roman;sans-serif" w:hAnsi="Times New Roman;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36">
              <w:r>
                <w:rPr>
                  <w:rStyle w:val="InternetLink"/>
                  <w:rFonts w:ascii="Times New Roman;sans-serif" w:hAnsi="Times New Roman;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39">
              <w:r>
                <w:rPr>
                  <w:rStyle w:val="InternetLink"/>
                  <w:rFonts w:ascii="Times New Roman;sans-serif" w:hAnsi="Times New Roman;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39">
              <w:r>
                <w:rPr>
                  <w:rStyle w:val="InternetLink"/>
                  <w:rFonts w:ascii="Times New Roman;sans-serif" w:hAnsi="Times New Roman;sans-serif"/>
                  <w:b w:val="false"/>
                  <w:color w:val="0000FF"/>
                  <w:sz w:val="20"/>
                  <w:u w:val="single"/>
                </w:rPr>
                <w:t>43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3acef7ad75de4ecf8137c5aa66662c57_142">
              <w:r>
                <w:rPr>
                  <w:rStyle w:val="InternetLink"/>
                  <w:rFonts w:ascii="Times New Roman;sans-serif" w:hAnsi="Times New Roman;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3acef7ad75de4ecf8137c5aa66662c57_142">
              <w:r>
                <w:rPr>
                  <w:rStyle w:val="InternetLink"/>
                  <w:rFonts w:ascii="Times New Roman;sans-serif" w:hAnsi="Times New Roman;sans-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79095"/>
                <wp:effectExtent l="0" t="0" r="0" b="0"/>
                <wp:wrapNone/>
                <wp:docPr id="2" name="Frame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before="0" w:after="2"/>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future capital expenditures, and debt service obligations, are forward-looking statements. In some cases, you can identify forward-looking statements by terms, such as "</w:t>
      </w:r>
      <w:r>
        <w:rPr>
          <w:rFonts w:ascii="Times New Roman;sans-serif" w:hAnsi="Times New Roman;sans-serif"/>
          <w:b w:val="false"/>
          <w:color w:val="000000"/>
          <w:sz w:val="20"/>
        </w:rPr>
        <w:t xml:space="preserve">anticipate," "believe," "contemplate," "continue," "could," "estimate," "evolve," "expect," "intend," "may," "plan," "potential," "predict," "seek," "should," "strategy," "target," "will," or "would," or the negative of these terms or other similar expressions. </w:t>
      </w:r>
      <w:r>
        <w:rPr>
          <w:rFonts w:ascii="Times New Roman;sans-serif" w:hAnsi="Times New Roman;sans-serif"/>
          <w:b w:val="false"/>
          <w:color w:val="000000"/>
          <w:sz w:val="20"/>
          <w:shd w:fill="FFFFFF" w:val="clear"/>
        </w:rPr>
        <w:t>Accordingly, we caution you that any such forward-looking statements are not guarantees of future performance and are subject to risks, assumptions, and uncertainties that are difficult to predict.</w:t>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our rapid growth in recent years and limited operating experience; our ability to manage growth effectively; risks related to increases in costs of diamonds, other gemstones and precious metals; lead times, and supply shortages and supply changes; our ability to maintain a low cost of production and distribution; fluctuations in the pricing and supply of diamonds, other gemstones, and precious metals, particularly responsibly sourced natural and lab-grown diamonds and recycled precious metals such as gold, increases in labor costs for manufacturing such as wage rate increases, as well as inflation, and energy prices; our ability to cost-effectively turn existing customers into repeat customers or to acquire new customers; our expansion plans in the U.S.; risks related to an overall decline in the health of the economy and other factors impacting consumer spending, such as recessionary conditions, governmental instability, war or the threat of war, and natural disasters; our history of losses, and our ability to sustain profitability; our ability to compete in the fine jewelry retail industry; our ability to manage our inventory balances and inventory shrinkage; a decline in sales of Create Your Own rings; our ability to maintain and enhance our brand; the effectiveness of our marketing efforts; the impact of environmental, social, and governance matters on our business and reputation; our e-commerce and omnichannel business; our ability to effectively anticipate and respond to changes in consumer preferences and shopping patterns; our ability to predict future performance due to quarterly and annual fluctuations of our results of operations and operating cash flow; our dependence on distributions from Brilliant Earth, LLC to pay our taxes and expenses; risks related to our obligations under the Tax Receivable Agreement (as defined below) and our organizational structure; and the other risks, uncertainties and the factors described in Part I, Item 1A, "Risk Factors" in our Annual Report on Form 10-K for the fiscal year ended December 31, 2022 (the "2022 Form 10-K") filed with the Securities and Exchange Commission (the "</w:t>
      </w:r>
      <w:r>
        <w:rPr>
          <w:rFonts w:ascii="Times New Roman;sans-serif" w:hAnsi="Times New Roman;sans-serif"/>
          <w:b w:val="false"/>
          <w:color w:val="000000"/>
          <w:sz w:val="20"/>
        </w:rPr>
        <w:t>SEC") on March 21, 2023</w:t>
      </w:r>
      <w:r>
        <w:rPr>
          <w:rFonts w:ascii="Times New Roman;sans-serif" w:hAnsi="Times New Roman;sans-serif"/>
          <w:b w:val="false"/>
          <w:color w:val="000000"/>
          <w:sz w:val="20"/>
          <w:shd w:fill="FFFFFF" w:val="clear"/>
        </w:rPr>
        <w:t xml:space="preserve">. Other sections of this Quarterly Report on Form 10-Q include additional factors that could adversely impact our business and financial performance. </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You should not rely upon forward-looking statements as predictions of future events. This Quarterly Report on Form 10-Q and the documents that we have filed as exhibits should be read with the understanding that our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future results, levels of activity, performance and achievements may be materially different from what we expect. We qualify all of our forward-looking statements by these cautionary statements. These forward 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2"/>
        <w:jc w:val="center"/>
        <w:rPr/>
      </w:pPr>
      <w:r>
        <w:rPr/>
      </w:r>
    </w:p>
    <w:p>
      <w:pPr>
        <w:pStyle w:val="TextBody"/>
        <w:bidi w:val="0"/>
        <w:spacing w:lineRule="auto" w:line="300" w:before="0" w:after="2"/>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the context otherwise requires, references to:</w:t>
      </w:r>
    </w:p>
    <w:p>
      <w:pPr>
        <w:pStyle w:val="TextBody"/>
        <w:bidi w:val="0"/>
        <w:spacing w:before="0" w:after="2"/>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"us," "our," the "Company," "Brilliant Earth," and similar references refer to Brilliant Earth Group, Inc., and, unless otherwise stated, all of its subsidiaries, including Brilliant Earth, LLC.</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"Brilliant Earth LLC Agreement" refers to Brilliant Earth, LLC's amended and restated limited liability company agreement, which became effective prior to the consummation of the IPO.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"Continuing Equity Owners" refers collectively to holders of LLC Interests (as defined below) and our Class B common stock and Class C common stock immediately following consummation of the Reorganization Transactions,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"Founders" refers to Beth Gerstein, our Co-Founder and Chief Executive Officer, Eric Grossberg, our Co-Founder and Executive Chairman, and Just Rocks, Inc., a Delaware corporation, which is jointly owned and controlled by our Founders.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"LLC Interests" or "LLC Units" refers to the common units of Brilliant Earth, LLC, including those that we purchased with the net proceeds from the IPO.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"Mainsail" refers to Mainsail Partners III, L.P., our sponsor and a Delaware limited partnership, and certain funds affiliated with Mainsail Partners III, L.P., including Mainsail Incentive Program, LLC, and Mainsail Co-Investors III, L.P.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"Reorganization Transactions" refers to the organizational transactions and the IPO, and the application of the net proceeds therefrom.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pPr>
      <w:hyperlink w:anchor="i3acef7ad75de4ecf8137c5aa66662c57_7">
        <w:r>
          <w:rPr>
            <w:rStyle w:val="InternetLink"/>
            <w:rFonts w:ascii="Times New Roman;sans-serif" w:hAnsi="Times New Roman;sans-serif"/>
            <w:b/>
            <w:color w:val="000000"/>
            <w:sz w:val="20"/>
            <w:u w:val="single"/>
          </w:rPr>
          <w:t>Part I - Financial Information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Brilliant Earth Group, Inc.</w:t>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BALANCE SHEETS</w:t>
      </w:r>
    </w:p>
    <w:p>
      <w:pPr>
        <w:pStyle w:val="TextBody"/>
        <w:bidi w:val="0"/>
        <w:spacing w:lineRule="auto" w:line="276" w:before="0" w:after="1"/>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42"/>
        <w:gridCol w:w="2377"/>
        <w:gridCol w:w="2371"/>
        <w:gridCol w:w="196"/>
        <w:gridCol w:w="751"/>
        <w:gridCol w:w="109"/>
        <w:gridCol w:w="109"/>
        <w:gridCol w:w="109"/>
        <w:gridCol w:w="109"/>
        <w:gridCol w:w="199"/>
        <w:gridCol w:w="765"/>
        <w:gridCol w:w="111"/>
        <w:gridCol w:w="157"/>
      </w:tblGrid>
      <w:tr>
        <w:trPr/>
        <w:tc>
          <w:tcPr>
            <w:tcW w:w="2842"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149,605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154,649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39,413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39,331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10,938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11,764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200,163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205,949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22,200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16,554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8,948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38,333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27,812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3,266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3,311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273,329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262,574</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11,032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34,163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37,833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22,258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18,505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4,983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3,873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3,250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current liabilities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74,150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74,493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57,924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59,462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39,712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28,537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pursuant to the Tax Receivable Agreement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7,897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6,893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179,695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169,433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10)</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none issued and outstanding at June 30, 2023 and December 31,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1,200,000,000 shares authorized; 12,037,565 and 11,246,694 shares issued and outstanding at June 30, 2023 and December 31, 2022,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150,000,000 shares authorized; 35,583,600 and 35,482,534 shares issued and outstanding at June 30, 2023 and December 31,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$0.0001 par value, 150,000,000 shares authorized; 49,119,976 and 49,119,976 shares issued and outstanding at June 30, 2023 and December 31, 2022,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D common stock, $0.0001 par value, 150,000,000 shares authorized; none issued and outstanding at June 30, 2023 and December 31,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7,882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7,256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3,663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Equity attributable to Brilliant Earth Group, Inc.</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11,651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10,929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NCI attributable to Brilliant Earth, LLC</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81,983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82,212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93,634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93,141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273,329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262,574</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9912" w:type="dxa"/>
        <w:jc w:val="left"/>
        <w:tblInd w:w="0" w:type="dxa"/>
        <w:tblLayout w:type="fixed"/>
        <w:tblCellMar>
          <w:top w:w="28" w:type="dxa"/>
          <w:left w:w="28" w:type="dxa"/>
          <w:bottom w:w="28" w:type="dxa"/>
          <w:right w:w="28" w:type="dxa"/>
        </w:tblCellMar>
      </w:tblPr>
      <w:tblGrid>
        <w:gridCol w:w="1482"/>
        <w:gridCol w:w="1307"/>
        <w:gridCol w:w="1321"/>
        <w:gridCol w:w="202"/>
        <w:gridCol w:w="774"/>
        <w:gridCol w:w="109"/>
        <w:gridCol w:w="109"/>
        <w:gridCol w:w="109"/>
        <w:gridCol w:w="109"/>
        <w:gridCol w:w="202"/>
        <w:gridCol w:w="774"/>
        <w:gridCol w:w="109"/>
        <w:gridCol w:w="109"/>
        <w:gridCol w:w="109"/>
        <w:gridCol w:w="109"/>
        <w:gridCol w:w="202"/>
        <w:gridCol w:w="774"/>
        <w:gridCol w:w="109"/>
        <w:gridCol w:w="109"/>
        <w:gridCol w:w="109"/>
        <w:gridCol w:w="109"/>
        <w:gridCol w:w="202"/>
        <w:gridCol w:w="774"/>
        <w:gridCol w:w="109"/>
        <w:gridCol w:w="109"/>
        <w:gridCol w:w="109"/>
        <w:gridCol w:w="109"/>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110,184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108,809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207,882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208,847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46,695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50,988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90,717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100,910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63,489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57,821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117,165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107,937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62,129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52,145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115,895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1,360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5,676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1,270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10,976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tax</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1,272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3,864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819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7,329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1,235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3,751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795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7,120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allocable to non-controlling interest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3,327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6,340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allocable to Brilliant Earth Group, Inc.</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780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 average shares of common stock outstanding: </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11,796,639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10,810,627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11,593,416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10,412,922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96,889,854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96,208,702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96,820,285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96,386,862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CHANGES IN EQUITY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p>
      <w:pPr>
        <w:pStyle w:val="TextBody"/>
        <w:bidi w:val="0"/>
        <w:spacing w:before="0" w:after="2"/>
        <w:jc w:val="center"/>
        <w:rPr/>
      </w:pPr>
      <w:r>
        <w:rPr/>
      </w:r>
    </w:p>
    <w:p>
      <w:pPr>
        <w:pStyle w:val="TextBody"/>
        <w:bidi w:val="0"/>
        <w:spacing w:before="0" w:after="2"/>
        <w:jc w:val="left"/>
        <w:rPr/>
      </w:pPr>
      <w:r>
        <w:rPr/>
      </w:r>
    </w:p>
    <w:p>
      <w:pPr>
        <w:pStyle w:val="TextBody"/>
        <w:bidi w:val="0"/>
        <w:spacing w:before="0" w:after="2"/>
        <w:jc w:val="left"/>
        <w:rPr/>
      </w:pPr>
      <w:r>
        <w:rPr/>
      </w:r>
    </w:p>
    <w:tbl>
      <w:tblPr>
        <w:tblW w:w="14589" w:type="dxa"/>
        <w:jc w:val="left"/>
        <w:tblInd w:w="0" w:type="dxa"/>
        <w:tblLayout w:type="fixed"/>
        <w:tblCellMar>
          <w:top w:w="28" w:type="dxa"/>
          <w:left w:w="28" w:type="dxa"/>
          <w:bottom w:w="28" w:type="dxa"/>
          <w:right w:w="28" w:type="dxa"/>
        </w:tblCellMar>
      </w:tblPr>
      <w:tblGrid>
        <w:gridCol w:w="648"/>
        <w:gridCol w:w="201"/>
        <w:gridCol w:w="202"/>
        <w:gridCol w:w="413"/>
        <w:gridCol w:w="413"/>
        <w:gridCol w:w="171"/>
        <w:gridCol w:w="109"/>
        <w:gridCol w:w="109"/>
        <w:gridCol w:w="109"/>
        <w:gridCol w:w="221"/>
        <w:gridCol w:w="241"/>
        <w:gridCol w:w="109"/>
        <w:gridCol w:w="109"/>
        <w:gridCol w:w="109"/>
        <w:gridCol w:w="109"/>
        <w:gridCol w:w="413"/>
        <w:gridCol w:w="413"/>
        <w:gridCol w:w="171"/>
        <w:gridCol w:w="109"/>
        <w:gridCol w:w="109"/>
        <w:gridCol w:w="109"/>
        <w:gridCol w:w="221"/>
        <w:gridCol w:w="241"/>
        <w:gridCol w:w="109"/>
        <w:gridCol w:w="109"/>
        <w:gridCol w:w="109"/>
        <w:gridCol w:w="109"/>
        <w:gridCol w:w="413"/>
        <w:gridCol w:w="413"/>
        <w:gridCol w:w="171"/>
        <w:gridCol w:w="109"/>
        <w:gridCol w:w="109"/>
        <w:gridCol w:w="109"/>
        <w:gridCol w:w="221"/>
        <w:gridCol w:w="241"/>
        <w:gridCol w:w="109"/>
        <w:gridCol w:w="109"/>
        <w:gridCol w:w="109"/>
        <w:gridCol w:w="109"/>
        <w:gridCol w:w="181"/>
        <w:gridCol w:w="496"/>
        <w:gridCol w:w="109"/>
        <w:gridCol w:w="109"/>
        <w:gridCol w:w="109"/>
        <w:gridCol w:w="109"/>
        <w:gridCol w:w="181"/>
        <w:gridCol w:w="496"/>
        <w:gridCol w:w="109"/>
        <w:gridCol w:w="109"/>
        <w:gridCol w:w="109"/>
        <w:gridCol w:w="109"/>
        <w:gridCol w:w="195"/>
        <w:gridCol w:w="617"/>
        <w:gridCol w:w="119"/>
        <w:gridCol w:w="109"/>
        <w:gridCol w:w="109"/>
        <w:gridCol w:w="109"/>
        <w:gridCol w:w="413"/>
        <w:gridCol w:w="413"/>
        <w:gridCol w:w="141"/>
        <w:gridCol w:w="109"/>
        <w:gridCol w:w="109"/>
        <w:gridCol w:w="109"/>
        <w:gridCol w:w="181"/>
        <w:gridCol w:w="571"/>
        <w:gridCol w:w="109"/>
        <w:gridCol w:w="327"/>
        <w:gridCol w:w="181"/>
        <w:gridCol w:w="571"/>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gridSpan w:val="5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4"/>
              </w:rPr>
            </w:pPr>
            <w:r>
              <w:rPr>
                <w:rFonts w:ascii="Times New Roman;sans-serif" w:hAnsi="Times New Roman;sans-serif"/>
                <w:b/>
                <w:color w:val="000000"/>
                <w:sz w:val="14"/>
              </w:rPr>
              <w:t>Balance, January 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11,246,694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35,482,534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7,256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10,929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84,602,510</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82,212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93,141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distributions to members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to Class A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(71,886)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RSU vesting during period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252,941 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B shares issued upon vesting of LLC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deferred tax asset from step-up tax basis related to redemption of LLC Units and set-up of TRA liability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Equity-based compensation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Rebalancing of controlling and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4"/>
              </w:rPr>
            </w:pPr>
            <w:r>
              <w:rPr>
                <w:rFonts w:ascii="Times New Roman;sans-serif" w:hAnsi="Times New Roman;sans-serif"/>
                <w:b/>
                <w:color w:val="000000"/>
                <w:sz w:val="14"/>
              </w:rPr>
              <w:t>Balance, March 31, 2023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11,571,521</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35,526,085</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49,119,976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7,615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11,236</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84,646,061</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82,190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93,426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distributions to members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to Class A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RSU vesting during period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411,444 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B shares issued upon vesting of LLC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112,115 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112,115 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deferred tax asset from step-up tax basis related to redemption of LLC Units and set-up of TRA liability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Equity-based compensation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Rebalancing of controlling and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4"/>
              </w:rPr>
            </w:pPr>
            <w:r>
              <w:rPr>
                <w:rFonts w:ascii="Times New Roman;sans-serif" w:hAnsi="Times New Roman;sans-serif"/>
                <w:b/>
                <w:color w:val="000000"/>
                <w:sz w:val="14"/>
              </w:rPr>
              <w:t>Balance, June 30,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12,037,565</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35,583,600</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49,119,976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7,882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3,759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11,651</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84,703,576</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81,983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93,634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CHANGES IN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p>
      <w:pPr>
        <w:pStyle w:val="TextBody"/>
        <w:bidi w:val="0"/>
        <w:spacing w:before="0" w:after="2"/>
        <w:jc w:val="center"/>
        <w:rPr/>
      </w:pPr>
      <w:r>
        <w:rPr/>
      </w:r>
    </w:p>
    <w:tbl>
      <w:tblPr>
        <w:tblW w:w="14589" w:type="dxa"/>
        <w:jc w:val="center"/>
        <w:tblInd w:w="0" w:type="dxa"/>
        <w:tblLayout w:type="fixed"/>
        <w:tblCellMar>
          <w:top w:w="28" w:type="dxa"/>
          <w:left w:w="28" w:type="dxa"/>
          <w:bottom w:w="28" w:type="dxa"/>
          <w:right w:w="28" w:type="dxa"/>
        </w:tblCellMar>
      </w:tblPr>
      <w:tblGrid>
        <w:gridCol w:w="648"/>
        <w:gridCol w:w="201"/>
        <w:gridCol w:w="202"/>
        <w:gridCol w:w="412"/>
        <w:gridCol w:w="414"/>
        <w:gridCol w:w="171"/>
        <w:gridCol w:w="109"/>
        <w:gridCol w:w="109"/>
        <w:gridCol w:w="109"/>
        <w:gridCol w:w="221"/>
        <w:gridCol w:w="241"/>
        <w:gridCol w:w="109"/>
        <w:gridCol w:w="109"/>
        <w:gridCol w:w="109"/>
        <w:gridCol w:w="109"/>
        <w:gridCol w:w="413"/>
        <w:gridCol w:w="413"/>
        <w:gridCol w:w="171"/>
        <w:gridCol w:w="109"/>
        <w:gridCol w:w="109"/>
        <w:gridCol w:w="109"/>
        <w:gridCol w:w="221"/>
        <w:gridCol w:w="241"/>
        <w:gridCol w:w="109"/>
        <w:gridCol w:w="109"/>
        <w:gridCol w:w="109"/>
        <w:gridCol w:w="109"/>
        <w:gridCol w:w="413"/>
        <w:gridCol w:w="413"/>
        <w:gridCol w:w="171"/>
        <w:gridCol w:w="109"/>
        <w:gridCol w:w="109"/>
        <w:gridCol w:w="109"/>
        <w:gridCol w:w="221"/>
        <w:gridCol w:w="241"/>
        <w:gridCol w:w="109"/>
        <w:gridCol w:w="109"/>
        <w:gridCol w:w="109"/>
        <w:gridCol w:w="109"/>
        <w:gridCol w:w="181"/>
        <w:gridCol w:w="496"/>
        <w:gridCol w:w="109"/>
        <w:gridCol w:w="109"/>
        <w:gridCol w:w="109"/>
        <w:gridCol w:w="109"/>
        <w:gridCol w:w="181"/>
        <w:gridCol w:w="496"/>
        <w:gridCol w:w="109"/>
        <w:gridCol w:w="109"/>
        <w:gridCol w:w="109"/>
        <w:gridCol w:w="109"/>
        <w:gridCol w:w="214"/>
        <w:gridCol w:w="587"/>
        <w:gridCol w:w="130"/>
        <w:gridCol w:w="109"/>
        <w:gridCol w:w="109"/>
        <w:gridCol w:w="109"/>
        <w:gridCol w:w="413"/>
        <w:gridCol w:w="413"/>
        <w:gridCol w:w="141"/>
        <w:gridCol w:w="109"/>
        <w:gridCol w:w="109"/>
        <w:gridCol w:w="109"/>
        <w:gridCol w:w="181"/>
        <w:gridCol w:w="571"/>
        <w:gridCol w:w="109"/>
        <w:gridCol w:w="327"/>
        <w:gridCol w:w="181"/>
        <w:gridCol w:w="571"/>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3" w:type="dxa"/>
            <w:gridSpan w:val="5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4"/>
              </w:rPr>
            </w:pPr>
            <w:r>
              <w:rPr>
                <w:rFonts w:ascii="Times New Roman;sans-serif" w:hAnsi="Times New Roman;sans-serif"/>
                <w:b/>
                <w:color w:val="000000"/>
                <w:sz w:val="14"/>
              </w:rPr>
              <w:t>Balance, January 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9,614,523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35,658,013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49,505,250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6,865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8,403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85,163,263</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74,435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82,838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distributions to members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and Class C to Class A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1,053,914 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(668,640)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(385,274)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(1,053,914)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RSU vesting during period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B shares issued upon vesting of LLC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337,323 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337,323 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deferred tax asset from step-up tax basis related to redemption of LLC Units and set-up of TRA liability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Equity-based compensation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income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Rebalancing of controlling and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4"/>
              </w:rPr>
            </w:pPr>
            <w:r>
              <w:rPr>
                <w:rFonts w:ascii="Times New Roman;sans-serif" w:hAnsi="Times New Roman;sans-serif"/>
                <w:b/>
                <w:color w:val="000000"/>
                <w:sz w:val="14"/>
              </w:rPr>
              <w:t>Balance, March 31, 2022</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10,708,456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35,326,696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49,119,976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7,339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1,884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9,233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84,446,672</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72,809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82,042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 distributions to members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to Class A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(110,000)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RSU vesting during period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B shares issued upon vesting of LLC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deferred tax asset from step-up tax basis related to redemption of LLC Units and set-up of TRA liability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Equity-based compensation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income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Rebalancing of controlling and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4"/>
              </w:rPr>
            </w:pPr>
            <w:r>
              <w:rPr>
                <w:rFonts w:ascii="Times New Roman;sans-serif" w:hAnsi="Times New Roman;sans-serif"/>
                <w:b/>
                <w:color w:val="000000"/>
                <w:sz w:val="14"/>
              </w:rPr>
              <w:t>Balance, June 30, 2022</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10,835,394</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35,357,593</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49,119,976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6,749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2,308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9,067</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84,477,569</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70,687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4"/>
              </w:rPr>
              <w:t>79,754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799" w:type="dxa"/>
        <w:jc w:val="left"/>
        <w:tblInd w:w="0" w:type="dxa"/>
        <w:tblLayout w:type="fixed"/>
        <w:tblCellMar>
          <w:top w:w="28" w:type="dxa"/>
          <w:left w:w="28" w:type="dxa"/>
          <w:bottom w:w="28" w:type="dxa"/>
          <w:right w:w="28" w:type="dxa"/>
        </w:tblCellMar>
      </w:tblPr>
      <w:tblGrid>
        <w:gridCol w:w="2283"/>
        <w:gridCol w:w="2008"/>
        <w:gridCol w:w="2024"/>
        <w:gridCol w:w="196"/>
        <w:gridCol w:w="751"/>
        <w:gridCol w:w="109"/>
        <w:gridCol w:w="109"/>
        <w:gridCol w:w="109"/>
        <w:gridCol w:w="109"/>
        <w:gridCol w:w="196"/>
        <w:gridCol w:w="751"/>
        <w:gridCol w:w="154"/>
      </w:tblGrid>
      <w:tr>
        <w:trPr/>
        <w:tc>
          <w:tcPr>
            <w:tcW w:w="228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10,870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4,873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(9,159)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(4,068)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SVB term loan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received from Silicon Valley Bank term loan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Runway term loan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Runway term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Final payment and prepayment penalty on Runway term loan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distributions to members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(6,753)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(18,137)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 cash, cash equivalents and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(5,042)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(17,332)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149,812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155,738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new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associated with redemption of LLC Units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 Obligation associated with redemption of LLC Units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included in accounts payable and 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APIC related to redemption of LLC Units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 included in accounts payable and 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i/>
          <w:color w:val="000000"/>
          <w:sz w:val="16"/>
        </w:rPr>
        <w:t xml:space="preserve">The accompanying notes are an integral part of these unaudited </w:t>
      </w:r>
      <w:r>
        <w:rPr>
          <w:rFonts w:ascii="Times New Roman;sans-serif" w:hAnsi="Times New Roman;sans-serif"/>
          <w:b w:val="false"/>
          <w:i/>
          <w:color w:val="000000"/>
          <w:sz w:val="18"/>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Brilliant Earth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THE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4"/>
        </w:rPr>
        <w:t xml:space="preserve">1. </w:t>
      </w:r>
      <w:r>
        <w:rPr>
          <w:rFonts w:ascii="Times New Roman;sans-serif" w:hAnsi="Times New Roman;sans-serif"/>
          <w:b/>
          <w:color w:val="000000"/>
          <w:sz w:val="22"/>
        </w:rPr>
        <w:t>DESCRIPTION OF BUSINESS AND SUMMARY OF SIGNIFICANT ACCOUNTING POLICIES</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pStyle w:val="TextBody"/>
        <w:bidi w:val="0"/>
        <w:spacing w:lineRule="auto" w:line="288" w:before="0" w:after="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designs, procures and sells ethically-sourced diamonds, gemstones and jewelry online and through 32 showrooms operating within the United States ("U.S.") as of June 30, 2023. Co-headquarters are located in San Francisco, California and Denver, Colorado.</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Basis of Presentation</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unaudited condensed consolidated financial statements have been prepared in accordance with U.S. GAAP and the requirements of the Securities and Exchange Commission (the "SEC") for interim reporting. As permitted under those rules, certain footnotes or other financial information that are normally required by U.S. GAAP can be condensed or omitted. These interim results are not necessarily indicative of the results to be expected for the fiscal year ending December 31, 2023, or for any other interim period or for any other future year.</w:t>
      </w:r>
    </w:p>
    <w:p>
      <w:pPr>
        <w:pStyle w:val="TextBody"/>
        <w:bidi w:val="0"/>
        <w:spacing w:lineRule="auto" w:line="300" w:before="0" w:after="2"/>
        <w:ind w:left="0" w:right="0" w:firstLine="720"/>
        <w:jc w:val="both"/>
        <w:rPr/>
      </w:pPr>
      <w:r>
        <w:rPr>
          <w:rFonts w:ascii="Times New Roman;sans-serif" w:hAnsi="Times New Roman;sans-serif"/>
          <w:b w:val="false"/>
          <w:color w:val="000000"/>
          <w:sz w:val="22"/>
        </w:rPr>
        <w:t xml:space="preserve">The condensed consolidated balance sheet as of December 31, 2022 has been derived from the audited consolidated financial statements of the Company, which are included in the Company's Annual Report on Form 10-K for the year ended December 31, 2022 (the "2022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U.S. GAAP applicable to interim periods. These unaudited condensed consolidated financial statements should be read in conjunction with the audited consolidated financial statements and the related notes thereto as of and for the year ended December 31, 2022, as disclosed in the 2022 </w:t>
      </w:r>
      <w:r>
        <w:rPr>
          <w:rFonts w:ascii="Times New Roman;sans-serif" w:hAnsi="Times New Roman;sans-serif"/>
          <w:b w:val="false"/>
          <w:color w:val="000000"/>
          <w:sz w:val="22"/>
          <w:shd w:fill="FFFFFF" w:val="clear"/>
        </w:rPr>
        <w:t>Form 10-K</w:t>
      </w:r>
      <w:r>
        <w:rPr>
          <w:rFonts w:ascii="Times New Roman;sans-serif" w:hAnsi="Times New Roman;sans-serif"/>
          <w:b w:val="false"/>
          <w:color w:val="000000"/>
          <w:sz w:val="22"/>
        </w:rPr>
        <w:t xml:space="preserve">. </w:t>
      </w:r>
    </w:p>
    <w:p>
      <w:pPr>
        <w:pStyle w:val="TextBody"/>
        <w:bidi w:val="0"/>
        <w:spacing w:before="0" w:after="2"/>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or updates to the Company's significant accounting policies from those described in the audited consolidated financial statements included in the 2022 Form 10-K except for the updates noted below.</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Principles of Consolidation and Non-Controlling Interest</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unaudited condensed consolidated financial statements include the accounts of the Company and its subsidiary, Brilliant Earth, LLC, which it controls due to ownership of the voting interest or pursuant to variable interest entity ("VIE") accounting guidance. All intercompany balances and transactions have been eliminated in consolidation. </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The non-controlling interest on the unaudited condensed consolidated statements of operations represents the portion of earnings or loss attributable to the economic interest in Brilliant Earth, LLC held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2"/>
          <w:shd w:fill="FFFFFF" w:val="clear"/>
        </w:rPr>
        <w:t>by the Continuing Equity Owners. The non-controlling interest on the unaudited condensed consolidated balance sheets represents the portion of net assets of the Company attributable to the Continuing Equity Owners, based on the portion of the LLC Interests owned by such unit holders. </w:t>
      </w:r>
      <w:r>
        <w:rPr>
          <w:rFonts w:ascii="Times New Roman;sans-serif" w:hAnsi="Times New Roman;sans-serif"/>
          <w:b w:val="false"/>
          <w:color w:val="000000"/>
          <w:sz w:val="22"/>
        </w:rPr>
        <w:t>As of June 30, 2023, the non-controlling interest was 87.6%. At the end of each reporting period, equity related to Brilliant Earth, LLC that is attributable to Brilliant Earth Group, Inc. and Continuing Equity Owners is rebalanced to reflect Brilliant Earth Group, Inc.'s and Continuing Equity Owners' ownership in Brilliant Earth, LLC.</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Use of Estimates</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tax receivable agreement, useful lives and depreciation of long-lived assets, and fair value of equity-based compensation. Actual results could differ materially from those estimates. On an ongoing basis, the Company reviews its estimates to ensure that they appropriately reflect changes in its business or new information available.</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Fair Value Measurements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1        Valuation based on quoted prices (unadjusted) observed in active markets for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identical assets or liabilities.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Level 2        Valuation techniques based on inputs that are quoted prices of similar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instruments in active markets; quoted prices for identical or similar instruments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markets that are not in active markets; inputs other than quoted prices used in a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valuation model that are observable for that instrument; and inputs that are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derived from, or corroborated by, observable market data by correlation or other </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means.</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Level 3        Valuation techniques with significant unobservable market inputs.</w:t>
      </w:r>
    </w:p>
    <w:p>
      <w:pPr>
        <w:pStyle w:val="TextBody"/>
        <w:bidi w:val="0"/>
        <w:spacing w:before="0" w:after="0"/>
        <w:ind w:left="0" w:right="0" w:hanging="108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required to disclose its estimate of the fair value of material financial instruments, including those recorded as assets or liabilities in its financial statements, in accordance with U.S. GAAP.</w:t>
      </w:r>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 June 30, 2023 and December 31, 2022, there were no financial instruments (assets or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carrying amounts of cash and cash equivalents, restricted cash, accounts payable and accrued expenses and other current liabilities approximate fair value due to their short-term maturities and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 </w:t>
      </w:r>
    </w:p>
    <w:p>
      <w:pPr>
        <w:pStyle w:val="TextBody"/>
        <w:bidi w:val="0"/>
        <w:spacing w:before="0" w:after="2"/>
        <w:jc w:val="both"/>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bidi w:val="0"/>
        <w:spacing w:lineRule="auto" w:line="288" w:before="0" w:after="0"/>
        <w:ind w:left="0" w:right="0" w:firstLine="720"/>
        <w:jc w:val="both"/>
        <w:rPr>
          <w:rFonts w:ascii="Times New Roman;sans-serif" w:hAnsi="Times New Roman;sans-serif"/>
          <w:b w:val="false"/>
          <w:color w:val="201F1E"/>
          <w:sz w:val="22"/>
        </w:rPr>
      </w:pPr>
      <w:r>
        <w:rPr>
          <w:rFonts w:ascii="Times New Roman;sans-serif" w:hAnsi="Times New Roman;sans-serif"/>
          <w:b w:val="false"/>
          <w:color w:val="201F1E"/>
          <w:sz w:val="22"/>
        </w:rPr>
        <w:t>The Company has considered all recent accounting pronouncements issued, but not yet effective, and does not expect any to have a material effect on the Company’s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4"/>
        </w:rPr>
      </w:pPr>
      <w:r>
        <w:rPr>
          <w:rFonts w:ascii="Times New Roman;sans-serif" w:hAnsi="Times New Roman;sans-serif"/>
          <w:b/>
          <w:color w:val="000000"/>
          <w:sz w:val="24"/>
        </w:rPr>
        <w:t>2. EARNINGS PER SHARE</w:t>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left"/>
        <w:rPr/>
      </w:pPr>
      <w:r>
        <w:rPr>
          <w:rFonts w:ascii="Times New Roman;sans-serif" w:hAnsi="Times New Roman;sans-serif"/>
          <w:b w:val="false"/>
          <w:color w:val="000000"/>
          <w:sz w:val="22"/>
          <w:shd w:fill="FFFFFF" w:val="clear"/>
        </w:rPr>
        <w:t xml:space="preserve">Basic and diluted earnings per share of common stock for the three and </w:t>
      </w:r>
      <w:r>
        <w:rPr>
          <w:rFonts w:ascii="Times New Roman;sans-serif" w:hAnsi="Times New Roman;sans-serif"/>
          <w:b w:val="false"/>
          <w:color w:val="000000"/>
          <w:sz w:val="22"/>
        </w:rPr>
        <w:t>six months ended</w:t>
      </w:r>
      <w:r>
        <w:rPr>
          <w:color w:val="000000"/>
          <w:shd w:fill="FFFFFF" w:val="clear"/>
        </w:rPr>
        <w:t xml:space="preserve"> </w:t>
      </w:r>
      <w:r>
        <w:rPr>
          <w:rFonts w:ascii="Times New Roman;sans-serif" w:hAnsi="Times New Roman;sans-serif"/>
          <w:b w:val="false"/>
          <w:color w:val="000000"/>
          <w:sz w:val="22"/>
          <w:shd w:fill="FFFFFF" w:val="clear"/>
        </w:rPr>
        <w:t>June 30, 2023 and 2022 have been computed as follows (in thousands, except share and per share amounts):</w:t>
      </w:r>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1634"/>
        <w:gridCol w:w="1344"/>
        <w:gridCol w:w="1352"/>
        <w:gridCol w:w="315"/>
        <w:gridCol w:w="766"/>
        <w:gridCol w:w="120"/>
        <w:gridCol w:w="120"/>
        <w:gridCol w:w="120"/>
        <w:gridCol w:w="120"/>
        <w:gridCol w:w="275"/>
        <w:gridCol w:w="806"/>
        <w:gridCol w:w="120"/>
        <w:gridCol w:w="109"/>
        <w:gridCol w:w="109"/>
        <w:gridCol w:w="109"/>
        <w:gridCol w:w="315"/>
        <w:gridCol w:w="766"/>
        <w:gridCol w:w="114"/>
        <w:gridCol w:w="114"/>
        <w:gridCol w:w="114"/>
        <w:gridCol w:w="114"/>
        <w:gridCol w:w="275"/>
        <w:gridCol w:w="806"/>
        <w:gridCol w:w="168"/>
      </w:tblGrid>
      <w:tr>
        <w:trPr/>
        <w:tc>
          <w:tcPr>
            <w:tcW w:w="163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Brilliant Earth Group, Inc., BASIC</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impact from assumed redemption of all LLC Units to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tax expense on net income attributable to NCI</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Brilliant Earth Group, Inc., after adjustment for assumed conversion, DILUTED</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11,796,639 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10,810,627 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11,593,416 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10,412,922 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effects of:</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LLC Units that are exchangeable for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84,638,225 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84,404,337 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84,628,063 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84,630,379 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 that are exchangeable for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1,276,767 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96,889,854 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96,208,702 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96,820,285 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96,386,862 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31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31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the non-controlling interest added back to net income in the fully dilutive computation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and six months ended June 30, 2023 and 2022, the dilutive impact of LLC Units convertible into common stock were included in the computation of diluted earnings per share under the if-converted method; the dilutive impact of unvested LLC Units and RSUs were included using the treasury stock method.</w:t>
      </w:r>
    </w:p>
    <w:p>
      <w:pPr>
        <w:pStyle w:val="TextBody"/>
        <w:bidi w:val="0"/>
        <w:spacing w:before="0" w:after="2"/>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presents the shares underlying stock options and RSUs for the three and six months ended June 30, 2023 and 2022 that have been excluded from the computation of earnings per share because such impact is anti-dilutive: </w:t>
      </w:r>
    </w:p>
    <w:p>
      <w:pPr>
        <w:pStyle w:val="TextBody"/>
        <w:bidi w:val="0"/>
        <w:spacing w:before="0" w:after="2"/>
        <w:jc w:val="both"/>
        <w:rPr/>
      </w:pPr>
      <w:r>
        <w:rPr/>
      </w:r>
    </w:p>
    <w:tbl>
      <w:tblPr>
        <w:tblW w:w="7480" w:type="dxa"/>
        <w:jc w:val="left"/>
        <w:tblInd w:w="0" w:type="dxa"/>
        <w:tblLayout w:type="fixed"/>
        <w:tblCellMar>
          <w:top w:w="28" w:type="dxa"/>
          <w:left w:w="28" w:type="dxa"/>
          <w:bottom w:w="28" w:type="dxa"/>
          <w:right w:w="28" w:type="dxa"/>
        </w:tblCellMar>
      </w:tblPr>
      <w:tblGrid>
        <w:gridCol w:w="450"/>
        <w:gridCol w:w="394"/>
        <w:gridCol w:w="401"/>
        <w:gridCol w:w="488"/>
        <w:gridCol w:w="488"/>
        <w:gridCol w:w="208"/>
        <w:gridCol w:w="208"/>
        <w:gridCol w:w="208"/>
        <w:gridCol w:w="208"/>
        <w:gridCol w:w="488"/>
        <w:gridCol w:w="488"/>
        <w:gridCol w:w="208"/>
        <w:gridCol w:w="109"/>
        <w:gridCol w:w="109"/>
        <w:gridCol w:w="109"/>
        <w:gridCol w:w="488"/>
        <w:gridCol w:w="488"/>
        <w:gridCol w:w="178"/>
        <w:gridCol w:w="178"/>
        <w:gridCol w:w="178"/>
        <w:gridCol w:w="178"/>
        <w:gridCol w:w="527"/>
        <w:gridCol w:w="449"/>
        <w:gridCol w:w="252"/>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3,524,279 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2,369,323 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2,896,832 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1,990,846 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1,132,666 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1,316,755 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4"/>
        </w:rPr>
      </w:pPr>
      <w:r>
        <w:rPr>
          <w:rFonts w:ascii="Times New Roman;sans-serif" w:hAnsi="Times New Roman;sans-serif"/>
          <w:b/>
          <w:color w:val="000000"/>
          <w:sz w:val="24"/>
        </w:rPr>
        <w:t>3. REVENUE</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Disaggregation of Revenue</w:t>
      </w:r>
    </w:p>
    <w:p>
      <w:pPr>
        <w:pStyle w:val="TextBody"/>
        <w:bidi w:val="0"/>
        <w:spacing w:lineRule="auto" w:line="288" w:before="0" w:after="1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discloses total net sales by geography for the three and six months ended June 30, 2023 and 2022 (in thousands):</w:t>
      </w:r>
    </w:p>
    <w:tbl>
      <w:tblPr>
        <w:tblW w:w="7366" w:type="dxa"/>
        <w:jc w:val="left"/>
        <w:tblInd w:w="0" w:type="dxa"/>
        <w:tblLayout w:type="fixed"/>
        <w:tblCellMar>
          <w:top w:w="28" w:type="dxa"/>
          <w:left w:w="28" w:type="dxa"/>
          <w:bottom w:w="28" w:type="dxa"/>
          <w:right w:w="28" w:type="dxa"/>
        </w:tblCellMar>
      </w:tblPr>
      <w:tblGrid>
        <w:gridCol w:w="484"/>
        <w:gridCol w:w="424"/>
        <w:gridCol w:w="426"/>
        <w:gridCol w:w="211"/>
        <w:gridCol w:w="826"/>
        <w:gridCol w:w="109"/>
        <w:gridCol w:w="109"/>
        <w:gridCol w:w="109"/>
        <w:gridCol w:w="109"/>
        <w:gridCol w:w="211"/>
        <w:gridCol w:w="826"/>
        <w:gridCol w:w="109"/>
        <w:gridCol w:w="109"/>
        <w:gridCol w:w="109"/>
        <w:gridCol w:w="109"/>
        <w:gridCol w:w="244"/>
        <w:gridCol w:w="958"/>
        <w:gridCol w:w="126"/>
        <w:gridCol w:w="126"/>
        <w:gridCol w:w="126"/>
        <w:gridCol w:w="126"/>
        <w:gridCol w:w="244"/>
        <w:gridCol w:w="958"/>
        <w:gridCol w:w="178"/>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195,998 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207,882 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208,847 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color w:val="000000"/>
        </w:rPr>
      </w:pPr>
      <w:r>
        <w:rPr>
          <w:color w:val="000000"/>
        </w:rPr>
        <w:t>    </w:t>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Deferred Revenue</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w:t>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2023 and December 31, 2022, total deferred revenue was $22.3 million and $18.6 million, respectively, of which less than $0.1 million and less than $0.1 million, respectively, were included within other long-term liabilities in the unaudited condensed consolidated balance sheets. During the six months ended June 30, 2023 and 2022, the Company recognized $17.8 million and $18.1 million of revenue, respectively, that was deferred as of December 31, 2022 and December 31, 2021, respectively.</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Sales Returns and Allowances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2023 and December 31, 2022, refund liabilities balances were $1.6 million and $2.3 million, respectively, and are included as a provision for sales returns and allowances within accrued expenses and other current liabilities in the unaudited condensed consolidated balance sheets. As of June 30, 2023 and December 31, 2022, returns asset balances were $0.6 million and $0.9 million, respectively, and are included within prepaid expenses and other current assets in the unaudited condensed consolidated balance sheets.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4"/>
        </w:rPr>
      </w:pPr>
      <w:r>
        <w:rPr>
          <w:rFonts w:ascii="Times New Roman;sans-serif" w:hAnsi="Times New Roman;sans-serif"/>
          <w:b/>
          <w:color w:val="000000"/>
          <w:sz w:val="24"/>
        </w:rPr>
        <w:t>4. INVENTORIES,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Inventories, net consist of the following (in thousands):</w:t>
      </w:r>
    </w:p>
    <w:tbl>
      <w:tblPr>
        <w:tblW w:w="5912" w:type="dxa"/>
        <w:jc w:val="center"/>
        <w:tblInd w:w="0" w:type="dxa"/>
        <w:tblLayout w:type="fixed"/>
        <w:tblCellMar>
          <w:top w:w="28" w:type="dxa"/>
          <w:left w:w="28" w:type="dxa"/>
          <w:bottom w:w="28" w:type="dxa"/>
          <w:right w:w="28" w:type="dxa"/>
        </w:tblCellMar>
      </w:tblPr>
      <w:tblGrid>
        <w:gridCol w:w="1168"/>
        <w:gridCol w:w="1025"/>
        <w:gridCol w:w="1031"/>
        <w:gridCol w:w="211"/>
        <w:gridCol w:w="736"/>
        <w:gridCol w:w="109"/>
        <w:gridCol w:w="109"/>
        <w:gridCol w:w="109"/>
        <w:gridCol w:w="109"/>
        <w:gridCol w:w="250"/>
        <w:gridCol w:w="873"/>
        <w:gridCol w:w="182"/>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Loose diamonds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Fine jewelry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inventory obsolescence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39,413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39,331</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allowance for inventory obsolescence consists of the following (in thousands):</w:t>
      </w:r>
    </w:p>
    <w:p>
      <w:pPr>
        <w:pStyle w:val="TextBody"/>
        <w:bidi w:val="0"/>
        <w:spacing w:before="0" w:after="2"/>
        <w:jc w:val="left"/>
        <w:rPr/>
      </w:pPr>
      <w:r>
        <w:rPr/>
      </w:r>
    </w:p>
    <w:tbl>
      <w:tblPr>
        <w:tblW w:w="6158" w:type="dxa"/>
        <w:jc w:val="center"/>
        <w:tblInd w:w="0" w:type="dxa"/>
        <w:tblLayout w:type="fixed"/>
        <w:tblCellMar>
          <w:top w:w="28" w:type="dxa"/>
          <w:left w:w="28" w:type="dxa"/>
          <w:bottom w:w="28" w:type="dxa"/>
          <w:right w:w="28" w:type="dxa"/>
        </w:tblCellMar>
      </w:tblPr>
      <w:tblGrid>
        <w:gridCol w:w="1472"/>
        <w:gridCol w:w="1294"/>
        <w:gridCol w:w="1298"/>
        <w:gridCol w:w="211"/>
        <w:gridCol w:w="541"/>
        <w:gridCol w:w="109"/>
        <w:gridCol w:w="109"/>
        <w:gridCol w:w="109"/>
        <w:gridCol w:w="109"/>
        <w:gridCol w:w="211"/>
        <w:gridCol w:w="54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inventory obsolescence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(203)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2023 and December 31, 2022, the Company had $23.0 million and $27.6 million, respectively, in consigned inventory held on behalf of suppliers which is not recorded in the unaudited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5. ACCRUED EXPENSES AND OTHER CURRENT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Accrued expenses and other current liabilities consist of the following (in thousands):</w:t>
      </w:r>
    </w:p>
    <w:p>
      <w:pPr>
        <w:pStyle w:val="TextBody"/>
        <w:bidi w:val="0"/>
        <w:spacing w:before="0" w:after="0"/>
        <w:jc w:val="left"/>
        <w:rPr/>
      </w:pPr>
      <w:r>
        <w:rPr/>
      </w:r>
    </w:p>
    <w:tbl>
      <w:tblPr>
        <w:tblW w:w="7143" w:type="dxa"/>
        <w:jc w:val="center"/>
        <w:tblInd w:w="0" w:type="dxa"/>
        <w:tblLayout w:type="fixed"/>
        <w:tblCellMar>
          <w:top w:w="28" w:type="dxa"/>
          <w:left w:w="28" w:type="dxa"/>
          <w:bottom w:w="28" w:type="dxa"/>
          <w:right w:w="28" w:type="dxa"/>
        </w:tblCellMar>
      </w:tblPr>
      <w:tblGrid>
        <w:gridCol w:w="1614"/>
        <w:gridCol w:w="1415"/>
        <w:gridCol w:w="1426"/>
        <w:gridCol w:w="211"/>
        <w:gridCol w:w="736"/>
        <w:gridCol w:w="109"/>
        <w:gridCol w:w="109"/>
        <w:gridCol w:w="109"/>
        <w:gridCol w:w="109"/>
        <w:gridCol w:w="250"/>
        <w:gridCol w:w="873"/>
        <w:gridCol w:w="182"/>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received not billed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other tax payable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sales returns and allowances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TRA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34,163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37,833</w:t>
            </w:r>
            <w:r>
              <w:rPr>
                <w:color w:val="000000"/>
              </w:rPr>
              <w:t> </w:t>
            </w:r>
          </w:p>
        </w:tc>
        <w:tc>
          <w:tcPr>
            <w:tcW w:w="1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Included in accrued expenses and other current liabilities is a provision for sales returns and allowances. Returns are estimated based on past experience and current expectations and are recorded as an adjustment to revenue. Activity for the six months ended June 30, 2023 and 2022 was as follows (in thousands):</w:t>
      </w:r>
    </w:p>
    <w:p>
      <w:pPr>
        <w:pStyle w:val="TextBody"/>
        <w:bidi w:val="0"/>
        <w:spacing w:before="0" w:after="0"/>
        <w:jc w:val="left"/>
        <w:rPr/>
      </w:pPr>
      <w:r>
        <w:rPr/>
      </w:r>
    </w:p>
    <w:tbl>
      <w:tblPr>
        <w:tblW w:w="4913" w:type="dxa"/>
        <w:jc w:val="center"/>
        <w:tblInd w:w="0" w:type="dxa"/>
        <w:tblLayout w:type="fixed"/>
        <w:tblCellMar>
          <w:top w:w="28" w:type="dxa"/>
          <w:left w:w="28" w:type="dxa"/>
          <w:bottom w:w="28" w:type="dxa"/>
          <w:right w:w="28" w:type="dxa"/>
        </w:tblCellMar>
      </w:tblPr>
      <w:tblGrid>
        <w:gridCol w:w="956"/>
        <w:gridCol w:w="840"/>
        <w:gridCol w:w="843"/>
        <w:gridCol w:w="211"/>
        <w:gridCol w:w="631"/>
        <w:gridCol w:w="109"/>
        <w:gridCol w:w="109"/>
        <w:gridCol w:w="109"/>
        <w:gridCol w:w="109"/>
        <w:gridCol w:w="211"/>
        <w:gridCol w:w="63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and allowances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at end of period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1,546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6. LEASES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leases its executive offices, retail showrooms, office and operational locations under operating leases. The fixed, non-cancelable terms of our real estate leases are generally 5-10 years. Certain lease agreements include 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 </w:t>
      </w:r>
    </w:p>
    <w:p>
      <w:pPr>
        <w:pStyle w:val="TextBody"/>
        <w:bidi w:val="0"/>
        <w:spacing w:before="0" w:after="2"/>
        <w:ind w:left="0" w:right="0" w:firstLine="720"/>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operating lease ROU assets and lease liabilities were as follows (in thousands):</w:t>
      </w:r>
    </w:p>
    <w:p>
      <w:pPr>
        <w:pStyle w:val="TextBody"/>
        <w:bidi w:val="0"/>
        <w:spacing w:before="0" w:after="2"/>
        <w:jc w:val="left"/>
        <w:rPr/>
      </w:pPr>
      <w:r>
        <w:rPr/>
      </w:r>
    </w:p>
    <w:tbl>
      <w:tblPr>
        <w:tblW w:w="9620"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054"/>
        <w:gridCol w:w="1054"/>
        <w:gridCol w:w="1057"/>
        <w:gridCol w:w="109"/>
        <w:gridCol w:w="109"/>
        <w:gridCol w:w="109"/>
        <w:gridCol w:w="325"/>
        <w:gridCol w:w="1099"/>
        <w:gridCol w:w="181"/>
        <w:gridCol w:w="109"/>
        <w:gridCol w:w="109"/>
        <w:gridCol w:w="109"/>
        <w:gridCol w:w="320"/>
        <w:gridCol w:w="1079"/>
        <w:gridCol w:w="251"/>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As of June 30, 2022</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ROU assets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38,333</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21,427</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44,695</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24,424</w:t>
            </w: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ind w:left="0" w:right="0" w:firstLine="720"/>
        <w:jc w:val="left"/>
        <w:rPr/>
      </w:pPr>
      <w:r>
        <w:rPr/>
      </w:r>
    </w:p>
    <w:p>
      <w:pPr>
        <w:pStyle w:val="TextBody"/>
        <w:bidi w:val="0"/>
        <w:spacing w:before="0" w:after="2"/>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operating lease costs were as follows (in thousands):</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535"/>
        <w:gridCol w:w="471"/>
        <w:gridCol w:w="473"/>
        <w:gridCol w:w="932"/>
        <w:gridCol w:w="932"/>
        <w:gridCol w:w="934"/>
        <w:gridCol w:w="109"/>
        <w:gridCol w:w="109"/>
        <w:gridCol w:w="109"/>
        <w:gridCol w:w="255"/>
        <w:gridCol w:w="745"/>
        <w:gridCol w:w="142"/>
        <w:gridCol w:w="109"/>
        <w:gridCol w:w="109"/>
        <w:gridCol w:w="109"/>
        <w:gridCol w:w="255"/>
        <w:gridCol w:w="745"/>
        <w:gridCol w:w="142"/>
        <w:gridCol w:w="109"/>
        <w:gridCol w:w="109"/>
        <w:gridCol w:w="109"/>
        <w:gridCol w:w="255"/>
        <w:gridCol w:w="745"/>
        <w:gridCol w:w="142"/>
        <w:gridCol w:w="109"/>
        <w:gridCol w:w="109"/>
        <w:gridCol w:w="109"/>
        <w:gridCol w:w="252"/>
        <w:gridCol w:w="736"/>
        <w:gridCol w:w="206"/>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For the three</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months ended</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For the three</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months ended</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For the six</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months ended</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For the six</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months ended</w:t>
            </w:r>
          </w:p>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June 30, 2022</w:t>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2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27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costs</w:t>
            </w:r>
          </w:p>
        </w:tc>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2,126</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1,054</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3,944</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1,978</w:t>
            </w: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maturity analysis of the operating lease liabilities as of June 30, 2023 was as follows (in thousands):</w:t>
      </w:r>
    </w:p>
    <w:tbl>
      <w:tblPr>
        <w:tblW w:w="4566" w:type="dxa"/>
        <w:jc w:val="center"/>
        <w:tblInd w:w="0" w:type="dxa"/>
        <w:tblLayout w:type="fixed"/>
        <w:tblCellMar>
          <w:top w:w="28" w:type="dxa"/>
          <w:left w:w="28" w:type="dxa"/>
          <w:bottom w:w="28" w:type="dxa"/>
          <w:right w:w="28" w:type="dxa"/>
        </w:tblCellMar>
      </w:tblPr>
      <w:tblGrid>
        <w:gridCol w:w="1286"/>
        <w:gridCol w:w="1133"/>
        <w:gridCol w:w="1136"/>
        <w:gridCol w:w="196"/>
        <w:gridCol w:w="66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For the six months ending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minimum lease payments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present value of operating lease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44,695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Long-term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39,712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table summarizes the weighted-average remaining lease term and weighted-average discount rate on long-term leases as follows (in thousands):</w:t>
      </w:r>
    </w:p>
    <w:p>
      <w:pPr>
        <w:pStyle w:val="TextBody"/>
        <w:bidi w:val="0"/>
        <w:spacing w:before="0" w:after="0"/>
        <w:jc w:val="left"/>
        <w:rPr/>
      </w:pPr>
      <w:r>
        <w:rPr/>
      </w:r>
    </w:p>
    <w:tbl>
      <w:tblPr>
        <w:tblW w:w="8963" w:type="dxa"/>
        <w:jc w:val="left"/>
        <w:tblInd w:w="0" w:type="dxa"/>
        <w:tblLayout w:type="fixed"/>
        <w:tblCellMar>
          <w:top w:w="28" w:type="dxa"/>
          <w:left w:w="28" w:type="dxa"/>
          <w:bottom w:w="28" w:type="dxa"/>
          <w:right w:w="28" w:type="dxa"/>
        </w:tblCellMar>
      </w:tblPr>
      <w:tblGrid>
        <w:gridCol w:w="2158"/>
        <w:gridCol w:w="1894"/>
        <w:gridCol w:w="1902"/>
        <w:gridCol w:w="109"/>
        <w:gridCol w:w="109"/>
        <w:gridCol w:w="109"/>
        <w:gridCol w:w="206"/>
        <w:gridCol w:w="680"/>
        <w:gridCol w:w="269"/>
        <w:gridCol w:w="109"/>
        <w:gridCol w:w="109"/>
        <w:gridCol w:w="109"/>
        <w:gridCol w:w="223"/>
        <w:gridCol w:w="634"/>
        <w:gridCol w:w="343"/>
      </w:tblGrid>
      <w:tr>
        <w:trPr/>
        <w:tc>
          <w:tcPr>
            <w:tcW w:w="215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years</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4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 related to operating leases is as follows: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7. DEBT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net carrying amount of the Term Loans as of June 30, 2023 and December 31, 2022, net of debt issuance costs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92"/>
        <w:gridCol w:w="272"/>
        <w:gridCol w:w="273"/>
        <w:gridCol w:w="283"/>
        <w:gridCol w:w="969"/>
        <w:gridCol w:w="147"/>
        <w:gridCol w:w="109"/>
        <w:gridCol w:w="109"/>
        <w:gridCol w:w="109"/>
        <w:gridCol w:w="275"/>
        <w:gridCol w:w="671"/>
        <w:gridCol w:w="142"/>
        <w:gridCol w:w="109"/>
        <w:gridCol w:w="109"/>
        <w:gridCol w:w="109"/>
        <w:gridCol w:w="264"/>
        <w:gridCol w:w="903"/>
        <w:gridCol w:w="136"/>
        <w:gridCol w:w="109"/>
        <w:gridCol w:w="109"/>
        <w:gridCol w:w="109"/>
        <w:gridCol w:w="283"/>
        <w:gridCol w:w="969"/>
        <w:gridCol w:w="147"/>
        <w:gridCol w:w="109"/>
        <w:gridCol w:w="109"/>
        <w:gridCol w:w="109"/>
        <w:gridCol w:w="275"/>
        <w:gridCol w:w="671"/>
        <w:gridCol w:w="142"/>
        <w:gridCol w:w="109"/>
        <w:gridCol w:w="109"/>
        <w:gridCol w:w="109"/>
        <w:gridCol w:w="262"/>
        <w:gridCol w:w="895"/>
        <w:gridCol w:w="199"/>
      </w:tblGrid>
      <w:tr>
        <w:trPr/>
        <w:tc>
          <w:tcPr>
            <w:tcW w:w="3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8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Runway Term Loan Agreement - Runway Growth Credit Finance Corp.</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September 30, 2019, the Company entered into a Loan and Security Agreement with Runway Growth Finance Corp. (f/k/a Runway Growth Credit Fund Inc.) ("Runway") which, as subsequently amended, provided for up to $65.0 million of borrowings (as subsequently amended, the "Runway Term Loan"). The Runway Term Loan bore interest at a variable rate equal to LIBOR (at a floor of 0.50%) plus 7.75%. The Runway Term Loan was secured by substantially all of the assets of the Company and required us to comply with various affirmative and negative debt covenants.</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origination of the Runway Term Loan, a warrant for 333,333 Class P Units was issued. The fair value of the warrant was $0.1 million at the time of issuance which was accounted for as a debt origination cost (contra-liability).</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was required to make interest-only payments on the Runway Term Loan through April 15, 2022, at which time the Runway Term Loan began amortizing, with equal monthly payments of principal, which would have fully amortized the principal amount of the Runway Term Loan by October 15, 2023, plus interest being paid by the Company to Runway in consecutive monthly installments until October 15, 2023. The Runway Term Loan carried a prepayment fee of 3.00% declining to 0.00% based on the anniversary date of payment, and a final payment fee equal to 4.5% of the principal amount repaid upon prepayment, plus $0.2 million.</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May 24, 2022, concurrently with entry into the SVB Credit Agreement (as defined below), the Company repaid all outstanding amounts under the Runway Term Loan, totaling $58.2 million with proceeds from the SVB Credit Agreement. In connection with the repayment and termination of the Runway Term Loan, the Company was required to pay a 1.00% prepayment fee, plus a final payment fee. The Runway Term Loan was scheduled to mature on October 15, 2023. As a result of the extinguishment of the Runway Term Loan, the Company recognized a loss on debt extinguishment of $0.6 million associated with the prepayment fee and the write-off of unamortized debt issuance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Credit Agreement - Silicon Valley Bank</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May 24, 2022 (the "Closing Date"), Brilliant Earth, LLC, as borrower, and Silicon Valley Bank, as administrative agent and collateral agent for the lenders, entered into a credit agreement (the "SVB Credit Agreement") which provides for a secured term loan credit facility of $65.0 million (the "SVB Term Loan Facility") and a secured revolving credit facility in an amount of up to $40.0 million (the "SVB Revolving Credit Facility," and together with the SVB Term Loan Facility, the "SVB Credit Facilities"). </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SVB Credit Facilities were used to refinance existing indebtedness, pay related fees and expenses, and will be used from and after the Closing Date for working capital and general corporate purposes. The Credit Facilities mature on May 24, 2027 (the "SVB Maturity Date"). </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Credit Agreement).</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SVB Term Loan Facility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SVB Maturity Date. The SVB Term Loan Facility is also subject to certain mandatory prepayment requirements in connection with asset sales, casualty events and debt incurrence, subject to customary exceptions.</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SVB Credit Facilities are subject to customary affirmative covenants and negative covenants as well as financial maintenance covenants. The financial covenants are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As of June 30, 2023 the Company was in compliance with such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 June 30, 2023, deferred issuance costs included in other assets totaled $0.4 million, net of accumulated amortization of $0.1 million. At June 30, 2023, deferred issuance costs included in long-term debt totaled $0.6 million, net of accumulated amortization of $0.2 million. These costs are being amortized to interest expense over the term of the loan.</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debt effective interest rate was 8.21% and 7.10% for the three months ended June 30, 2023 and 2022, respectively. Interest expense was $1.2 million, and $1.1 million for the three months ended June 30, 2023 and 2022, respectively; and the amortization of deferred issuance costs was $0.1 million and $0.4 million for the three months ended June 30, 2023 and 2022, respectively.</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debt effective interest rate was 7.96% and 9.07% for the six months ended June 30, 2023 and 2022, respectively. Interest expense was $2.4 million and $2.4 million for the six months ended June 30, 2023 and 2022, respectively; and the amortization of deferred issuance costs was $0.1 million and $0.5 million for the six months ended June 30, 2023 and 2022, respectively.</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2023, there were no amounts outstanding under the SVB Revolving Credit Facility.</w:t>
      </w:r>
    </w:p>
    <w:p>
      <w:pPr>
        <w:pStyle w:val="TextBody"/>
        <w:bidi w:val="0"/>
        <w:spacing w:lineRule="auto" w:line="288" w:before="0" w:after="20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March 10, 2023, SVB was closed by the California Department of Financial Protection and Innovation, and the Federal Deposit Insurance Corporation ("FDIC") was appointed as receiver. On March 14, 2023, the FDIC announced the establishment of Silicon Valley Bridge Bank, N.A., which assumed the deposits and obligations of SVB. On March 26, 2023, the FDIC announced that it had entered into a purchase and assumption agreement with First-Citizens Bank &amp; Trust Company, Raleigh, North Carolina ("First Citizens") under which all deposits and loans of SVB were assumed by First Citizens.</w:t>
      </w:r>
    </w:p>
    <w:p>
      <w:pPr>
        <w:pStyle w:val="TextBody"/>
        <w:bidi w:val="0"/>
        <w:spacing w:lineRule="auto" w:line="288" w:before="0" w:after="2"/>
        <w:jc w:val="left"/>
        <w:rPr>
          <w:color w:val="000000"/>
        </w:rPr>
      </w:pPr>
      <w:r>
        <w:rPr>
          <w:color w:val="000000"/>
        </w:rPr>
        <w:t>    </w:t>
      </w:r>
      <w:r>
        <w:rPr>
          <w:rFonts w:ascii="Times New Roman;sans-serif" w:hAnsi="Times New Roman;sans-serif"/>
          <w:b w:val="false"/>
          <w:color w:val="000000"/>
          <w:sz w:val="22"/>
        </w:rPr>
        <w:t>As of June 30, 2023, the aggregate future principal payments under the SVB Term Loan Facility were as follows (in thousands):</w:t>
      </w:r>
    </w:p>
    <w:tbl>
      <w:tblPr>
        <w:tblW w:w="5376" w:type="dxa"/>
        <w:jc w:val="center"/>
        <w:tblInd w:w="0" w:type="dxa"/>
        <w:tblLayout w:type="fixed"/>
        <w:tblCellMar>
          <w:top w:w="28" w:type="dxa"/>
          <w:left w:w="28" w:type="dxa"/>
          <w:bottom w:w="28" w:type="dxa"/>
          <w:right w:w="28" w:type="dxa"/>
        </w:tblCellMar>
      </w:tblPr>
      <w:tblGrid>
        <w:gridCol w:w="1395"/>
        <w:gridCol w:w="1225"/>
        <w:gridCol w:w="1234"/>
        <w:gridCol w:w="211"/>
        <w:gridCol w:w="721"/>
        <w:gridCol w:w="109"/>
        <w:gridCol w:w="109"/>
        <w:gridCol w:w="109"/>
        <w:gridCol w:w="109"/>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ending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aggregate future principal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8. EQUITY-BASED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Grants of Restricted Stock Units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following table summarizes the activity related to the Company's restricted stock units ("RSUs") for the six months ended June 30, 2023:</w:t>
      </w:r>
    </w:p>
    <w:p>
      <w:pPr>
        <w:pStyle w:val="TextBody"/>
        <w:bidi w:val="0"/>
        <w:spacing w:before="0" w:after="2"/>
        <w:jc w:val="left"/>
        <w:rPr/>
      </w:pPr>
      <w:r>
        <w:rPr/>
      </w:r>
    </w:p>
    <w:tbl>
      <w:tblPr>
        <w:tblW w:w="8949" w:type="dxa"/>
        <w:jc w:val="left"/>
        <w:tblInd w:w="0" w:type="dxa"/>
        <w:tblLayout w:type="fixed"/>
        <w:tblCellMar>
          <w:top w:w="28" w:type="dxa"/>
          <w:left w:w="28" w:type="dxa"/>
          <w:bottom w:w="28" w:type="dxa"/>
          <w:right w:w="28" w:type="dxa"/>
        </w:tblCellMar>
      </w:tblPr>
      <w:tblGrid>
        <w:gridCol w:w="1320"/>
        <w:gridCol w:w="1161"/>
        <w:gridCol w:w="1163"/>
        <w:gridCol w:w="499"/>
        <w:gridCol w:w="499"/>
        <w:gridCol w:w="501"/>
        <w:gridCol w:w="109"/>
        <w:gridCol w:w="109"/>
        <w:gridCol w:w="109"/>
        <w:gridCol w:w="836"/>
        <w:gridCol w:w="2028"/>
        <w:gridCol w:w="615"/>
      </w:tblGrid>
      <w:tr>
        <w:trPr/>
        <w:tc>
          <w:tcPr>
            <w:tcW w:w="1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 unvested</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3,158,686 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2,128,923 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(664,385)</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(572,258)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 unvested</w:t>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4,050,966 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RSUs was ap</w:t>
      </w:r>
      <w:r>
        <w:rPr>
          <w:rFonts w:ascii="Times New Roman;sans-serif" w:hAnsi="Times New Roman;sans-serif"/>
          <w:b w:val="false"/>
          <w:color w:val="000000"/>
          <w:sz w:val="22"/>
        </w:rPr>
        <w:t xml:space="preserve">proximately $2.4 million and $4.4 million </w:t>
      </w:r>
      <w:r>
        <w:rPr>
          <w:rFonts w:ascii="Times New Roman;sans-serif" w:hAnsi="Times New Roman;sans-serif"/>
          <w:b w:val="false"/>
          <w:color w:val="000000"/>
          <w:sz w:val="22"/>
          <w:shd w:fill="FFFFFF" w:val="clear"/>
        </w:rPr>
        <w:t xml:space="preserve">for the three and six months ended June 30, 2023, respectively, and $1.8 million and $3.2 million for the three and six months ended June 30, 2022, </w:t>
      </w:r>
      <w:r>
        <w:rPr>
          <w:rFonts w:ascii="Times New Roman;sans-serif" w:hAnsi="Times New Roman;sans-serif"/>
          <w:b w:val="false"/>
          <w:color w:val="000000"/>
          <w:sz w:val="22"/>
        </w:rPr>
        <w:t>r</w:t>
      </w:r>
      <w:r>
        <w:rPr>
          <w:rFonts w:ascii="Times New Roman;sans-serif" w:hAnsi="Times New Roman;sans-serif"/>
          <w:b w:val="false"/>
          <w:color w:val="000000"/>
          <w:sz w:val="22"/>
          <w:shd w:fill="FFFFFF" w:val="clear"/>
        </w:rPr>
        <w:t xml:space="preserve">espectively, </w:t>
      </w:r>
      <w:r>
        <w:rPr>
          <w:rFonts w:ascii="Times New Roman;sans-serif" w:hAnsi="Times New Roman;sans-serif"/>
          <w:b w:val="false"/>
          <w:color w:val="000000"/>
          <w:sz w:val="22"/>
        </w:rPr>
        <w:t xml:space="preserve">and is included in selling, general and administrative expenses in the unaudited condensed consolidated statements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2023, total compensation cost related to unvested RSUs not yet recognized is $25.6 million and is expected to be recognized over a weighted-average period of approximately 2.9 years.</w:t>
      </w:r>
    </w:p>
    <w:p>
      <w:pPr>
        <w:pStyle w:val="TextBody"/>
        <w:bidi w:val="0"/>
        <w:spacing w:before="0" w:after="0"/>
        <w:jc w:val="both"/>
        <w:rPr/>
      </w:pPr>
      <w:r>
        <w:rPr/>
      </w:r>
    </w:p>
    <w:p>
      <w:pPr>
        <w:pStyle w:val="TextBody"/>
        <w:bidi w:val="0"/>
        <w:spacing w:lineRule="auto" w:line="300" w:before="0" w:after="2"/>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Grants of Stock Options</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The following table summarizes the activity related to the outstanding and exercisable stock options </w:t>
      </w:r>
      <w:r>
        <w:rPr>
          <w:rFonts w:ascii="Times New Roman;sans-serif" w:hAnsi="Times New Roman;sans-serif"/>
          <w:b w:val="false"/>
          <w:color w:val="000000"/>
          <w:sz w:val="22"/>
          <w:shd w:fill="FFFFFF" w:val="clear"/>
        </w:rPr>
        <w:t>for the six months ended June 30, 2023:</w: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790"/>
        <w:gridCol w:w="695"/>
        <w:gridCol w:w="696"/>
        <w:gridCol w:w="554"/>
        <w:gridCol w:w="369"/>
        <w:gridCol w:w="366"/>
        <w:gridCol w:w="109"/>
        <w:gridCol w:w="109"/>
        <w:gridCol w:w="109"/>
        <w:gridCol w:w="361"/>
        <w:gridCol w:w="1053"/>
        <w:gridCol w:w="186"/>
        <w:gridCol w:w="109"/>
        <w:gridCol w:w="109"/>
        <w:gridCol w:w="109"/>
        <w:gridCol w:w="452"/>
        <w:gridCol w:w="1096"/>
        <w:gridCol w:w="235"/>
        <w:gridCol w:w="109"/>
        <w:gridCol w:w="109"/>
        <w:gridCol w:w="109"/>
        <w:gridCol w:w="691"/>
        <w:gridCol w:w="691"/>
        <w:gridCol w:w="989"/>
      </w:tblGrid>
      <w:tr>
        <w:trPr/>
        <w:tc>
          <w:tcPr>
            <w:tcW w:w="7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218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1" w:type="dxa"/>
            <w:gridSpan w:val="3"/>
            <w:tcBorders/>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795,438 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June 30, 2023</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June 30, 2023</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2023</w:t>
            </w:r>
          </w:p>
        </w:tc>
        <w:tc>
          <w:tcPr>
            <w:tcW w:w="9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795,438 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bl>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2023, the vested stock options did not have an aggregated intrinsic value as the exercise price exceeded the estimated fair market value of the stock options.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stock options was approximately $0.2 million and $0.4 million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 xml:space="preserve">for the three and six months ended June 30, 2023, </w:t>
      </w:r>
      <w:r>
        <w:rPr>
          <w:rFonts w:ascii="Times New Roman;sans-serif" w:hAnsi="Times New Roman;sans-serif"/>
          <w:b w:val="false"/>
          <w:color w:val="000000"/>
          <w:sz w:val="22"/>
        </w:rPr>
        <w:t xml:space="preserve">respectively, and $0.3 million and $0.9 million for the three and six months ended June 30, 2022, respectively, </w:t>
      </w:r>
      <w:r>
        <w:rPr>
          <w:rFonts w:ascii="Times New Roman;sans-serif" w:hAnsi="Times New Roman;sans-serif"/>
          <w:b w:val="false"/>
          <w:color w:val="000000"/>
          <w:sz w:val="22"/>
          <w:shd w:fill="FFFFFF" w:val="clear"/>
        </w:rPr>
        <w:t>and is included in selling, general and administrative expenses in the unaudited condensed consolidated statements of operations.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As of June 30, 2023, total compensation cost related to unvested options not yet recognized is $1.2 million</w:t>
      </w:r>
      <w:r>
        <w:rPr>
          <w:color w:val="000000"/>
        </w:rPr>
        <w:t xml:space="preserve"> </w:t>
      </w:r>
      <w:r>
        <w:rPr>
          <w:rFonts w:ascii="Times New Roman;sans-serif" w:hAnsi="Times New Roman;sans-serif"/>
          <w:b w:val="false"/>
          <w:color w:val="000000"/>
          <w:sz w:val="22"/>
        </w:rPr>
        <w:t>and is expected to be recognized over a weighted-average period of approximately 1.7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 xml:space="preserve">Outstanding Restricted LLC Units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2"/>
          <w:shd w:fill="FFFFFF" w:val="clear"/>
        </w:rPr>
        <w:t xml:space="preserve">The following table summarizes the activity related to the unvested restricted LLC Units for the </w:t>
      </w:r>
      <w:r>
        <w:rPr>
          <w:rFonts w:ascii="Times New Roman;sans-serif" w:hAnsi="Times New Roman;sans-serif"/>
          <w:b w:val="false"/>
          <w:color w:val="000000"/>
          <w:sz w:val="22"/>
        </w:rPr>
        <w:t xml:space="preserve">six months ended </w:t>
      </w:r>
      <w:r>
        <w:rPr>
          <w:rFonts w:ascii="Times New Roman;sans-serif" w:hAnsi="Times New Roman;sans-serif"/>
          <w:b w:val="false"/>
          <w:color w:val="000000"/>
          <w:sz w:val="22"/>
          <w:shd w:fill="FFFFFF" w:val="clear"/>
        </w:rPr>
        <w:t>June 30, 2023</w:t>
      </w:r>
      <w:r>
        <w:rPr>
          <w:rFonts w:ascii="Times New Roman;sans-serif" w:hAnsi="Times New Roman;sans-serif"/>
          <w:b w:val="false"/>
          <w:color w:val="000000"/>
          <w:sz w:val="22"/>
        </w:rPr>
        <w:t>:</w:t>
      </w:r>
    </w:p>
    <w:p>
      <w:pPr>
        <w:pStyle w:val="TextBody"/>
        <w:bidi w:val="0"/>
        <w:spacing w:before="0" w:after="2"/>
        <w:jc w:val="left"/>
        <w:rPr/>
      </w:pPr>
      <w:r>
        <w:rPr/>
      </w:r>
    </w:p>
    <w:tbl>
      <w:tblPr>
        <w:tblW w:w="8276" w:type="dxa"/>
        <w:jc w:val="center"/>
        <w:tblInd w:w="0" w:type="dxa"/>
        <w:tblLayout w:type="fixed"/>
        <w:tblCellMar>
          <w:top w:w="28" w:type="dxa"/>
          <w:left w:w="28" w:type="dxa"/>
          <w:bottom w:w="28" w:type="dxa"/>
          <w:right w:w="28" w:type="dxa"/>
        </w:tblCellMar>
      </w:tblPr>
      <w:tblGrid>
        <w:gridCol w:w="1184"/>
        <w:gridCol w:w="1041"/>
        <w:gridCol w:w="1045"/>
        <w:gridCol w:w="929"/>
        <w:gridCol w:w="929"/>
        <w:gridCol w:w="932"/>
        <w:gridCol w:w="109"/>
        <w:gridCol w:w="109"/>
        <w:gridCol w:w="109"/>
        <w:gridCol w:w="454"/>
        <w:gridCol w:w="1101"/>
        <w:gridCol w:w="33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restricted LLC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 value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 unvested</w:t>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2790"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 unvested</w:t>
            </w:r>
          </w:p>
        </w:tc>
        <w:tc>
          <w:tcPr>
            <w:tcW w:w="279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Total compensation expense for unvested restricted LLC Units was</w:t>
      </w:r>
      <w:r>
        <w:rPr>
          <w:color w:val="000000"/>
        </w:rPr>
        <w:t xml:space="preserve"> </w:t>
      </w:r>
      <w:r>
        <w:rPr>
          <w:rFonts w:ascii="Times New Roman;sans-serif" w:hAnsi="Times New Roman;sans-serif"/>
          <w:b w:val="false"/>
          <w:color w:val="000000"/>
          <w:sz w:val="22"/>
        </w:rPr>
        <w:t>$0.1 million and $0.1 million for the three and six months ended June 30, 2023, respectively, and $0.1 million and $0.1 million for the three and six months ended June 30, 2022, respectively, and is included</w:t>
      </w:r>
      <w:r>
        <w:rPr>
          <w:color w:val="000000"/>
          <w:shd w:fill="FFFFFF" w:val="clear"/>
        </w:rPr>
        <w:t xml:space="preserve"> </w:t>
      </w:r>
      <w:r>
        <w:rPr>
          <w:rFonts w:ascii="Times New Roman;sans-serif" w:hAnsi="Times New Roman;sans-serif"/>
          <w:b w:val="false"/>
          <w:color w:val="000000"/>
          <w:sz w:val="22"/>
          <w:shd w:fill="FFFFFF" w:val="clear"/>
        </w:rPr>
        <w:t>in selling, general and administrative expenses in the unaudited condensed consolidated statements of operations.</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 xml:space="preserve">As of </w:t>
      </w:r>
      <w:r>
        <w:rPr>
          <w:rFonts w:ascii="Times New Roman;sans-serif" w:hAnsi="Times New Roman;sans-serif"/>
          <w:b w:val="false"/>
          <w:color w:val="000000"/>
          <w:sz w:val="22"/>
          <w:shd w:fill="FFFFFF" w:val="clear"/>
        </w:rPr>
        <w:t>June 30, 2023</w:t>
      </w:r>
      <w:r>
        <w:rPr>
          <w:rFonts w:ascii="Times New Roman;sans-serif" w:hAnsi="Times New Roman;sans-serif"/>
          <w:b w:val="false"/>
          <w:color w:val="000000"/>
          <w:sz w:val="22"/>
        </w:rPr>
        <w:t>, total compensation cost related to unvested restricted LLC Units not yet recognized is $0.3 million and is expected to be recognized over a weighted-average period of approximately 1.6 years.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9. INCOME TAXES AND TAX RECEIVABLE AGREEMENT</w:t>
      </w:r>
    </w:p>
    <w:p>
      <w:pPr>
        <w:pStyle w:val="TextBody"/>
        <w:bidi w:val="0"/>
        <w:spacing w:lineRule="auto" w:line="288" w:before="0" w:after="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Overview of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unaudited condensed consolidated financial statements under U.S. GAAP.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00"/>
        <w:jc w:val="lef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Tax Provision and Deferred Tax Asset</w:t>
      </w:r>
    </w:p>
    <w:p>
      <w:pPr>
        <w:pStyle w:val="TextBody"/>
        <w:bidi w:val="0"/>
        <w:spacing w:lineRule="auto" w:line="288" w:before="0" w:after="0"/>
        <w:ind w:left="0" w:right="0" w:firstLine="720"/>
        <w:jc w:val="both"/>
        <w:rPr/>
      </w:pPr>
      <w:r>
        <w:rPr>
          <w:rFonts w:ascii="Times New Roman;sans-serif" w:hAnsi="Times New Roman;sans-serif"/>
          <w:b w:val="false"/>
          <w:color w:val="000000"/>
          <w:sz w:val="22"/>
          <w:shd w:fill="FFFFFF" w:val="clear"/>
        </w:rPr>
        <w:t xml:space="preserve">In calculating the provision for interim income taxes in accordance with ASC Topic 740, </w:t>
      </w:r>
      <w:r>
        <w:rPr>
          <w:rFonts w:ascii="Times New Roman;sans-serif" w:hAnsi="Times New Roman;sans-serif"/>
          <w:b w:val="false"/>
          <w:i/>
          <w:color w:val="000000"/>
          <w:sz w:val="22"/>
          <w:shd w:fill="FFFFFF" w:val="clear"/>
        </w:rPr>
        <w:t>Income Taxes</w:t>
      </w:r>
      <w:r>
        <w:rPr>
          <w:rFonts w:ascii="Times New Roman;sans-serif" w:hAnsi="Times New Roman;sans-serif"/>
          <w:b w:val="false"/>
          <w:color w:val="000000"/>
          <w:sz w:val="22"/>
          <w:shd w:fill="FFFFFF" w:val="clear"/>
        </w:rPr>
        <w:t xml:space="preserve">, an estimated annual effective tax rate is applied to year-to-date ordinary income. At the end of each interim period, Brilliant Earth Group, Inc. estimates the effective tax rate expected to be applicable for the full fiscal year. This differs from the method utilized at the end of an annual period. </w:t>
      </w:r>
      <w:r>
        <w:rPr>
          <w:rFonts w:ascii="Times New Roman;sans-serif" w:hAnsi="Times New Roman;sans-serif"/>
          <w:b w:val="false"/>
          <w:color w:val="000000"/>
          <w:sz w:val="22"/>
        </w:rPr>
        <w:t>The Company's effective tax rate of 2.97% for the six months ended June 30, 2023, differs from the U.S. federal statutory tax rate of 21% primarily due to income associated with the non-controlling interest, state tax expense and other permanent items.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recorded net increases in deferred tax assets of $0.4 million during the six months ended June 30, 2023, with a corresponding increase to additional paid in capital, resulting from changes in the outside basis difference on Brilliant Earth's investment in LLC. The Company has determined it is more-likely-than-not that it will be able to realize this deferred tax asset in the future.</w:t>
      </w:r>
    </w:p>
    <w:p>
      <w:pPr>
        <w:pStyle w:val="TextBody"/>
        <w:bidi w:val="0"/>
        <w:spacing w:before="0" w:after="2"/>
        <w:jc w:val="both"/>
        <w:rPr/>
      </w:pPr>
      <w:r>
        <w:rPr/>
      </w:r>
    </w:p>
    <w:p>
      <w:pPr>
        <w:pStyle w:val="TextBody"/>
        <w:bidi w:val="0"/>
        <w:spacing w:lineRule="auto" w:line="288" w:before="0" w:after="2"/>
        <w:jc w:val="both"/>
        <w:rPr/>
      </w:pPr>
      <w:r>
        <w:rPr>
          <w:color w:val="000000"/>
        </w:rPr>
        <w:t>    </w:t>
      </w:r>
      <w:r>
        <w:rPr>
          <w:rFonts w:ascii="Times New Roman;sans-serif" w:hAnsi="Times New Roman;sans-serif"/>
          <w:b w:val="false"/>
          <w:color w:val="000000"/>
          <w:sz w:val="22"/>
        </w:rPr>
        <w:t xml:space="preserve">The Company's income tax provision was less than $0.1 million for both the three and six months ended June 30, 2023, respectively, and $0.1 million and $0.2 million for the three and six months ended June 30, 2022, respectively. </w:t>
      </w:r>
      <w:r>
        <w:rPr>
          <w:rFonts w:ascii="Times New Roman;sans-serif" w:hAnsi="Times New Roman;sans-serif"/>
          <w:b w:val="false"/>
          <w:color w:val="000000"/>
          <w:sz w:val="22"/>
          <w:shd w:fill="FFFFFF" w:val="clear"/>
        </w:rPr>
        <w:br/>
        <w:br/>
      </w:r>
      <w:r>
        <w:rPr>
          <w:rFonts w:ascii="Times New Roman;sans-serif" w:hAnsi="Times New Roman;sans-serif"/>
          <w:b/>
          <w:i/>
          <w:color w:val="000000"/>
          <w:sz w:val="22"/>
        </w:rPr>
        <w:t xml:space="preserve">Tax Receivable Agreement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In addition, as part of the IPO, the Company entered into a tax receivable agreement (the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shd w:fill="FFFFFF" w:val="clear"/>
        </w:rPr>
        <w:t xml:space="preserve">As of </w:t>
      </w:r>
      <w:r>
        <w:rPr>
          <w:rFonts w:ascii="Times New Roman;sans-serif" w:hAnsi="Times New Roman;sans-serif"/>
          <w:b w:val="false"/>
          <w:color w:val="000000"/>
          <w:sz w:val="22"/>
        </w:rPr>
        <w:t>June 30, 2023</w:t>
      </w:r>
      <w:r>
        <w:rPr>
          <w:rFonts w:ascii="Times New Roman;sans-serif" w:hAnsi="Times New Roman;sans-serif"/>
          <w:b w:val="false"/>
          <w:color w:val="000000"/>
          <w:sz w:val="22"/>
          <w:shd w:fill="FFFFFF" w:val="clear"/>
        </w:rPr>
        <w:t>, related to the TRA, the Company has recorded (i) a deferred tax asset in the amount of</w:t>
      </w:r>
      <w:r>
        <w:rPr>
          <w:color w:val="000000"/>
        </w:rPr>
        <w:t xml:space="preserve"> </w:t>
      </w:r>
      <w:r>
        <w:rPr>
          <w:rFonts w:ascii="Times New Roman;sans-serif" w:hAnsi="Times New Roman;sans-serif"/>
          <w:b w:val="false"/>
          <w:color w:val="000000"/>
          <w:sz w:val="22"/>
        </w:rPr>
        <w:t xml:space="preserve">$9.4 million, (ii) a corresponding estimated liability with a balance of $7.9 million representing 85% of the </w:t>
      </w:r>
      <w:r>
        <w:rPr>
          <w:rFonts w:ascii="Times New Roman;sans-serif" w:hAnsi="Times New Roman;sans-serif"/>
          <w:b w:val="false"/>
          <w:color w:val="000000"/>
          <w:sz w:val="22"/>
          <w:shd w:fill="FFFFFF" w:val="clear"/>
        </w:rPr>
        <w:t>projected tax benefits to the Continuing Equity Owners; and (iii) $1.5 million of additional paid-in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At this time, any liability related to the alleged claims is not currently probable or reasonably estimable.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center"/>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before="7" w:after="160"/>
        <w:jc w:val="left"/>
        <w:rPr/>
      </w:pPr>
      <w:r>
        <w:rPr/>
      </w:r>
    </w:p>
    <w:p>
      <w:pPr>
        <w:pStyle w:val="TextBody"/>
        <w:bidi w:val="0"/>
        <w:spacing w:lineRule="auto" w:line="276" w:before="0" w:after="0"/>
        <w:ind w:left="0" w:right="0" w:firstLine="720"/>
        <w:jc w:val="both"/>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as disclosed in our 2022 Form 10-K.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and Part I, Item 1A. "Risk Factors" in our 2022 Form 10-K. We assume no obligation to update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4"/>
        </w:rPr>
      </w:pPr>
      <w:r>
        <w:rPr>
          <w:rFonts w:ascii="Times New Roman;sans-serif" w:hAnsi="Times New Roman;sans-serif"/>
          <w:b/>
          <w:color w:val="000000"/>
          <w:sz w:val="24"/>
        </w:rPr>
        <w:t>Company Overview</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Brilliant Earth is an innovative, digital-first jewelry company, and a global leader in ethically sourced fine jewelry. We offer exclusive designs with superior craftsmanship and supply chain transparency, delivered to customers through a highly personalized omnichannel experience. </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mission is to create a more transparent, sustainable, compassionate, and inclusive jewelry industry, and we are proud to offer customers distinctive and thoughtfully designed products that they can truly feel good about wearing.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As of June 30, 2023, Brilliant Earth has sold to consumers in over 50 countries.</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Throughout our history, we have invested in technology to create a seamless customer experience, inform our data-driven decision-making, improve efficiencies, and advance our mission. Our technology enables dynamic product visualization, augmented reality try-on, blockchain-enabled transparency, and rapid fulfillment of our flagship Create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have achieved strong financial performance and rapid growth since our founding, and believe we are in the early stages of realizing our potential in a significant market opportunity.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Below is a summary of our performance for the three months ended June 30,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Net sales of $110.2 million, up 1.3% compared to $108.8 million for the three months ended June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Net income of $1.2 million, down 67.1% compared to $3.8 million for the three months ended June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Net income margin of 1.1%, compared to 3.4% for the three months ended June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Adjusted EBITDA of $7.7 million, down 19.6%, compared to $9.6 million for the three months ended June 30,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Adjusted EBITDA margin of 7.0%, compared to 8.8% for the three months ended June 30,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Below is a summary of our performance for the six months ended June 30,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Net sales of $207.9 million, down 0.5% compared to $208.8 million for the six months ended June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Net income of $0.8 million, down 88.8% compared to $7.1 million for the six months ended June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Net income margin of 0.4%, compared to 3.4% for the six months ended June 30,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Adjusted EBITDA of $13.3 million, down 26.2%, compared to $18.0 million for the six months ended June 30,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Adjusted EBITDA margin of 6.4%, compared to 8.6% for the six months ended June 30, 2022.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operate in one operating and reporting segment, the retail sale of diamonds, gemstones and jewelry.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color w:val="000000"/>
          <w:sz w:val="24"/>
        </w:rPr>
      </w:pPr>
      <w:r>
        <w:rPr>
          <w:rFonts w:ascii="Times New Roman;sans-serif" w:hAnsi="Times New Roman;sans-serif"/>
          <w:b/>
          <w:color w:val="000000"/>
          <w:sz w:val="24"/>
        </w:rPr>
        <w:t>Key Factors Affecting Our Performance</w:t>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Our Ability to Increase Brand Awareness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U.S. and international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Cost-Effective Acquisition of New Customers and Retention of Existing Customers.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i/>
          <w:color w:val="000000"/>
          <w:sz w:val="22"/>
        </w:rPr>
      </w:pPr>
      <w:r>
        <w:rPr>
          <w:rFonts w:ascii="Times New Roman;sans-serif" w:hAnsi="Times New Roman;sans-serif"/>
          <w:b w:val="false"/>
          <w:i/>
          <w:color w:val="000000"/>
          <w:sz w:val="22"/>
        </w:rPr>
        <w:t>Our Ability to Continue Successfully Growing and Managing our Omnichannel Presence</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ability to successfully grow and manage our omnichannel presence in new markets and locations is an important factor our success. Historically, we have been successful in new geographic markets we have entered, and we are in the early stages of expanding our premium showroom footprint nationwide. We intend to continue leveraging our marketing strategy and growing brand awareness to drive increased qualified consumer traffic to and sales from our website and premium showrooms.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growing and managing our showrooms will drive accelerated growth by increasing our average order value ("AOV") compared to e-commerce orders, improving conversion in the showrooms' metro regions compared to pre-opening conversion, and raising our brand awareness. As of June 30, 2023, we have 32 showroom locations.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Our Ability to Successfully Introduce New Products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International Expansion</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in the early stages of expanding globally, and a larger geographic footprint will help drive future growth. Our early proof-points from localizing our website for Canada, Australia, and the United Kingdom, and our sales to customers from over 50 countries, provide encouraging signs for future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Operational and Marketing Efficiency</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avoids the inefficiencies of traditional, retail-first jewelers. Our showrooms are appointment-driven with large catchment regions, so we are less reliant on expensive high foot traffic retail locations. We also curate showroom inventory for scheduled visits and require limited inventory in each location. Our tech-enabled jewelry specialist team supports online customers when not in appointment, maximizing workforce utilization. As we continue to scale our business, our future success is dependent on maintaining this capital efficient operating model and driving continued operational improvement as we expand to new locations both in the U.S. and internationally.</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Costs of Operating as a Public Company</w:t>
      </w:r>
    </w:p>
    <w:p>
      <w:pPr>
        <w:pStyle w:val="TextBody"/>
        <w:bidi w:val="0"/>
        <w:spacing w:lineRule="auto" w:line="26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costs of operating as a public company are significant.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will be critical to our future success.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Macroeconomic Trends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could negatively impact our operating results.</w:t>
      </w:r>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Seasonality</w:t>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larger share of annual revenues and profits traditionally occur in the fourth quarter because it includes the November and December holiday sales period.</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00"/>
        <w:jc w:val="left"/>
        <w:rPr>
          <w:rFonts w:ascii="Times New Roman;sans-serif" w:hAnsi="Times New Roman;sans-serif"/>
          <w:b/>
          <w:color w:val="000000"/>
          <w:sz w:val="22"/>
        </w:rPr>
      </w:pPr>
      <w:r>
        <w:rPr>
          <w:rFonts w:ascii="Times New Roman;sans-serif" w:hAnsi="Times New Roman;sans-serif"/>
          <w:b/>
          <w:color w:val="000000"/>
          <w:sz w:val="22"/>
        </w:rPr>
        <w:t>Components of Results of Operations</w:t>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sales are recorded net of estimated sales returns and allowances and sales tax collected from customers. Our net sales primarily consist of revenue from diamond, jewelry, and gemstone retail sales through our website and dedicated jewelry specialists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of our sales occurs prior to fulfillment. 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diamonds that meet certain criteria. We offer an extended protection plan through a third-party that has terms ranging from two years to lifetime that vary based on the item purchased.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Revenue is deferred on transactions where payment has been received from the customer, but control has not yet transferred. Revenue related to customer purchases of our in-house extended service plan is deferred and recognized ratably over the service plan term.</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Cost of Sales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costs of shipping orders to customers and certain fulfillment and inventory-related compensation costs. Our cost of sales includes reserves for disposal of obsolete, slow-moving or defective items, and shrinkage, which we estimate and record on a periodic basis.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and other general corporate expenses.</w:t>
      </w:r>
    </w:p>
    <w:p>
      <w:pPr>
        <w:pStyle w:val="TextBody"/>
        <w:bidi w:val="0"/>
        <w:spacing w:before="0" w:after="2"/>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 primarily consists of interest incurred under the Company's prior Loan and Security Agreement with Runway Growth Finance Corp. (as amended, the "Runway Term Loan Agreement") and the SVB Credit Facility.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Other Income (Expense), Net</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Other income (expense), net consists primarily of interest income and other miscellaneous income and expenses such as losses on exchange rates on consumer payments.</w:t>
      </w:r>
    </w:p>
    <w:p>
      <w:pPr>
        <w:pStyle w:val="TextBody"/>
        <w:bidi w:val="0"/>
        <w:spacing w:before="0" w:after="2"/>
        <w:jc w:val="left"/>
        <w:rPr/>
      </w:pPr>
      <w:r>
        <w:rPr/>
      </w:r>
    </w:p>
    <w:p>
      <w:pPr>
        <w:pStyle w:val="TextBody"/>
        <w:bidi w:val="0"/>
        <w:spacing w:lineRule="auto" w:line="300" w:before="0" w:after="200"/>
        <w:jc w:val="both"/>
        <w:rPr>
          <w:rFonts w:ascii="Times New Roman;sans-serif" w:hAnsi="Times New Roman;sans-serif"/>
          <w:b/>
          <w:i/>
          <w:color w:val="000000"/>
          <w:sz w:val="22"/>
        </w:rPr>
      </w:pPr>
      <w:r>
        <w:rPr>
          <w:rFonts w:ascii="Times New Roman;sans-serif" w:hAnsi="Times New Roman;sans-serif"/>
          <w:b/>
          <w:i/>
          <w:color w:val="000000"/>
          <w:sz w:val="22"/>
        </w:rPr>
        <w:t>Income Tax Benefit (Expense)</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Income tax benefit (expense) represents the federal and state income or franchise taxes assessed on Brilliant Earth Group, Inc.'s share of taxable income (loss) for the period.</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results of operations data in the following tables for the periods presented have been derived from the unaudited condensed consolidated financial statements included elsewhere in this Quarterly Report on Form 10-Q.</w:t>
      </w:r>
    </w:p>
    <w:p>
      <w:pPr>
        <w:pStyle w:val="TextBody"/>
        <w:bidi w:val="0"/>
        <w:spacing w:lineRule="auto" w:line="288" w:before="160" w:after="2"/>
        <w:jc w:val="left"/>
        <w:rPr>
          <w:rFonts w:ascii="Times New Roman;sans-serif" w:hAnsi="Times New Roman;sans-serif"/>
          <w:b/>
          <w:i/>
          <w:color w:val="000000"/>
          <w:sz w:val="22"/>
        </w:rPr>
      </w:pPr>
      <w:r>
        <w:rPr>
          <w:rFonts w:ascii="Times New Roman;sans-serif" w:hAnsi="Times New Roman;sans-serif"/>
          <w:b/>
          <w:i/>
          <w:color w:val="000000"/>
          <w:sz w:val="22"/>
        </w:rPr>
        <w:t>Comparison of Three Months Ended June 30, 2023 and 2022</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statements of operations for the three months ended June 30, 2023 and 2022, including amounts and percentages of net sales for each period and the period-to-period change in dollars and percent (amounts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8"/>
        <w:gridCol w:w="680"/>
        <w:gridCol w:w="436"/>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616"/>
        <w:gridCol w:w="109"/>
        <w:gridCol w:w="109"/>
        <w:gridCol w:w="109"/>
        <w:gridCol w:w="109"/>
        <w:gridCol w:w="371"/>
        <w:gridCol w:w="377"/>
        <w:gridCol w:w="474"/>
      </w:tblGrid>
      <w:tr>
        <w:trPr/>
        <w:tc>
          <w:tcPr>
            <w:tcW w:w="9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Period 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(2532.7)</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allocable to Brilliant Earth Group,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60" w:after="283"/>
        <w:jc w:val="left"/>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Net sales for the three months ended June 30, 2023 increased by $1.4 million, or 1.3%, compared to the three months ended June 30, 2022. The increase in net sales was comprised of an increase of 21.2% in order volumes partially offset by a decrease of 16.4% in AOV. The increase of 21.2% in order volumes was due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continued effectiveness of our customer acquisition and conversion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strong omnichannel performance across the Company's products and new product collection releases; and</w:t>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2"/>
        </w:rPr>
        <w:t>the opening of new showrooms.</w:t>
      </w:r>
    </w:p>
    <w:p>
      <w:pPr>
        <w:pStyle w:val="TextBody"/>
        <w:bidi w:val="0"/>
        <w:spacing w:before="0" w:after="0"/>
        <w:jc w:val="left"/>
        <w:rPr/>
      </w:pPr>
      <w:r>
        <w:rPr/>
      </w:r>
    </w:p>
    <w:p>
      <w:pPr>
        <w:pStyle w:val="TextBody"/>
        <w:bidi w:val="0"/>
        <w:spacing w:lineRule="auto" w:line="288" w:before="0" w:after="2"/>
        <w:jc w:val="both"/>
        <w:rPr>
          <w:rFonts w:ascii="Times New Roman;sans-serif" w:hAnsi="Times New Roman;sans-serif"/>
          <w:b w:val="false"/>
          <w:color w:val="000000"/>
          <w:sz w:val="22"/>
        </w:rPr>
      </w:pPr>
      <w:r>
        <w:rPr>
          <w:rFonts w:ascii="Times New Roman;sans-serif" w:hAnsi="Times New Roman;sans-serif"/>
          <w:b w:val="false"/>
          <w:color w:val="000000"/>
          <w:sz w:val="22"/>
        </w:rPr>
        <w:t>The decrease in AOV was driven by moderation in sales growth of products above the $10,000 price point and an increase in sales of lower price point fine jewelry.</w:t>
      </w:r>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Gross Profit</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Gross profit for the three months ended June 30, 2023 increased by $5.7 million, or 9.8%, compared to the three months ended June 30, 2022. Gross margin, expressed as a percentage and calculated as gross profit divided by net sales, increased by 450 basis points for the three months ended June 30, 2023 compared to the three months ended June 30, 2022, primarily driven by our premium brand and differentiated product offerings, performance of our pricing engine, procurement efficiencies and benefits from our extended warranty program. The increase in gross margin was partially offset by a 7.3% increase in average platinum spot prices and an increase of 5.5% in average gold spot prices for the three months ended June 30, 2023 as compared to the three months ended June 30, 2022.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Selling, general and administrative expenses for the three months ended June 30, 2023 increased by $10.0 million, or 19.1% compared to the three months ended June 30, 2022. Selling, general and administrative expenses as a percentage of net sales increased by 850 basis points for the quarter ended June 30, 2023 compared to the quarter ended June 30, 2022. The increase in selling, general and administrative expenses was driven by an increase in marketing, other general and administrative and employment expenses, which increased by $5.5 million, $2.6 million, and $1.9 million, respectively, from the quarter ended June 30, 2022 to the quarter ended June 30, 2023. </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marketing expenses was driven by increased investments in marketing and advertising to increase brand awareness and support strategic growth initiatives. The increase in other general and administrative expenses was a result of overall Company growth and principally driven by a $0.8 million increase in rent and lease related expenses, a $0.5 million increase in depreciation, a $0.5 million increase in other general administrative expenses, a $0.5 million increase in information technology and other software-related costs, and a $0.4 million increase of pre-opening expenses from the opening of new showrooms. The increase in employment expenses was driven by an increase in salaries and wages, equity-based compensation, and other benefits expense primarily due to the addition of staff to support our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Interest expense for the three months ended June 30, 2023 increased by $0.1 million, or 11.7% compared to the three months ended June 30, 2022, primarily due to increases in the variable interest rate pursuant to the SVB Credit Agreement entered into on May 24, 2022.</w:t>
      </w:r>
    </w:p>
    <w:p>
      <w:pPr>
        <w:pStyle w:val="TextBody"/>
        <w:bidi w:val="0"/>
        <w:spacing w:before="0" w:after="2"/>
        <w:jc w:val="both"/>
        <w:rPr/>
      </w:pPr>
      <w:r>
        <w:rPr/>
      </w:r>
    </w:p>
    <w:p>
      <w:pPr>
        <w:pStyle w:val="TextBody"/>
        <w:bidi w:val="0"/>
        <w:spacing w:lineRule="auto" w:line="300" w:before="0" w:after="2"/>
        <w:jc w:val="both"/>
        <w:rPr>
          <w:rFonts w:ascii="Times New Roman;sans-serif" w:hAnsi="Times New Roman;sans-serif"/>
          <w:b/>
          <w:i/>
          <w:color w:val="000000"/>
          <w:sz w:val="22"/>
        </w:rPr>
      </w:pPr>
      <w:r>
        <w:rPr>
          <w:rFonts w:ascii="Times New Roman;sans-serif" w:hAnsi="Times New Roman;sans-serif"/>
          <w:b/>
          <w:i/>
          <w:color w:val="000000"/>
          <w:sz w:val="22"/>
        </w:rPr>
        <w:t>Other Income (Expense), net</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Other income (expense), net for the three months ended June 30, 2023 changed by $1.2 million, primarily due to increased interest income earned on our cash balances. Additionally, these amounts for all periods presented include immaterial losses on exchange rates on consumer payments and other miscellaneous income.</w:t>
      </w:r>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Comparison of Six Months Ended June 30, 2023 and 2022</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statements of operations for the six months ended June 30, 2023 and 2022, including amounts and percentages of net sales for each period and the period-to-period change in dollars and percent (amounts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5"/>
        <w:gridCol w:w="622"/>
        <w:gridCol w:w="625"/>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3"/>
        <w:gridCol w:w="535"/>
        <w:gridCol w:w="109"/>
        <w:gridCol w:w="109"/>
        <w:gridCol w:w="109"/>
        <w:gridCol w:w="109"/>
        <w:gridCol w:w="372"/>
        <w:gridCol w:w="376"/>
        <w:gridCol w:w="475"/>
      </w:tblGrid>
      <w:tr>
        <w:trPr/>
        <w:tc>
          <w:tcPr>
            <w:tcW w:w="88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Period change</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(1984.3)</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before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allocable to Brilliant Earth Group,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before="0" w:after="0"/>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Net Sales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Net sales for the six months ended June 30, 2023 decreased by $1.0 million, or 0.5%, compared to the six months ended June 30, 2022. The decrease in net sales was comprised of a decrease of 14.1% in AOV, partially offset by an increase of 15.9% in order volumes. The decrease in AOV was driven by moderation in sales growth of products above the $10,000 price point and an increase in sales of lower price point fine jewelry. The increase of 15.9% in order volumes was due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continued effectiveness of our customer acquisition and conversion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strong omnichannel performance across the Company's products and new product collection releases; and</w:t>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2"/>
        </w:rPr>
        <w:t>the opening of new showrooms.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Gross Profit</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Gross profit for the six months ended June 30, 2023 increased by $9.2 million, or 8.5%, compared to the six months ended June 30, 2022. Gross margin, expressed as a percentage and calculated as gross profit divided by net sales, increased by 470 basis points for the six months ended June 30, 2023 compared to the six months ended June 30, 2022, primarily driven by our premium brand and differentiated product offerings, performance of our pricing engine, procurement efficiencies and benefits from our extended warranty program. The increase in gross margin was partially offset by a 1.5% increase in average platinum spot prices and a 3.0% increase in average gold spot prices for the six months ended June 30, 2023 as compared to the six months ended June 30, 2022. </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Selling, General and Administrative Expenses</w:t>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Selling, general and administrative expenses for the six months ended June 30, 2023 increased by $18.9 million, or 19.5% compared to the six months ended June 30, 2022. Selling, general and administrative expenses as a percentage of net sales increased by 940 basis points for the period ended June 30, 2023 compared to the period ended June 30, 2022. The increase in selling, general and administrative expenses was driven by an increase in marketing, other general and administrative, and employment expenses, which increased by $8.2 million, $5.9 million, and $4.8 million, respectively, from the six months ended June 30, 2022 to the six months ended June 30, 2023. </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marketing expenses was driven by increased investments in marketing and advertising to increase brand awareness and support strategic growth initiatives. The increase in other general and administrative expenses as a result of overall Company growth was principally driven by a $1.7 million increase in information technology and other software-related costs, a $1.7 million increase in pre-opening expenses from the opening of new showrooms, a $1.4 million increase in rent and lease related expenses, and a $1.1 million increase in depreciation, which was partially offset by a $0.1 million decrease in other general administrative expenses. The increase in employment expenses was driven by an increase in salaries and wages, equity-based compensation, and other benefits expense primarily due to the addition of staff to support our growth. </w:t>
      </w:r>
    </w:p>
    <w:p>
      <w:pPr>
        <w:pStyle w:val="TextBody"/>
        <w:bidi w:val="0"/>
        <w:spacing w:before="0" w:after="2"/>
        <w:jc w:val="left"/>
        <w:rPr/>
      </w:pPr>
      <w:r>
        <w:rPr/>
      </w:r>
    </w:p>
    <w:p>
      <w:pPr>
        <w:pStyle w:val="TextBody"/>
        <w:bidi w:val="0"/>
        <w:spacing w:lineRule="auto" w:line="288" w:before="0" w:after="200"/>
        <w:jc w:val="left"/>
        <w:rPr>
          <w:rFonts w:ascii="Times New Roman;sans-serif" w:hAnsi="Times New Roman;sans-serif"/>
          <w:b/>
          <w:i/>
          <w:color w:val="000000"/>
          <w:sz w:val="22"/>
        </w:rPr>
      </w:pPr>
      <w:r>
        <w:rPr>
          <w:rFonts w:ascii="Times New Roman;sans-serif" w:hAnsi="Times New Roman;sans-serif"/>
          <w:b/>
          <w:i/>
          <w:color w:val="000000"/>
          <w:sz w:val="22"/>
        </w:rPr>
        <w:t>Interest Expense</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Interest expense for the six months ended June 30, 2023 decreased by $0.4 million, or 14.9% compared to the six months ended June 30, 2022, primarily due to a reduction in the interest rate pursuant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the SVB Credit Agreement executed on May 24, 2022 as compared to the interest rate pursuant to the Runway Term Loan Agreement. </w:t>
      </w:r>
    </w:p>
    <w:p>
      <w:pPr>
        <w:pStyle w:val="TextBody"/>
        <w:bidi w:val="0"/>
        <w:spacing w:before="0" w:after="2"/>
        <w:jc w:val="left"/>
        <w:rPr/>
      </w:pPr>
      <w:r>
        <w:rPr/>
      </w:r>
    </w:p>
    <w:p>
      <w:pPr>
        <w:pStyle w:val="TextBody"/>
        <w:bidi w:val="0"/>
        <w:spacing w:lineRule="auto" w:line="300" w:before="0" w:after="200"/>
        <w:jc w:val="left"/>
        <w:rPr>
          <w:rFonts w:ascii="Times New Roman;sans-serif" w:hAnsi="Times New Roman;sans-serif"/>
          <w:b/>
          <w:i/>
          <w:color w:val="000000"/>
          <w:sz w:val="22"/>
        </w:rPr>
      </w:pPr>
      <w:r>
        <w:rPr>
          <w:rFonts w:ascii="Times New Roman;sans-serif" w:hAnsi="Times New Roman;sans-serif"/>
          <w:b/>
          <w:i/>
          <w:color w:val="000000"/>
          <w:sz w:val="22"/>
        </w:rPr>
        <w:t>Other Income (Expense), net</w:t>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Other income (expense), net for the six months ended June 30, 2023 changed by $2.1 million, primarily due to increased interest income earned on our cash balances. Additionally, these amounts for all periods presented include immaterial losses on exchange rates on consumer payments and other miscellaneous income.</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Key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key performance indicators for the periods presented (amounts in thousands, except for total orders and AOV):</w:t>
      </w:r>
    </w:p>
    <w:p>
      <w:pPr>
        <w:pStyle w:val="TextBody"/>
        <w:bidi w:val="0"/>
        <w:spacing w:before="0" w:after="0"/>
        <w:jc w:val="left"/>
        <w:rPr/>
      </w:pPr>
      <w:r>
        <w:rPr/>
      </w:r>
    </w:p>
    <w:tbl>
      <w:tblPr>
        <w:tblW w:w="11615" w:type="dxa"/>
        <w:jc w:val="left"/>
        <w:tblInd w:w="0" w:type="dxa"/>
        <w:tblLayout w:type="fixed"/>
        <w:tblCellMar>
          <w:top w:w="28" w:type="dxa"/>
          <w:left w:w="28" w:type="dxa"/>
          <w:bottom w:w="28" w:type="dxa"/>
          <w:right w:w="28" w:type="dxa"/>
        </w:tblCellMar>
      </w:tblPr>
      <w:tblGrid>
        <w:gridCol w:w="299"/>
        <w:gridCol w:w="198"/>
        <w:gridCol w:w="164"/>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40"/>
        <w:gridCol w:w="241"/>
        <w:gridCol w:w="503"/>
        <w:gridCol w:w="109"/>
        <w:gridCol w:w="109"/>
        <w:gridCol w:w="109"/>
        <w:gridCol w:w="196"/>
        <w:gridCol w:w="736"/>
        <w:gridCol w:w="109"/>
        <w:gridCol w:w="109"/>
        <w:gridCol w:w="109"/>
        <w:gridCol w:w="109"/>
        <w:gridCol w:w="196"/>
        <w:gridCol w:w="736"/>
        <w:gridCol w:w="109"/>
        <w:gridCol w:w="109"/>
        <w:gridCol w:w="109"/>
        <w:gridCol w:w="109"/>
        <w:gridCol w:w="196"/>
        <w:gridCol w:w="450"/>
        <w:gridCol w:w="109"/>
        <w:gridCol w:w="109"/>
        <w:gridCol w:w="109"/>
        <w:gridCol w:w="109"/>
        <w:gridCol w:w="240"/>
        <w:gridCol w:w="241"/>
        <w:gridCol w:w="503"/>
        <w:gridCol w:w="109"/>
        <w:gridCol w:w="109"/>
        <w:gridCol w:w="109"/>
        <w:gridCol w:w="109"/>
        <w:gridCol w:w="109"/>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Orders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50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50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AOV</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5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5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Net Sales</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ans-serif" w:hAnsi="Times New Roman;sans-serif"/>
          <w:b w:val="false"/>
          <w:color w:val="000000"/>
          <w:sz w:val="22"/>
        </w:rPr>
        <w:t>Net sales is defined above in "</w:t>
      </w:r>
      <w:r>
        <w:rPr>
          <w:rFonts w:ascii="Times New Roman;sans-serif" w:hAnsi="Times New Roman;sans-serif"/>
          <w:b w:val="false"/>
          <w:i/>
          <w:color w:val="000000"/>
          <w:sz w:val="22"/>
        </w:rPr>
        <w:t>Components of Results of Operations".</w:t>
      </w:r>
    </w:p>
    <w:p>
      <w:pPr>
        <w:pStyle w:val="TextBody"/>
        <w:bidi w:val="0"/>
        <w:spacing w:before="0" w:after="2"/>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Total Orders</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i/>
          <w:color w:val="000000"/>
          <w:sz w:val="22"/>
        </w:rPr>
      </w:pPr>
      <w:r>
        <w:rPr>
          <w:rFonts w:ascii="Times New Roman;sans-serif" w:hAnsi="Times New Roman;sans-serif"/>
          <w:b w:val="false"/>
          <w:i/>
          <w:color w:val="000000"/>
          <w:sz w:val="22"/>
        </w:rPr>
        <w:t>Average Order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bidi w:val="0"/>
        <w:spacing w:lineRule="auto" w:line="288" w:before="16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Adjusted EBITDA and Adjusted EBITDA Margin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and Adjusted EBITDA margin, which are non-GAAP financial measures, are included in this Quarterly Report on Form 10-Q because they are used by management and our board of directors to assess our financial performance. We define Adjusted EBITDA as net income excluding interest expense, income taxes, depreciation expense, amortization of cloud-based software implementation costs, equity-based compensation expense, showroom pre-opening expense, loss on extinguishment of debt,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pStyle w:val="TextBody"/>
        <w:bidi w:val="0"/>
        <w:spacing w:before="96"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reconciliation of net income and net income margin, the most comparable GAAP financial measures, to Adjusted EBITDA and Adjusted EBITDA margin, respectively, for the periods presented (amounts in thousands):</w:t>
      </w:r>
    </w:p>
    <w:tbl>
      <w:tblPr>
        <w:tblW w:w="10205" w:type="dxa"/>
        <w:jc w:val="left"/>
        <w:tblInd w:w="0" w:type="dxa"/>
        <w:tblLayout w:type="fixed"/>
        <w:tblCellMar>
          <w:top w:w="28" w:type="dxa"/>
          <w:left w:w="28" w:type="dxa"/>
          <w:bottom w:w="28" w:type="dxa"/>
          <w:right w:w="28" w:type="dxa"/>
        </w:tblCellMar>
      </w:tblPr>
      <w:tblGrid>
        <w:gridCol w:w="1539"/>
        <w:gridCol w:w="1211"/>
        <w:gridCol w:w="1209"/>
        <w:gridCol w:w="211"/>
        <w:gridCol w:w="631"/>
        <w:gridCol w:w="301"/>
        <w:gridCol w:w="109"/>
        <w:gridCol w:w="109"/>
        <w:gridCol w:w="109"/>
        <w:gridCol w:w="211"/>
        <w:gridCol w:w="631"/>
        <w:gridCol w:w="301"/>
        <w:gridCol w:w="109"/>
        <w:gridCol w:w="109"/>
        <w:gridCol w:w="109"/>
        <w:gridCol w:w="211"/>
        <w:gridCol w:w="736"/>
        <w:gridCol w:w="301"/>
        <w:gridCol w:w="109"/>
        <w:gridCol w:w="109"/>
        <w:gridCol w:w="109"/>
        <w:gridCol w:w="211"/>
        <w:gridCol w:w="736"/>
        <w:gridCol w:w="301"/>
        <w:gridCol w:w="109"/>
        <w:gridCol w:w="109"/>
        <w:gridCol w:w="109"/>
        <w:gridCol w:w="156"/>
      </w:tblGrid>
      <w:tr>
        <w:trPr/>
        <w:tc>
          <w:tcPr>
            <w:tcW w:w="153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1,235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3,751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795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7,120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cloud-based software implementation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Showroom pre-opening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Transaction costs and other expense </w:t>
            </w:r>
            <w:r>
              <w:rPr>
                <w:rFonts w:ascii="Times New Roman;sans-serif" w:hAnsi="Times New Roman;sans-serif"/>
                <w:b w:val="false"/>
                <w:color w:val="000000"/>
                <w:sz w:val="13"/>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7,737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9,623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13,284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17,997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margin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0.4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6.4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Other (income) expense, net consists primarily of interest and other miscellaneous income, partially offset by expenses such as losses on exchange rates on consumer payments.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     These expenses are those that we did not incur in the normal course of business. These expenses for both the three and six month period ended June 30, 2023 includes a $1 million charitable contribution.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Our primary requirements for liquidity and capital are for purchases of inventory, payment of operating expenses, tax distributions to LLC members, debt service,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June 30, 2023, we had a cash balance, excluding restricted cash, of $149.6 million, and working capital, excluding non-restricted cash, of ($23.6) million.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we have the SVB Term Loan Facility with a principal balance of $61.8 million, excluding unamortized debt issuance costs of $0.6 million, of which $58.5 million is classified as long-term.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six months ended June 30, 2023, the Company declared and paid $5.1 million of distributions to, or on behalf of, members associated with their estimated income tax obligations. We are committed to continue to make quarterly distributions in connection with member estimated income tax obligations which we expect to fund with cash flow from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believe, based on our current projections, that we have sufficient sources of liquidity to meet our projected operating, debt service, and tax distribution requirements for at least the next 12 months following the filing of this Quarterly Report on Form 10-Q. </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 future liquidity needs may include public company costs,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 </w:t>
      </w:r>
    </w:p>
    <w:p>
      <w:pPr>
        <w:pStyle w:val="TextBody"/>
        <w:bidi w:val="0"/>
        <w:spacing w:before="0" w:after="2"/>
        <w:jc w:val="left"/>
        <w:rPr/>
      </w:pPr>
      <w:r>
        <w:rPr/>
      </w:r>
    </w:p>
    <w:p>
      <w:pPr>
        <w:pStyle w:val="TextBody"/>
        <w:bidi w:val="0"/>
        <w:spacing w:lineRule="auto" w:line="288" w:before="0" w:after="2"/>
        <w:jc w:val="left"/>
        <w:rPr>
          <w:rFonts w:ascii="Times New Roman;sans-serif" w:hAnsi="Times New Roman;sans-serif"/>
          <w:b/>
          <w:i/>
          <w:color w:val="000000"/>
          <w:sz w:val="22"/>
        </w:rPr>
      </w:pPr>
      <w:r>
        <w:rPr>
          <w:rFonts w:ascii="Times New Roman;sans-serif" w:hAnsi="Times New Roman;sans-serif"/>
          <w:b/>
          <w:i/>
          <w:color w:val="000000"/>
          <w:sz w:val="22"/>
        </w:rPr>
        <w:t xml:space="preserve">Cash Flow Analysis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our cash flows for the six months ended June 30, 2023 and 2022 (in thousands):</w:t>
      </w:r>
    </w:p>
    <w:p>
      <w:pPr>
        <w:pStyle w:val="TextBody"/>
        <w:bidi w:val="0"/>
        <w:spacing w:before="0" w:after="0"/>
        <w:jc w:val="left"/>
        <w:rPr/>
      </w:pPr>
      <w:r>
        <w:rPr/>
      </w:r>
    </w:p>
    <w:tbl>
      <w:tblPr>
        <w:tblW w:w="8063" w:type="dxa"/>
        <w:jc w:val="left"/>
        <w:tblInd w:w="0" w:type="dxa"/>
        <w:tblLayout w:type="fixed"/>
        <w:tblCellMar>
          <w:top w:w="28" w:type="dxa"/>
          <w:left w:w="28" w:type="dxa"/>
          <w:bottom w:w="28" w:type="dxa"/>
          <w:right w:w="28" w:type="dxa"/>
        </w:tblCellMar>
      </w:tblPr>
      <w:tblGrid>
        <w:gridCol w:w="1943"/>
        <w:gridCol w:w="1710"/>
        <w:gridCol w:w="1716"/>
        <w:gridCol w:w="211"/>
        <w:gridCol w:w="841"/>
        <w:gridCol w:w="109"/>
        <w:gridCol w:w="109"/>
        <w:gridCol w:w="109"/>
        <w:gridCol w:w="109"/>
        <w:gridCol w:w="211"/>
        <w:gridCol w:w="841"/>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(17,332)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149,812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155,738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Provided by Operating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six months ended June 30, 2023, net cash provided by operating activities was $10.9 million compared to net cash provided by operating activities of $4.9 million for the six months ended June 30, 2022, an increase of $6.0 million. This increase was primarily driven by an increase of $1.9 million in non-cash expense addbacks, and $10.4 million from changes in assets and liabilities related to operating activities, partially offset by a decrease in net income of $6.3 million. The increase in non-cash expenses addbacks was primarily due to a $2.1 million increase in depreciation and non-cash operating lease costs and a $0.6 million increase in equity-based compensation, partially offset by a $0.9 million decrease in loss on extinguishment of debt and amortization of debt issuance costs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repayment of the Runway Term Loan and issuance of the SVB Term Loan Facility. The increase from change in assets and liabilities related to operating activities was primarily due to an increase of $15.3 million in inventories, prepaid expenses and other current assets, other assets, and deferred revenue, offset by $4.9 million decrease in accounts payable, accrued expenses and other current liabilities and operating lease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Investing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six months ended June 30, 2023, net cash used in investing activities was $9.2 million compared to $4.1 million for the six months ended June 30, 2022. The increase of $5.1 million was principally due to an increase in purchases of property and equipment related to new facilities leased during the period.</w:t>
      </w:r>
    </w:p>
    <w:p>
      <w:pPr>
        <w:pStyle w:val="TextBody"/>
        <w:bidi w:val="0"/>
        <w:spacing w:before="0" w:after="2"/>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Net Cash Used In Financing Activities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six months ended June 30, 2023, net cash used in financing activities was $6.8 million compared to $18.1 million for the six months ended June 30, 2022. The decrease of $11.4 million was primarily due to lower tax distributions paid to members pursuant to the LLC Agreement of $9.8 million and the debt activity that occurred in 2022 but did not occur in 2023 (the repayment of the Runway Term Loan and issuance of the SVB Term Loan Facility) resulting in a net decrease of $3.2 million, partially offset by $1.6 million paid on the SVB Term Loan Facility.</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Silicon Valley Bank Credit Facilities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May 24, 2022, Brilliant Earth, LLC, as borrower, and Silicon Valley Bank ("SVB"), as administrative agent and collateral agent for the lenders, entered into a SVB Credit Agreement, which provides for a secured SVB Term Loan Facility of $65.0 million and a secured SVB Revolving Credit Facility in an amount of up to $40.0 million. See Note 7. "Debt" to our unaudited condensed consolidated financial statements included elsewhere in this Quarterly Report on Form 10-Q. As of June 30, 2023, there were no amounts outstanding under the SVB Revolving Credit Facility.</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On March 10, 2023, SVB was closed by the California Department of Financial Protection and Innovation, and the Federal Deposit Insurance Corporation ("FDIC") was appointed as receiver. On March 14, 2023, the FDIC announced the establishment of Silicon Valley Bridge Bank, N.A., which assumed the deposits and obligations of SVB. On March 26, 2023, the FDIC announced that it had entered into a purchase and assumption agreement with First-Citizens Bank &amp; Trust Company, Raleigh, North Carolina ("First Citizens") under which all deposits and loans of SVB were assumed by First Citizens.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Additional Liquidity Requirements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a holding company and have no material assets other than our ownership of LLC Interests. We have no independent means of generating revenue. The Brilliant Earth LLC Agreement in effect since the time of the IPO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In addition, under the TRA, we are required to make cash payments to the Continuing Equity Owners equal to </w:t>
      </w:r>
      <w:r>
        <w:rPr>
          <w:rFonts w:ascii="Times New Roman;sans-serif" w:hAnsi="Times New Roman;sans-serif"/>
          <w:b w:val="false"/>
          <w:color w:val="000000"/>
          <w:sz w:val="22"/>
          <w:shd w:fill="FFFFFF" w:val="clear"/>
        </w:rPr>
        <w:t>85%</w:t>
      </w:r>
      <w:r>
        <w:rPr>
          <w:color w:val="000000"/>
        </w:rPr>
        <w:t xml:space="preserve"> </w:t>
      </w:r>
      <w:r>
        <w:rPr>
          <w:rFonts w:ascii="Times New Roman;sans-serif" w:hAnsi="Times New Roman;sans-serif"/>
          <w:b w:val="false"/>
          <w:color w:val="000000"/>
          <w:sz w:val="22"/>
        </w:rPr>
        <w:t>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to the Company's critical accounting policies and estimates from those described under "Critical Accounting Policies and Estimates" in the Management's Discussion and Analysis of Financial Condition and Results of Operations of our 2022 Form 10-K.</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2"/>
        </w:rPr>
      </w:pPr>
      <w:r>
        <w:rPr>
          <w:rFonts w:ascii="Times New Roman;sans-serif" w:hAnsi="Times New Roman;sans-serif"/>
          <w:b/>
          <w:i/>
          <w:color w:val="000000"/>
          <w:sz w:val="22"/>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For information regarding recent accounting pronouncements, see Note 1</w:t>
      </w:r>
      <w:r>
        <w:rPr>
          <w:color w:val="000000"/>
        </w:rPr>
        <w:t xml:space="preserve"> </w:t>
      </w:r>
      <w:r>
        <w:rPr>
          <w:rFonts w:ascii="Times New Roman;sans-serif" w:hAnsi="Times New Roman;sans-serif"/>
          <w:b w:val="false"/>
          <w:color w:val="000000"/>
          <w:sz w:val="22"/>
        </w:rPr>
        <w:t>to our unaudited condensed consolidated financial statements and related notes thereto included elsewhere in this Quarterly Report on Form 10-Q.</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2"/>
        <w:jc w:val="left"/>
        <w:rPr>
          <w:rFonts w:ascii="Times New Roman;sans-serif" w:hAnsi="Times New Roman;sans-serif"/>
          <w:b/>
          <w:color w:val="000000"/>
          <w:sz w:val="22"/>
        </w:rPr>
      </w:pPr>
      <w:r>
        <w:rPr>
          <w:rFonts w:ascii="Times New Roman;sans-serif" w:hAnsi="Times New Roman;sans-serif"/>
          <w:b/>
          <w:color w:val="000000"/>
          <w:sz w:val="22"/>
        </w:rPr>
        <w:t>JOBS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a smaller reporting company as defined by Rule 12b-2 of the Securities Exchange Act of 1934 and are not required to provide the information under this item.</w: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Limitations on effectiveness of control and procedures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relative to their costs. </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Evaluation of disclosure controls and procedures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June 30, 2023, our disclosure controls and procedures were effective at the reasonable assurance level. </w:t>
      </w:r>
    </w:p>
    <w:p>
      <w:pPr>
        <w:pStyle w:val="TextBody"/>
        <w:bidi w:val="0"/>
        <w:spacing w:before="0" w:after="2"/>
        <w:jc w:val="left"/>
        <w:rPr/>
      </w:pPr>
      <w:r>
        <w:rPr/>
      </w:r>
    </w:p>
    <w:p>
      <w:pPr>
        <w:pStyle w:val="TextBody"/>
        <w:bidi w:val="0"/>
        <w:spacing w:lineRule="auto" w:line="300" w:before="0" w:after="2"/>
        <w:jc w:val="both"/>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were no changes in our internal control over financial reporting (as defined in Rules 13a-15(f) and 15d-15(f) under the Exchange Act) during the quarter ended June 30, 2023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left"/>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pStyle w:val="TextBody"/>
        <w:bidi w:val="0"/>
        <w:spacing w:lineRule="auto" w:line="288" w:before="0" w:after="2"/>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At this time, any liability related to the alleged claims is not currently probable or reasonably estimable.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risk factors are described in Part I, Item 1A, "Risk Factors" of our 2022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2022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Use of Proceeds, and Issuer Purchases of Equity Securities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00" w:before="0" w:after="0"/>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329"/>
        <w:gridCol w:w="290"/>
        <w:gridCol w:w="291"/>
        <w:gridCol w:w="1892"/>
        <w:gridCol w:w="1793"/>
        <w:gridCol w:w="1800"/>
        <w:gridCol w:w="165"/>
        <w:gridCol w:w="165"/>
        <w:gridCol w:w="160"/>
        <w:gridCol w:w="249"/>
        <w:gridCol w:w="249"/>
        <w:gridCol w:w="187"/>
        <w:gridCol w:w="205"/>
        <w:gridCol w:w="205"/>
        <w:gridCol w:w="206"/>
        <w:gridCol w:w="217"/>
        <w:gridCol w:w="217"/>
        <w:gridCol w:w="218"/>
        <w:gridCol w:w="396"/>
        <w:gridCol w:w="396"/>
        <w:gridCol w:w="575"/>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Incorporated by Reference</w:t>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 Furnished Herewith</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Description</w:t>
            </w:r>
          </w:p>
        </w:tc>
        <w:tc>
          <w:tcPr>
            <w:tcW w:w="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 No.</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Filing Date</w:t>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5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ans-serif" w:hAnsi="Times New Roman;sans-serif"/>
                  <w:b w:val="false"/>
                  <w:color w:val="0000FF"/>
                  <w:sz w:val="16"/>
                  <w:u w:val="single"/>
                </w:rPr>
                <w:t>Amended and Restated Certificate of Incorporation of Brilliant Earth Group, Inc.</w:t>
              </w:r>
            </w:hyperlink>
          </w:p>
        </w:tc>
        <w:tc>
          <w:tcPr>
            <w:tcW w:w="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ans-serif" w:hAnsi="Times New Roman;sans-serif"/>
                  <w:b w:val="false"/>
                  <w:color w:val="0000FF"/>
                  <w:sz w:val="16"/>
                  <w:u w:val="single"/>
                </w:rPr>
                <w:t>Amended and Restated Bylaws of Brilliant Earth Group, Inc.</w:t>
              </w:r>
            </w:hyperlink>
          </w:p>
        </w:tc>
        <w:tc>
          <w:tcPr>
            <w:tcW w:w="4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6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ans-serif" w:hAnsi="Times New Roman;sans-serif"/>
                  <w:b w:val="false"/>
                  <w:color w:val="0000FF"/>
                  <w:sz w:val="16"/>
                  <w:u w:val="single"/>
                </w:rPr>
                <w:t>Specimen Stock Certificate evidencing shares of Class A Common Stock</w:t>
              </w:r>
            </w:hyperlink>
          </w:p>
        </w:tc>
        <w:tc>
          <w:tcPr>
            <w:tcW w:w="4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6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1brlt-certifi.htm">
              <w:r>
                <w:rPr>
                  <w:rStyle w:val="InternetLink"/>
                  <w:rFonts w:ascii="Times New Roman;sans-serif" w:hAnsi="Times New Roman;sans-serif"/>
                  <w:b w:val="false"/>
                  <w:color w:val="0000FF"/>
                  <w:sz w:val="16"/>
                  <w:u w:val="single"/>
                </w:rPr>
                <w:t>Certification of Chief Executive Officer pursuant to Rule 13a-14(a)/15d-14(a).</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2brlt-certifi.htm">
              <w:r>
                <w:rPr>
                  <w:rStyle w:val="InternetLink"/>
                  <w:rFonts w:ascii="Times New Roman;sans-serif" w:hAnsi="Times New Roman;sans-serif"/>
                  <w:b w:val="false"/>
                  <w:color w:val="0000FF"/>
                  <w:sz w:val="16"/>
                  <w:u w:val="single"/>
                </w:rPr>
                <w:t>Certification of Chief Financial Officer pursuant to Rule 13a-14(a)/15d-14(a).</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1brlt-certifi.htm">
              <w:r>
                <w:rPr>
                  <w:rStyle w:val="InternetLink"/>
                  <w:rFonts w:ascii="Times New Roman;sans-serif" w:hAnsi="Times New Roman;sans-serif"/>
                  <w:b w:val="false"/>
                  <w:color w:val="0000FF"/>
                  <w:sz w:val="16"/>
                  <w:u w:val="single"/>
                </w:rPr>
                <w:t>Certification of Chief Executive Officer pursuant to 18 U.S.C. Section 1350.</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2brlt-certifi.htm">
              <w:r>
                <w:rPr>
                  <w:rStyle w:val="InternetLink"/>
                  <w:rFonts w:ascii="Times New Roman;sans-serif" w:hAnsi="Times New Roman;sans-serif"/>
                  <w:b w:val="false"/>
                  <w:color w:val="0000FF"/>
                  <w:sz w:val="16"/>
                  <w:u w:val="single"/>
                </w:rPr>
                <w:t>Certification of Chief Financial Officer pursuant to 18 U.S.C. Section 1350.</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00" w:before="0" w:after="2"/>
        <w:jc w:val="left"/>
        <w:rPr/>
      </w:pPr>
      <w:hyperlink w:anchor="i3acef7ad75de4ecf8137c5aa66662c57_7">
        <w:r>
          <w:rPr>
            <w:rStyle w:val="InternetLink"/>
            <w:rFonts w:ascii="Times New Roman;sans-serif" w:hAnsi="Times New Roman;sans-serif"/>
            <w:b w:val="false"/>
            <w:color w:val="0000FF"/>
            <w:sz w:val="22"/>
            <w:u w:val="single"/>
          </w:rPr>
          <w:t>Table of Contents</w:t>
        </w:r>
      </w:hyperlink>
    </w:p>
    <w:p>
      <w:pPr>
        <w:pStyle w:val="TextBody"/>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Act of 1934, the registrant has duly caused this report to be signed on its behalf by the undersigned, thereunto duly authorized.</w:t>
      </w:r>
    </w:p>
    <w:p>
      <w:pPr>
        <w:pStyle w:val="TextBody"/>
        <w:bidi w:val="0"/>
        <w:spacing w:before="0" w:after="2"/>
        <w:jc w:val="left"/>
        <w:rPr/>
      </w:pPr>
      <w:r>
        <w:rPr/>
      </w:r>
    </w:p>
    <w:p>
      <w:pPr>
        <w:pStyle w:val="TextBody"/>
        <w:bidi w:val="0"/>
        <w:spacing w:lineRule="auto" w:line="300" w:before="0" w:after="2"/>
        <w:ind w:left="0" w:right="0" w:firstLine="720"/>
        <w:jc w:val="right"/>
        <w:rPr>
          <w:rFonts w:ascii="Times New Roman;sans-serif" w:hAnsi="Times New Roman;sans-serif"/>
          <w:b w:val="false"/>
          <w:color w:val="000000"/>
          <w:sz w:val="22"/>
        </w:rPr>
      </w:pPr>
      <w:r>
        <w:rPr>
          <w:rFonts w:ascii="Times New Roman;sans-serif" w:hAnsi="Times New Roman;sans-serif"/>
          <w:b w:val="false"/>
          <w:color w:val="000000"/>
          <w:sz w:val="22"/>
        </w:rPr>
        <w:t>Brilliant Earth Group, Inc.</w:t>
      </w:r>
    </w:p>
    <w:p>
      <w:pPr>
        <w:pStyle w:val="TextBody"/>
        <w:bidi w:val="0"/>
        <w:spacing w:before="0" w:after="2"/>
        <w:ind w:left="0" w:right="0" w:hanging="3510"/>
        <w:jc w:val="left"/>
        <w:rPr/>
      </w:pPr>
      <w:r>
        <w:rPr/>
      </w:r>
    </w:p>
    <w:p>
      <w:pPr>
        <w:pStyle w:val="TextBody"/>
        <w:bidi w:val="0"/>
        <w:spacing w:lineRule="auto" w:line="300" w:before="0" w:after="2"/>
        <w:ind w:left="0" w:right="0" w:hanging="3510"/>
        <w:jc w:val="right"/>
        <w:rPr/>
      </w:pPr>
      <w:r>
        <w:rPr>
          <w:rFonts w:ascii="Times New Roman;sans-serif" w:hAnsi="Times New Roman;sans-serif"/>
          <w:b w:val="false"/>
          <w:color w:val="000000"/>
          <w:sz w:val="22"/>
        </w:rPr>
        <w:t>August 10, 2023            </w:t>
      </w:r>
      <w:r>
        <w:rPr>
          <w:rFonts w:ascii="Times New Roman;sans-serif" w:hAnsi="Times New Roman;sans-serif"/>
          <w:b w:val="false"/>
          <w:color w:val="000000"/>
          <w:sz w:val="22"/>
          <w:u w:val="single"/>
        </w:rPr>
        <w:t>By:/s/ Jeffrey Kuo</w:t>
      </w:r>
    </w:p>
    <w:p>
      <w:pPr>
        <w:pStyle w:val="TextBody"/>
        <w:bidi w:val="0"/>
        <w:spacing w:lineRule="auto" w:line="300" w:before="0" w:after="2"/>
        <w:ind w:left="0" w:right="0" w:hanging="351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Jeffrey Kuo </w:t>
      </w:r>
    </w:p>
    <w:p>
      <w:pPr>
        <w:pStyle w:val="TextBody"/>
        <w:bidi w:val="0"/>
        <w:spacing w:lineRule="auto" w:line="300" w:before="0" w:after="2"/>
        <w:ind w:left="0" w:right="0" w:hanging="3510"/>
        <w:jc w:val="righ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extBody"/>
        <w:bidi w:val="0"/>
        <w:spacing w:lineRule="auto" w:line="300" w:before="0" w:after="2"/>
        <w:ind w:left="0" w:right="0" w:hanging="3510"/>
        <w:jc w:val="righ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(Principal Financial Officer and Principal Accounting Officer) </w:t>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76"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CERTIFICATION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Beth Gerstein,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Date: August 10, 2023                     By: </w:t>
      </w:r>
      <w:r>
        <w:rPr>
          <w:rFonts w:ascii="Times New Roman;sans-serif" w:hAnsi="Times New Roman;sans-serif"/>
          <w:b w:val="false"/>
          <w:color w:val="000000"/>
          <w:sz w:val="22"/>
          <w:u w:val="single"/>
        </w:rPr>
        <w:t>/s/ Beth Gerstein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lineRule="auto" w:line="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 Officer</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Jeffrey Kuo,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Date: August 10, 2023                     By: </w:t>
      </w:r>
      <w:r>
        <w:rPr>
          <w:rFonts w:ascii="Times New Roman;sans-serif" w:hAnsi="Times New Roman;sans-serif"/>
          <w:b w:val="false"/>
          <w:color w:val="000000"/>
          <w:sz w:val="22"/>
          <w:u w:val="single"/>
        </w:rPr>
        <w:t>/s/ Jeffrey Kuo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lineRule="auto" w:line="240"/>
        <w:ind w:left="0" w:right="0" w:firstLine="72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on Form 10-Q of Brilliant Earth Group, Inc. (the “Company”) for the period ended June 30, 2023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Date: August 10, 2023                 By:</w:t>
      </w:r>
      <w:r>
        <w:rPr>
          <w:color w:val="000000"/>
          <w:u w:val="single"/>
        </w:rPr>
        <w:t xml:space="preserve"> </w:t>
      </w:r>
      <w:r>
        <w:rPr>
          <w:rFonts w:ascii="Times New Roman;sans-serif" w:hAnsi="Times New Roman;sans-serif"/>
          <w:b w:val="false"/>
          <w:color w:val="000000"/>
          <w:sz w:val="22"/>
          <w:u w:val="single"/>
        </w:rPr>
        <w:t>/s/ Beth Gerstein_____________</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32.2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on Form 10-Q of Brilliant Earth Group, Inc. (the “Company”) for the period ended June 30, 2023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Date: August 10, 2023                 By:</w:t>
      </w:r>
      <w:r>
        <w:rPr>
          <w:color w:val="000000"/>
          <w:u w:val="single"/>
        </w:rPr>
        <w:t xml:space="preserve"> </w:t>
      </w:r>
      <w:r>
        <w:rPr>
          <w:rFonts w:ascii="Times New Roman;sans-serif" w:hAnsi="Times New Roman;sans-serif"/>
          <w:b w:val="false"/>
          <w:color w:val="000000"/>
          <w:sz w:val="22"/>
          <w:u w:val="single"/>
        </w:rPr>
        <w:t>/s/ Jeffrey Kuo_____________</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Financial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6757/000119312521284281/d61525dex31.htm" TargetMode="External"/><Relationship Id="rId3" Type="http://schemas.openxmlformats.org/officeDocument/2006/relationships/hyperlink" Target="https://www.sec.gov/Archives/edgar/data/0001866757/000119312521284281/d61525dex32.htm" TargetMode="External"/><Relationship Id="rId4" Type="http://schemas.openxmlformats.org/officeDocument/2006/relationships/hyperlink" Target="https://www.sec.gov/Archives/edgar/data/0001866757/000119312521272138/d64351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18611</Words>
  <Characters>101595</Characters>
  <CharactersWithSpaces>119257</CharactersWithSpaces>
  <Paragraphs>2519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