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MAINSAIL GP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Brilliant Earth Group, Inc.</w:t>
              </w:r>
            </w:hyperlink>
            <w:r>
              <w:rPr/>
              <w:t xml:space="preserve"> [ </w:t>
            </w:r>
            <w:r>
              <w:rPr>
                <w:rFonts w:ascii="Times;serif" w:hAnsi="Times;serif"/>
                <w:color w:val="0000FF"/>
                <w:sz w:val="24"/>
                <w:shd w:fill="FFFFFF" w:val="clear"/>
              </w:rPr>
              <w:t>BRLT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4"/>
        <w:gridCol w:w="912"/>
        <w:gridCol w:w="783"/>
        <w:gridCol w:w="661"/>
        <w:gridCol w:w="281"/>
        <w:gridCol w:w="949"/>
        <w:gridCol w:w="416"/>
        <w:gridCol w:w="789"/>
        <w:gridCol w:w="1385"/>
        <w:gridCol w:w="956"/>
        <w:gridCol w:w="11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(1)(2)</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31,848,071</w:t>
            </w:r>
            <w:r>
              <w:rPr>
                <w:rFonts w:ascii="Times;serif" w:hAnsi="Times;serif"/>
                <w:color w:val="008000"/>
                <w:position w:val="7"/>
                <w:sz w:val="16"/>
                <w:sz w:val="20"/>
                <w:shd w:fill="FFFFFF" w:val="clear"/>
              </w:rPr>
              <w:t>(3)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19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9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1.287</w:t>
            </w:r>
            <w:r>
              <w:rPr>
                <w:rFonts w:ascii="Times;serif" w:hAnsi="Times;serif"/>
                <w:color w:val="008000"/>
                <w:position w:val="7"/>
                <w:sz w:val="16"/>
                <w:sz w:val="20"/>
                <w:shd w:fill="FFFFFF" w:val="clear"/>
              </w:rPr>
              <w:t>(5)</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2419" w:type="dxa"/>
        <w:jc w:val="left"/>
        <w:tblInd w:w="-7" w:type="dxa"/>
        <w:tblLayout w:type="fixed"/>
        <w:tblCellMar>
          <w:top w:w="60" w:type="dxa"/>
          <w:left w:w="60" w:type="dxa"/>
          <w:bottom w:w="60" w:type="dxa"/>
          <w:right w:w="60" w:type="dxa"/>
        </w:tblCellMar>
      </w:tblPr>
      <w:tblGrid>
        <w:gridCol w:w="815"/>
        <w:gridCol w:w="861"/>
        <w:gridCol w:w="891"/>
        <w:gridCol w:w="771"/>
        <w:gridCol w:w="660"/>
        <w:gridCol w:w="231"/>
        <w:gridCol w:w="276"/>
        <w:gridCol w:w="771"/>
        <w:gridCol w:w="906"/>
        <w:gridCol w:w="801"/>
        <w:gridCol w:w="891"/>
        <w:gridCol w:w="801"/>
        <w:gridCol w:w="801"/>
        <w:gridCol w:w="1131"/>
        <w:gridCol w:w="831"/>
        <w:gridCol w:w="981"/>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(1)(2)</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50,000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31,848,071</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MAINSAIL GP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Mainsail Partners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Mainsail Co-Investors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MAINSAIL INCENTIVE PROGRAM,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MAINSAIL MANAGEMENT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common units of Brilliant Earth, LLC (the "LLC Units") and shares of Class B common stock exchanged for shares of Class A common stock including (i) 48,824 LLC Units and shares of Class B common stock exchanged by Mainsail Partners III, L.P. ("MP III"), (ii) 97 LLC Units and shares of Class B common stock exchanged by Mainsail Incentive Program, LLC ("MIP"), and (iii) 1,079 LLC Units and shares of Class B common stock exchanged by Mainsail Co-Investors III, L.P. ("MCOI").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LLC Units (together with one share of Class B common stock for every LLC Unit) are exchangeable for one share of the Issuer's Class A common stock. The reported LLC Units, which were acquired by the reporting persons prior to the Issuer's initial public offering,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31,098,704 shares of Class B common stock (and associated LLC Units) held by MP III, (ii) 61,823 shares of Class B common stock (and associated LLC Units) held by MIP, and (iii) 687,544 shares of Class B common stock (and associated LLC Units) held by MCOI.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Mainsail GP III, LLC ("GP III") is the general partner of MP III. MCOI is a co-investment vehicle that invests alongside MP III. GP III is the general partner of MCOI. A three member investment committee of GP III acts by a majority vote, with Gavin Turner possessing a veto right, with respect to the voting and dispositive power of the securities held by MP III and MCOI. Mainsail Management Company, LLC ("MMC") is the managing member of MIP, and Gavin Turner is the sole Manager of MMC. Mr. Turner has separately reported the transactions and reported securities reflected in this statement. The reporting persons disclaim beneficial ownership of the reported securities except to the extent of their respective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$1.25 to $1.40, inclusive. The reported price reflects the weighted average sale price. The reporting persons hereby undertake to provide upon request to the United States Securities and Exchange Commission staff, the Issuer or a security holder of the Issuer full information regarding the number of shares and prices at which the transaction was affected.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Gavin Turner, Mainsail GP 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Gavin Turner, Mainsail Partners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Gavin Turner, Mainsail Co-Investors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Gavin Turner, Mainsail Incentive Program,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Gavin Turner, Mainsail Management Company,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360" TargetMode="External"/><Relationship Id="rId5" Type="http://schemas.openxmlformats.org/officeDocument/2006/relationships/hyperlink" Target="http://www.sec.gov/cgi-bin/browse-edgar?action=getcompany&amp;CIK=00018667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83360" TargetMode="External"/><Relationship Id="rId9" Type="http://schemas.openxmlformats.org/officeDocument/2006/relationships/hyperlink" Target="http://www.sec.gov/cgi-bin/browse-edgar?action=getcompany&amp;CIK=0001543760" TargetMode="External"/><Relationship Id="rId10" Type="http://schemas.openxmlformats.org/officeDocument/2006/relationships/hyperlink" Target="http://www.sec.gov/cgi-bin/browse-edgar?action=getcompany&amp;CIK=0001570211" TargetMode="External"/><Relationship Id="rId11" Type="http://schemas.openxmlformats.org/officeDocument/2006/relationships/hyperlink" Target="http://www.sec.gov/cgi-bin/browse-edgar?action=getcompany&amp;CIK=0001883293" TargetMode="External"/><Relationship Id="rId12" Type="http://schemas.openxmlformats.org/officeDocument/2006/relationships/hyperlink" Target="http://www.sec.gov/cgi-bin/browse-edgar?action=getcompany&amp;CIK=000188336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1184</Words>
  <Characters>6320</Characters>
  <CharactersWithSpaces>7323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