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f104746ca9724bbaae972662b739fad6_7">
        <w:r>
          <w:rPr>
            <w:rStyle w:val="InternetLink"/>
            <w:rFonts w:ascii="Times New Roman;sans-serif" w:hAnsi="Times New Roman;sans-serif"/>
            <w:b w:val="false"/>
            <w:color w:val="0000FF"/>
            <w:sz w:val="20"/>
            <w:u w:val="single"/>
          </w:rPr>
          <w:t>Table of Contents</w:t>
        </w:r>
      </w:hyperlink>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Commission File Number 001-40836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color w:val="000000"/>
          <w:sz w:val="36"/>
        </w:rPr>
      </w:pPr>
      <w:r>
        <w:rPr>
          <w:rFonts w:ascii="Times New Roman;sans-serif" w:hAnsi="Times New Roman;sans-serif"/>
          <w:b/>
          <w:color w:val="000000"/>
          <w:sz w:val="36"/>
        </w:rPr>
        <w:t>Brilliant Earth Group, Inc.</w:t>
      </w:r>
    </w:p>
    <w:p>
      <w:pPr>
        <w:pStyle w:val="TextBody"/>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8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87-1015499</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300 Grant Avenue, Third Floor</w:t>
            </w:r>
          </w:p>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San Francisco,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94108</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(800) 691-0952</w:t>
      </w:r>
    </w:p>
    <w:p>
      <w:pPr>
        <w:pStyle w:val="TextBody"/>
        <w:bidi w:val="0"/>
        <w:spacing w:lineRule="auto" w:line="21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156" w:type="dxa"/>
        <w:jc w:val="left"/>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970"/>
        <w:gridCol w:w="970"/>
        <w:gridCol w:w="1374"/>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BRLT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The Nasdaq Global Market </w:t>
            </w:r>
          </w:p>
        </w:tc>
      </w:tr>
    </w:tbl>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49"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60"/>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90"/>
        <w:jc w:val="both"/>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60"/>
        <w:ind w:left="0" w:right="0" w:firstLine="405"/>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lineRule="auto" w:line="300" w:before="0" w:after="2"/>
        <w:jc w:val="both"/>
        <w:rPr>
          <w:rFonts w:ascii="Times New Roman;sans-serif" w:hAnsi="Times New Roman;sans-serif"/>
          <w:b w:val="false"/>
          <w:color w:val="000000"/>
          <w:sz w:val="16"/>
        </w:rPr>
      </w:pPr>
      <w:r>
        <w:rPr>
          <w:rFonts w:ascii="Times New Roman;sans-serif" w:hAnsi="Times New Roman;sans-serif"/>
          <w:b w:val="false"/>
          <w:color w:val="000000"/>
          <w:sz w:val="16"/>
        </w:rPr>
        <w:t>As of May 5, 2023, there were 11,623,121 shares of the registrant's Class A common stock, $0.0001 par value per share, outstanding, 35,512,963 shares of the registrant's Class B common stock, $0.0001 par value per share, outstanding, 49,119,976 shares of the registrant's Class C common stock, $0.0001 par value per share, outstanding and no shares of the registrant's Class D common stock,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79095"/>
                <wp:effectExtent l="0" t="0" r="0" b="0"/>
                <wp:wrapNone/>
                <wp:docPr id="1" name="Frame1"/>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
                        <w:jc w:val="center"/>
                        <w:rPr/>
                      </w:pPr>
                      <w:r>
                        <w:rPr/>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2"/>
        <w:jc w:val="center"/>
        <w:rPr/>
      </w:pPr>
      <w:r>
        <w:rPr/>
      </w:r>
    </w:p>
    <w:tbl>
      <w:tblPr>
        <w:tblW w:w="8536" w:type="dxa"/>
        <w:jc w:val="left"/>
        <w:tblInd w:w="0" w:type="dxa"/>
        <w:tblLayout w:type="fixed"/>
        <w:tblCellMar>
          <w:top w:w="28" w:type="dxa"/>
          <w:left w:w="28" w:type="dxa"/>
          <w:bottom w:w="28" w:type="dxa"/>
          <w:right w:w="28" w:type="dxa"/>
        </w:tblCellMar>
      </w:tblPr>
      <w:tblGrid>
        <w:gridCol w:w="2892"/>
        <w:gridCol w:w="2545"/>
        <w:gridCol w:w="2558"/>
        <w:gridCol w:w="158"/>
        <w:gridCol w:w="158"/>
        <w:gridCol w:w="225"/>
      </w:tblGrid>
      <w:tr>
        <w:trPr/>
        <w:tc>
          <w:tcPr>
            <w:tcW w:w="2892"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f104746ca9724bbaae972662b739fad6_16">
              <w:r>
                <w:rPr>
                  <w:rStyle w:val="InternetLink"/>
                  <w:rFonts w:ascii="Times New Roman;sans-serif" w:hAnsi="Times New Roman;sans-serif"/>
                  <w:b w:val="false"/>
                  <w:color w:val="0000FF"/>
                  <w:sz w:val="20"/>
                  <w:u w:val="single"/>
                </w:rPr>
                <w:t>Part I - 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f104746ca9724bbaae972662b739fad6_19">
              <w:r>
                <w:rPr>
                  <w:rStyle w:val="InternetLink"/>
                  <w:rFonts w:ascii="Times New Roman;sans-serif" w:hAnsi="Times New Roman;sans-serif"/>
                  <w:b w:val="false"/>
                  <w:color w:val="0000FF"/>
                  <w:sz w:val="20"/>
                  <w:u w:val="single"/>
                </w:rPr>
                <w:t>Item 1.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f104746ca9724bbaae972662b739fad6_19">
              <w:r>
                <w:rPr>
                  <w:rStyle w:val="InternetLink"/>
                  <w:rFonts w:ascii="Times New Roman;sans-serif" w:hAnsi="Times New Roman;sans-serif"/>
                  <w:b w:val="false"/>
                  <w:color w:val="0000FF"/>
                  <w:sz w:val="20"/>
                  <w:u w:val="single"/>
                </w:rPr>
                <w:t>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f104746ca9724bbaae972662b739fad6_73">
              <w:r>
                <w:rPr>
                  <w:rStyle w:val="InternetLink"/>
                  <w:rFonts w:ascii="Times New Roman;sans-serif" w:hAnsi="Times New Roman;sans-serif"/>
                  <w:b w:val="false"/>
                  <w:color w:val="000080"/>
                  <w:sz w:val="20"/>
                  <w:u w:val="single"/>
                </w:rPr>
                <w:t>Item 2. Management</w:t>
              </w:r>
            </w:hyperlink>
            <w:hyperlink w:anchor="if104746ca9724bbaae972662b739fad6_73">
              <w:r>
                <w:rPr>
                  <w:rStyle w:val="InternetLink"/>
                  <w:rFonts w:ascii="Times New Roman;sans-serif" w:hAnsi="Times New Roman;sans-serif"/>
                  <w:b w:val="false"/>
                  <w:color w:val="000080"/>
                  <w:sz w:val="20"/>
                  <w:u w:val="single"/>
                </w:rPr>
                <w:t>'</w:t>
              </w:r>
            </w:hyperlink>
            <w:hyperlink w:anchor="if104746ca9724bbaae972662b739fad6_73">
              <w:r>
                <w:rPr>
                  <w:rStyle w:val="InternetLink"/>
                  <w:rFonts w:ascii="Times New Roman;sans-serif" w:hAnsi="Times New Roman;sans-serif"/>
                  <w:b w:val="false"/>
                  <w:color w:val="000080"/>
                  <w:sz w:val="20"/>
                  <w:u w:val="single"/>
                </w:rPr>
                <w: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f104746ca9724bbaae972662b739fad6_73">
              <w:r>
                <w:rPr>
                  <w:rStyle w:val="InternetLink"/>
                  <w:rFonts w:ascii="Times New Roman;sans-serif" w:hAnsi="Times New Roman;sans-serif"/>
                  <w:b w:val="false"/>
                  <w:color w:val="0000FF"/>
                  <w:sz w:val="20"/>
                  <w:u w:val="single"/>
                </w:rPr>
                <w:t>24</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f104746ca9724bbaae972662b739fad6_112">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f104746ca9724bbaae972662b739fad6_112">
              <w:r>
                <w:rPr>
                  <w:rStyle w:val="InternetLink"/>
                  <w:rFonts w:ascii="Times New Roman;sans-serif" w:hAnsi="Times New Roman;sans-serif"/>
                  <w:b w:val="false"/>
                  <w:color w:val="0000FF"/>
                  <w:sz w:val="20"/>
                  <w:u w:val="single"/>
                </w:rPr>
                <w:t>37</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f104746ca9724bbaae972662b739fad6_115">
              <w:r>
                <w:rPr>
                  <w:rStyle w:val="InternetLink"/>
                  <w:rFonts w:ascii="Times New Roman;sans-serif" w:hAnsi="Times New Roman;sans-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f104746ca9724bbaae972662b739fad6_115">
              <w:r>
                <w:rPr>
                  <w:rStyle w:val="InternetLink"/>
                  <w:rFonts w:ascii="Times New Roman;sans-serif" w:hAnsi="Times New Roman;sans-serif"/>
                  <w:b w:val="false"/>
                  <w:color w:val="0000FF"/>
                  <w:sz w:val="20"/>
                  <w:u w:val="single"/>
                </w:rPr>
                <w:t>37</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f104746ca9724bbaae972662b739fad6_118">
              <w:r>
                <w:rPr>
                  <w:rStyle w:val="InternetLink"/>
                  <w:rFonts w:ascii="Times New Roman;sans-serif" w:hAnsi="Times New Roman;sans-serif"/>
                  <w:b w:val="false"/>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f104746ca9724bbaae972662b739fad6_121">
              <w:r>
                <w:rPr>
                  <w:rStyle w:val="InternetLink"/>
                  <w:rFonts w:ascii="Times New Roman;sans-serif" w:hAnsi="Times New Roman;sans-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f104746ca9724bbaae972662b739fad6_121">
              <w:r>
                <w:rPr>
                  <w:rStyle w:val="InternetLink"/>
                  <w:rFonts w:ascii="Times New Roman;sans-serif" w:hAnsi="Times New Roman;sans-serif"/>
                  <w:b w:val="false"/>
                  <w:color w:val="0000FF"/>
                  <w:sz w:val="20"/>
                  <w:u w:val="single"/>
                </w:rPr>
                <w:t>38</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f104746ca9724bbaae972662b739fad6_124">
              <w:r>
                <w:rPr>
                  <w:rStyle w:val="InternetLink"/>
                  <w:rFonts w:ascii="Times New Roman;sans-serif" w:hAnsi="Times New Roman;sans-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f104746ca9724bbaae972662b739fad6_124">
              <w:r>
                <w:rPr>
                  <w:rStyle w:val="InternetLink"/>
                  <w:rFonts w:ascii="Times New Roman;sans-serif" w:hAnsi="Times New Roman;sans-serif"/>
                  <w:b w:val="false"/>
                  <w:color w:val="0000FF"/>
                  <w:sz w:val="20"/>
                  <w:u w:val="single"/>
                </w:rPr>
                <w:t>38</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f104746ca9724bbaae972662b739fad6_127">
              <w:r>
                <w:rPr>
                  <w:rStyle w:val="InternetLink"/>
                  <w:rFonts w:ascii="Times New Roman;sans-serif" w:hAnsi="Times New Roman;sans-serif"/>
                  <w:b w:val="false"/>
                  <w:color w:val="0000FF"/>
                  <w:sz w:val="20"/>
                  <w:u w:val="single"/>
                </w:rPr>
                <w:t>Item 2.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f104746ca9724bbaae972662b739fad6_127">
              <w:r>
                <w:rPr>
                  <w:rStyle w:val="InternetLink"/>
                  <w:rFonts w:ascii="Times New Roman;sans-serif" w:hAnsi="Times New Roman;sans-serif"/>
                  <w:b w:val="false"/>
                  <w:color w:val="0000FF"/>
                  <w:sz w:val="20"/>
                  <w:u w:val="single"/>
                </w:rPr>
                <w:t>38</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f104746ca9724bbaae972662b739fad6_130">
              <w:r>
                <w:rPr>
                  <w:rStyle w:val="InternetLink"/>
                  <w:rFonts w:ascii="Times New Roman;sans-serif" w:hAnsi="Times New Roman;sans-serif"/>
                  <w:b w:val="false"/>
                  <w:color w:val="0000FF"/>
                  <w:sz w:val="20"/>
                  <w:u w:val="single"/>
                </w:rPr>
                <w:t>Item 3.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f104746ca9724bbaae972662b739fad6_130">
              <w:r>
                <w:rPr>
                  <w:rStyle w:val="InternetLink"/>
                  <w:rFonts w:ascii="Times New Roman;sans-serif" w:hAnsi="Times New Roman;sans-serif"/>
                  <w:b w:val="false"/>
                  <w:color w:val="0000FF"/>
                  <w:sz w:val="20"/>
                  <w:u w:val="single"/>
                </w:rPr>
                <w:t>38</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f104746ca9724bbaae972662b739fad6_133">
              <w:r>
                <w:rPr>
                  <w:rStyle w:val="InternetLink"/>
                  <w:rFonts w:ascii="Times New Roman;sans-serif" w:hAnsi="Times New Roman;sans-serif"/>
                  <w:b w:val="false"/>
                  <w:color w:val="0000FF"/>
                  <w:sz w:val="20"/>
                  <w:u w:val="single"/>
                </w:rPr>
                <w:t>Item 4.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f104746ca9724bbaae972662b739fad6_133">
              <w:r>
                <w:rPr>
                  <w:rStyle w:val="InternetLink"/>
                  <w:rFonts w:ascii="Times New Roman;sans-serif" w:hAnsi="Times New Roman;sans-serif"/>
                  <w:b w:val="false"/>
                  <w:color w:val="0000FF"/>
                  <w:sz w:val="20"/>
                  <w:u w:val="single"/>
                </w:rPr>
                <w:t>38</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f104746ca9724bbaae972662b739fad6_136">
              <w:r>
                <w:rPr>
                  <w:rStyle w:val="InternetLink"/>
                  <w:rFonts w:ascii="Times New Roman;sans-serif" w:hAnsi="Times New Roman;sans-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f104746ca9724bbaae972662b739fad6_136">
              <w:r>
                <w:rPr>
                  <w:rStyle w:val="InternetLink"/>
                  <w:rFonts w:ascii="Times New Roman;sans-serif" w:hAnsi="Times New Roman;sans-serif"/>
                  <w:b w:val="false"/>
                  <w:color w:val="0000FF"/>
                  <w:sz w:val="20"/>
                  <w:u w:val="single"/>
                </w:rPr>
                <w:t>39</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f104746ca9724bbaae972662b739fad6_139">
              <w:r>
                <w:rPr>
                  <w:rStyle w:val="InternetLink"/>
                  <w:rFonts w:ascii="Times New Roman;sans-serif" w:hAnsi="Times New Roman;sans-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f104746ca9724bbaae972662b739fad6_139">
              <w:r>
                <w:rPr>
                  <w:rStyle w:val="InternetLink"/>
                  <w:rFonts w:ascii="Times New Roman;sans-serif" w:hAnsi="Times New Roman;sans-serif"/>
                  <w:b w:val="false"/>
                  <w:color w:val="0000FF"/>
                  <w:sz w:val="20"/>
                  <w:u w:val="single"/>
                </w:rPr>
                <w:t>40</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f104746ca9724bbaae972662b739fad6_142">
              <w:r>
                <w:rPr>
                  <w:rStyle w:val="InternetLink"/>
                  <w:rFonts w:ascii="Times New Roman;sans-serif" w:hAnsi="Times New Roman;sans-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f104746ca9724bbaae972662b739fad6_142">
              <w:r>
                <w:rPr>
                  <w:rStyle w:val="InternetLink"/>
                  <w:rFonts w:ascii="Times New Roman;sans-serif" w:hAnsi="Times New Roman;sans-serif"/>
                  <w:b w:val="false"/>
                  <w:color w:val="0000FF"/>
                  <w:sz w:val="20"/>
                  <w:u w:val="singl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79095"/>
                <wp:effectExtent l="0" t="0" r="0" b="0"/>
                <wp:wrapNone/>
                <wp:docPr id="2" name="Frame2"/>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
                        <w:jc w:val="center"/>
                        <w:rPr/>
                      </w:pPr>
                      <w:r>
                        <w:rPr/>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plans and objectives of management for future operations, including, among others, statements regarding expected growth, future capital expenditures, and debt service obligations, are forward-looking statements. In some cases, you can identify forward-looking statements by terms, such as "</w:t>
      </w:r>
      <w:r>
        <w:rPr>
          <w:rFonts w:ascii="Times New Roman;sans-serif" w:hAnsi="Times New Roman;sans-serif"/>
          <w:b w:val="false"/>
          <w:color w:val="000000"/>
          <w:sz w:val="20"/>
        </w:rPr>
        <w:t xml:space="preserve">anticipate," "believe," "contemplate," "continue," "could," "estimate," "evolve," "expect," "intend," "may," "plan," "potential," "predict," "seek," "should," "strategy," "target," "will," or "would," or the negative of these terms or other similar expressions. </w:t>
      </w:r>
      <w:r>
        <w:rPr>
          <w:rFonts w:ascii="Times New Roman;sans-serif" w:hAnsi="Times New Roman;sans-serif"/>
          <w:b w:val="false"/>
          <w:color w:val="000000"/>
          <w:sz w:val="20"/>
          <w:shd w:fill="FFFFFF" w:val="clear"/>
        </w:rPr>
        <w:t>Accordingly, we caution you that any such forward-looking statements are not guarantees of future performance and are subject to risks, assumptions, and uncertainties that are difficult to predict.</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but not limited to risks related to: our rapid growth in recent years and limited operating experience; our ability to manage growth effectively; risks related to increases in costs of diamonds, other gemstones and precious metals; lead times, and supply shortages and supply changes; our ability to maintain a low cost of production and distribution; fluctuations in the pricing and supply of diamonds, other gemstones, and precious metals, particularly responsibly sourced natural and lab-grown diamonds and recycled precious metals such as gold, increases in labor costs for manufacturing such as wage rate increases, as well as inflation, and energy prices; our ability to cost-effectively turn existing customers into repeat customers or to acquire new customers; our expansion plans in the U.S.; risks related to an overall decline in the health of the economy and other factors impacting consumer spending, such as recessionary conditions, governmental instability, war or the threat of war, and natural disasters; our history of losses, and our ability to sustain profitability; our ability to compete in the fine jewelry retail industry; our ability to manage our inventory balances and inventory shrinkage; a decline in sales of Create Your Own rings; our ability to maintain and enhance our brand; the effectiveness of our marketing efforts; the impact of environmental, social, and governance matters on our business and reputation; our e-commerce and omnichannel business; our ability to effectively anticipate and respond to changes in consumer preferences and shopping patterns; our ability to predict future performance due to quarterly and annual fluctuations of our results of operations and operating cash flow; our dependence on distributions from Brilliant Earth, LLC to pay our taxes and expenses; risks related to our obligations under the Tax Receivable Agreement (as defined below) and our organizational structure; and the other risks, uncertainties and the factors described in Part I, Item 1A, "Risk Factors" in our Annual Report on Form 10-K for the fiscal year ended December 31, 2022 (the "2022 Form 10-K") filed with the Securities and Exchange Commission (the "</w:t>
      </w:r>
      <w:r>
        <w:rPr>
          <w:rFonts w:ascii="Times New Roman;sans-serif" w:hAnsi="Times New Roman;sans-serif"/>
          <w:b w:val="false"/>
          <w:color w:val="000000"/>
          <w:sz w:val="20"/>
        </w:rPr>
        <w:t>SEC") on March 21, 2023</w:t>
      </w:r>
      <w:r>
        <w:rPr>
          <w:rFonts w:ascii="Times New Roman;sans-serif" w:hAnsi="Times New Roman;sans-serif"/>
          <w:b w:val="false"/>
          <w:color w:val="000000"/>
          <w:sz w:val="20"/>
          <w:shd w:fill="FFFFFF" w:val="clear"/>
        </w:rPr>
        <w:t xml:space="preserve">. Other sections of this Quarterly Report on Form 10-Q include additional factors that could adversely impact our business and financial performance.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You should not rely upon forward-looking statements as predictions of future events. This Quarterly Report on Form 10-Q and the documents that we have filed as exhibits should be read with the understanding that our 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future results, levels of activity, performance and achievements may be materially different from what we expect. We qualify all of our forward-looking statements by these cautionary statements. These forward looking statements speak only as of the date of this Quarterly Report on Form 10-Q. Except as required by applicable law, we undertake no obligation to update or revise any forward-looking statements contained in this Quarterly Report on Form 10-Q, whether as a result of any new information, future events or otherwise.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
        <w:jc w:val="center"/>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2"/>
        <w:jc w:val="center"/>
        <w:rPr/>
      </w:pPr>
      <w:r>
        <w:rPr/>
      </w:r>
    </w:p>
    <w:p>
      <w:pPr>
        <w:pStyle w:val="TextBody"/>
        <w:bidi w:val="0"/>
        <w:spacing w:lineRule="auto" w:line="288"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As used in this Quarterly Report on Form 10-Q, unless the context otherwise requires, references to:</w:t>
      </w:r>
    </w:p>
    <w:p>
      <w:pPr>
        <w:pStyle w:val="TextBody"/>
        <w:bidi w:val="0"/>
        <w:spacing w:before="0" w:after="2"/>
        <w:jc w:val="center"/>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"us," "our," the "Company," "Brilliant Earth," and similar references refer to Brilliant Earth Group, Inc., and, unless otherwise stated, all of its subsidiaries, including Brilliant Earth, LLC.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"Brilliant Earth LLC Agreement" refers to Brilliant Earth, LLC's amended and restated limited liability company agreement, which became effective prior to the consummation of the IPO.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"Continuing Equity Owners" refers collectively to holders of LLC Interests (as defined below) and our Class B common stock and Class C common stock immediately following consummation of the Reorganization Transactions,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"Founders" refers to Beth Gerstein, our Co-Founder and Chief Executive Officer, Eric Grossberg, our Co-Founder and Executive Chairman, and Just Rocks, Inc., a Delaware corporation, which is jointly owned and controlled by our Founders.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"LLC Interests" or "LLC Units" refers to the common units of Brilliant Earth, LLC, including those that we purchased with the net proceeds from the IPO.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"Mainsail" refers to Mainsail Partners III, L.P., our sponsor and a Delaware limited partnership, and certain funds affiliated with Mainsail Partners III, L.P., including Mainsail Incentive Program, LLC, and Mainsail Co-Investors III, L.P.</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"Reorganization Transactions" refers to the organizational transactions and the IPO, and the application of the net proceeds therefrom.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pPr>
      <w:hyperlink w:anchor="if104746ca9724bbaae972662b739fad6_7">
        <w:r>
          <w:rPr>
            <w:rStyle w:val="InternetLink"/>
            <w:rFonts w:ascii="Times New Roman;sans-serif" w:hAnsi="Times New Roman;sans-serif"/>
            <w:b/>
            <w:color w:val="000000"/>
            <w:sz w:val="20"/>
            <w:u w:val="single"/>
          </w:rPr>
          <w:t>Part I - Financial Information</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center"/>
        <w:rPr/>
      </w:pPr>
      <w:r>
        <w:rPr/>
      </w:r>
    </w:p>
    <w:p>
      <w:pPr>
        <w:pStyle w:val="TextBody"/>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Brilliant Earth Group, Inc.</w:t>
      </w:r>
    </w:p>
    <w:p>
      <w:pPr>
        <w:pStyle w:val="TextBody"/>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UNAUDITED CONDENSED CONSOLIDATED BALANCE SHEETS</w:t>
      </w:r>
    </w:p>
    <w:p>
      <w:pPr>
        <w:pStyle w:val="TextBody"/>
        <w:bidi w:val="0"/>
        <w:spacing w:lineRule="auto" w:line="276" w:before="0" w:after="1"/>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41"/>
        <w:gridCol w:w="2389"/>
        <w:gridCol w:w="2383"/>
        <w:gridCol w:w="196"/>
        <w:gridCol w:w="736"/>
        <w:gridCol w:w="109"/>
        <w:gridCol w:w="109"/>
        <w:gridCol w:w="109"/>
        <w:gridCol w:w="109"/>
        <w:gridCol w:w="201"/>
        <w:gridCol w:w="755"/>
        <w:gridCol w:w="111"/>
        <w:gridCol w:w="157"/>
      </w:tblGrid>
      <w:tr>
        <w:trPr/>
        <w:tc>
          <w:tcPr>
            <w:tcW w:w="2841"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assets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262,574 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current liabilities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74,493 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pursuant to the Tax Receivable Agreement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169,433 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10)</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10,000,000 shares authorized; none issued and outstanding at March 31, 2023 and December 31, 2022,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1,200,000,000 shares authorized; 11,571,521 and 11,246,694 shares issued and outstanding at March 31,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$0.0001 par value, 150,000,000 shares authorized; 35,526,085 and 35,482,534 shares issued and outstanding at March 31, 2023 and December 31, 2022,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C common stock, $0.0001 par value, 150,000,000 shares authorized; 49,119,976 and 49,119,976 shares issued and outstanding at March 31,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D common stock, $0.0001 par value, 150,000,000 shares authorized; none issued and outstanding at March 31, 2023 and December 31, 2022,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attributable to Brilliant Earth Group, Inc.</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NCI attributable to Brilliant Earth, LLC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93,141 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262,574 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00" w:before="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bl>
      <w:tblPr>
        <w:tblW w:w="7073" w:type="dxa"/>
        <w:jc w:val="left"/>
        <w:tblInd w:w="0" w:type="dxa"/>
        <w:tblLayout w:type="fixed"/>
        <w:tblCellMar>
          <w:top w:w="28" w:type="dxa"/>
          <w:left w:w="28" w:type="dxa"/>
          <w:bottom w:w="28" w:type="dxa"/>
          <w:right w:w="28" w:type="dxa"/>
        </w:tblCellMar>
      </w:tblPr>
      <w:tblGrid>
        <w:gridCol w:w="1487"/>
        <w:gridCol w:w="1312"/>
        <w:gridCol w:w="1326"/>
        <w:gridCol w:w="223"/>
        <w:gridCol w:w="738"/>
        <w:gridCol w:w="109"/>
        <w:gridCol w:w="109"/>
        <w:gridCol w:w="109"/>
        <w:gridCol w:w="109"/>
        <w:gridCol w:w="202"/>
        <w:gridCol w:w="759"/>
        <w:gridCol w:w="109"/>
        <w:gridCol w:w="109"/>
        <w:gridCol w:w="109"/>
        <w:gridCol w:w="109"/>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from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before tax</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benefit (expense)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income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allocable to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allocable to Brilliant Earth Group, Inc.</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 average shares of common stock outstanding: </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11,387,936 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10,010,798 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11,387,936 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96,526,843 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CHANGES IN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amounts)</w:t>
      </w:r>
    </w:p>
    <w:p>
      <w:pPr>
        <w:pStyle w:val="TextBody"/>
        <w:bidi w:val="0"/>
        <w:spacing w:before="0" w:after="2"/>
        <w:jc w:val="left"/>
        <w:rPr/>
      </w:pPr>
      <w:r>
        <w:rPr/>
      </w:r>
    </w:p>
    <w:tbl>
      <w:tblPr>
        <w:tblW w:w="13014" w:type="dxa"/>
        <w:jc w:val="left"/>
        <w:tblInd w:w="0" w:type="dxa"/>
        <w:tblLayout w:type="fixed"/>
        <w:tblCellMar>
          <w:top w:w="28" w:type="dxa"/>
          <w:left w:w="28" w:type="dxa"/>
          <w:bottom w:w="28" w:type="dxa"/>
          <w:right w:w="28" w:type="dxa"/>
        </w:tblCellMar>
      </w:tblPr>
      <w:tblGrid>
        <w:gridCol w:w="516"/>
        <w:gridCol w:w="177"/>
        <w:gridCol w:w="178"/>
        <w:gridCol w:w="338"/>
        <w:gridCol w:w="338"/>
        <w:gridCol w:w="151"/>
        <w:gridCol w:w="109"/>
        <w:gridCol w:w="109"/>
        <w:gridCol w:w="109"/>
        <w:gridCol w:w="194"/>
        <w:gridCol w:w="223"/>
        <w:gridCol w:w="109"/>
        <w:gridCol w:w="109"/>
        <w:gridCol w:w="109"/>
        <w:gridCol w:w="109"/>
        <w:gridCol w:w="338"/>
        <w:gridCol w:w="338"/>
        <w:gridCol w:w="151"/>
        <w:gridCol w:w="109"/>
        <w:gridCol w:w="109"/>
        <w:gridCol w:w="109"/>
        <w:gridCol w:w="192"/>
        <w:gridCol w:w="225"/>
        <w:gridCol w:w="109"/>
        <w:gridCol w:w="109"/>
        <w:gridCol w:w="109"/>
        <w:gridCol w:w="109"/>
        <w:gridCol w:w="338"/>
        <w:gridCol w:w="338"/>
        <w:gridCol w:w="151"/>
        <w:gridCol w:w="109"/>
        <w:gridCol w:w="109"/>
        <w:gridCol w:w="109"/>
        <w:gridCol w:w="194"/>
        <w:gridCol w:w="223"/>
        <w:gridCol w:w="109"/>
        <w:gridCol w:w="109"/>
        <w:gridCol w:w="109"/>
        <w:gridCol w:w="109"/>
        <w:gridCol w:w="166"/>
        <w:gridCol w:w="406"/>
        <w:gridCol w:w="109"/>
        <w:gridCol w:w="109"/>
        <w:gridCol w:w="109"/>
        <w:gridCol w:w="109"/>
        <w:gridCol w:w="166"/>
        <w:gridCol w:w="406"/>
        <w:gridCol w:w="109"/>
        <w:gridCol w:w="109"/>
        <w:gridCol w:w="109"/>
        <w:gridCol w:w="109"/>
        <w:gridCol w:w="178"/>
        <w:gridCol w:w="500"/>
        <w:gridCol w:w="118"/>
        <w:gridCol w:w="109"/>
        <w:gridCol w:w="109"/>
        <w:gridCol w:w="109"/>
        <w:gridCol w:w="338"/>
        <w:gridCol w:w="338"/>
        <w:gridCol w:w="126"/>
        <w:gridCol w:w="109"/>
        <w:gridCol w:w="109"/>
        <w:gridCol w:w="109"/>
        <w:gridCol w:w="166"/>
        <w:gridCol w:w="466"/>
        <w:gridCol w:w="109"/>
        <w:gridCol w:w="327"/>
        <w:gridCol w:w="166"/>
        <w:gridCol w:w="46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5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Brilliant Earth Group,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Equity</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January 1, 2023</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11,246,694 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35,482,534 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49,119,976 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10,929 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84,602,510 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Tax distributions to members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Class B to Class A common stock</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71,886 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(71,886)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(71,886)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 vesting during period</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252,941 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B shares issued upon vesting of LLC units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115,437 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115,437 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deferred tax asset from step-up tax basis related to redemption of LLC Units and change in TRA liability</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Equity-based compensation </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Rebalancing of controlling and non-controlling interest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(1,780)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March 31, 2023</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11,571,521 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35,526,085 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49,119,976 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11,236 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84,646,061 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93,426 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tbl>
      <w:tblPr>
        <w:tblW w:w="13014" w:type="dxa"/>
        <w:jc w:val="left"/>
        <w:tblInd w:w="0" w:type="dxa"/>
        <w:tblLayout w:type="fixed"/>
        <w:tblCellMar>
          <w:top w:w="28" w:type="dxa"/>
          <w:left w:w="28" w:type="dxa"/>
          <w:bottom w:w="28" w:type="dxa"/>
          <w:right w:w="28" w:type="dxa"/>
        </w:tblCellMar>
      </w:tblPr>
      <w:tblGrid>
        <w:gridCol w:w="516"/>
        <w:gridCol w:w="177"/>
        <w:gridCol w:w="178"/>
        <w:gridCol w:w="338"/>
        <w:gridCol w:w="338"/>
        <w:gridCol w:w="151"/>
        <w:gridCol w:w="109"/>
        <w:gridCol w:w="109"/>
        <w:gridCol w:w="109"/>
        <w:gridCol w:w="194"/>
        <w:gridCol w:w="223"/>
        <w:gridCol w:w="109"/>
        <w:gridCol w:w="109"/>
        <w:gridCol w:w="109"/>
        <w:gridCol w:w="109"/>
        <w:gridCol w:w="338"/>
        <w:gridCol w:w="338"/>
        <w:gridCol w:w="151"/>
        <w:gridCol w:w="109"/>
        <w:gridCol w:w="109"/>
        <w:gridCol w:w="109"/>
        <w:gridCol w:w="192"/>
        <w:gridCol w:w="225"/>
        <w:gridCol w:w="109"/>
        <w:gridCol w:w="109"/>
        <w:gridCol w:w="109"/>
        <w:gridCol w:w="109"/>
        <w:gridCol w:w="338"/>
        <w:gridCol w:w="338"/>
        <w:gridCol w:w="151"/>
        <w:gridCol w:w="109"/>
        <w:gridCol w:w="109"/>
        <w:gridCol w:w="109"/>
        <w:gridCol w:w="194"/>
        <w:gridCol w:w="223"/>
        <w:gridCol w:w="109"/>
        <w:gridCol w:w="109"/>
        <w:gridCol w:w="109"/>
        <w:gridCol w:w="109"/>
        <w:gridCol w:w="166"/>
        <w:gridCol w:w="406"/>
        <w:gridCol w:w="109"/>
        <w:gridCol w:w="109"/>
        <w:gridCol w:w="109"/>
        <w:gridCol w:w="109"/>
        <w:gridCol w:w="166"/>
        <w:gridCol w:w="406"/>
        <w:gridCol w:w="109"/>
        <w:gridCol w:w="109"/>
        <w:gridCol w:w="109"/>
        <w:gridCol w:w="109"/>
        <w:gridCol w:w="194"/>
        <w:gridCol w:w="474"/>
        <w:gridCol w:w="128"/>
        <w:gridCol w:w="109"/>
        <w:gridCol w:w="109"/>
        <w:gridCol w:w="109"/>
        <w:gridCol w:w="338"/>
        <w:gridCol w:w="338"/>
        <w:gridCol w:w="126"/>
        <w:gridCol w:w="109"/>
        <w:gridCol w:w="109"/>
        <w:gridCol w:w="109"/>
        <w:gridCol w:w="166"/>
        <w:gridCol w:w="466"/>
        <w:gridCol w:w="109"/>
        <w:gridCol w:w="327"/>
        <w:gridCol w:w="166"/>
        <w:gridCol w:w="46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5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Brilliant Earth Group,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Equity</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January 1, 2022</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9,614,523 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35,658,013 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49,505,250 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8,403 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85,163,263 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Tax distributions to members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Class B and Class C to Class A common stock</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1,053,914 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(668,640)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(385,274)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(1,053,914)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 vesting during period</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40,019 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B shares issued upon vesting of LLC units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337,323 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337,323 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Increase in deferred tax asset from step-up tax basis related to redemption of LLC Units and set-up of TRA liability</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Equity-based compensation </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Net income </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Rebalancing of controlling and non-controlling interest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(2,159)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March 31, 2022</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10,708,456 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35,326,696 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49,119,976 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9,233 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84,446,672 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72,809 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82,042 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52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before="0" w:after="0"/>
        <w:jc w:val="left"/>
        <w:rPr/>
      </w:pPr>
      <w:r>
        <w:rPr/>
      </w:r>
    </w:p>
    <w:tbl>
      <w:tblPr>
        <w:tblW w:w="8948" w:type="dxa"/>
        <w:jc w:val="left"/>
        <w:tblInd w:w="0" w:type="dxa"/>
        <w:tblLayout w:type="fixed"/>
        <w:tblCellMar>
          <w:top w:w="28" w:type="dxa"/>
          <w:left w:w="28" w:type="dxa"/>
          <w:bottom w:w="28" w:type="dxa"/>
          <w:right w:w="28" w:type="dxa"/>
        </w:tblCellMar>
      </w:tblPr>
      <w:tblGrid>
        <w:gridCol w:w="2313"/>
        <w:gridCol w:w="2034"/>
        <w:gridCol w:w="2042"/>
        <w:gridCol w:w="204"/>
        <w:gridCol w:w="769"/>
        <w:gridCol w:w="113"/>
        <w:gridCol w:w="113"/>
        <w:gridCol w:w="113"/>
        <w:gridCol w:w="113"/>
        <w:gridCol w:w="204"/>
        <w:gridCol w:w="769"/>
        <w:gridCol w:w="161"/>
      </w:tblGrid>
      <w:tr>
        <w:trPr/>
        <w:tc>
          <w:tcPr>
            <w:tcW w:w="2313"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Equity-based compensation </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benefit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current liabilities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distributions to members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SVB term loan</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 cash, cash equivalents and restricted cash</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146,177 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165,095 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Reconciliation of cash and cash equivalents and restricted cash</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cash and cash equivalents, and restricted cash</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146,177 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165,095 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operating lease liabilities</w:t>
            </w:r>
          </w:p>
        </w:tc>
        <w:tc>
          <w:tcPr>
            <w:tcW w:w="20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 Obligation associated with redemption of LLC Units</w:t>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associated with redemption of LLC Units</w:t>
            </w:r>
          </w:p>
        </w:tc>
        <w:tc>
          <w:tcPr>
            <w:tcW w:w="20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included in accounts payable and accrued liabilities</w:t>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APIC related to redemption of LLC Units</w:t>
            </w:r>
          </w:p>
        </w:tc>
        <w:tc>
          <w:tcPr>
            <w:tcW w:w="20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2"/>
        </w:rPr>
      </w:pPr>
      <w:r>
        <w:rPr>
          <w:rFonts w:ascii="Times New Roman;sans-serif" w:hAnsi="Times New Roman;sans-serif"/>
          <w:b/>
          <w:color w:val="000000"/>
          <w:sz w:val="22"/>
        </w:rPr>
        <w:t>Brilliant Earth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NOTES TO THE UNAUDITED CONDENSED CONSOLIDATED </w:t>
      </w:r>
    </w:p>
    <w:p>
      <w:pPr>
        <w:pStyle w:val="TextBody"/>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 xml:space="preserve">1. DESCRIPTION OF BUSINESS AND SUMMARY OF SIGNIFICANT ACCOUNTING POLICIES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designs, procures and sells ethically-sourced diamonds, gemstones and jewelry online and through 28 showrooms operating within the United States ("U.S.") as of March 31, 2023. Co-headquarters are located in San Francisco, California and Denver, Colorado.</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Basis of Presentation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unaudited condensed consolidated financial statements have been prepared in accordance with U.S. GAAP and the requirements of the Securities and Exchange Commission (the "SEC") for interim reporting. As permitted under those rules, certain footnotes or other financial information that are normally required by U.S. GAAP can be condensed or omitted. These interim results are not necessarily indicative of the results to be expected for the fiscal year ending December 31, 2023, or for any other interim period or for any other future year.</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The condensed consolidated balance sheet as of December 31, 2022 has been derived from the audited consolidated financial statements of the Company, which are included in the Company's Annual Report on Form 10-K for the year ended December 31, 2022 (the "2022 Form 10-K"). In the opinion of management, the unaudited condensed consolidated financial statements reflect all adjustments consisting only of normal recurring adjustments necessary to state fairly the financial position, results of operations and cash flows for the periods presented in conformity with U.S. GAAP applicable to interim periods. These unaudited condensed consolidated financial statements should be read in conjunction with the audited consolidated financial statements and the related notes thereto as of and for the year ended December 31, 2022, as disclosed in the 2022 </w:t>
      </w:r>
      <w:r>
        <w:rPr>
          <w:rFonts w:ascii="Times New Roman;sans-serif" w:hAnsi="Times New Roman;sans-serif"/>
          <w:b w:val="false"/>
          <w:color w:val="000000"/>
          <w:sz w:val="22"/>
          <w:shd w:fill="FFFFFF" w:val="clear"/>
        </w:rPr>
        <w:t>Form 10-K</w:t>
      </w:r>
      <w:r>
        <w:rPr>
          <w:rFonts w:ascii="Times New Roman;sans-serif" w:hAnsi="Times New Roman;sans-serif"/>
          <w:b w:val="false"/>
          <w:color w:val="000000"/>
          <w:sz w:val="22"/>
        </w:rPr>
        <w:t xml:space="preserve">. </w:t>
      </w:r>
    </w:p>
    <w:p>
      <w:pPr>
        <w:pStyle w:val="TextBody"/>
        <w:bidi w:val="0"/>
        <w:spacing w:before="0" w:after="2"/>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or updates to the Company's significant accounting policies from those described in the audited consolidated financial statements included in the 2022 Form 10-K except for the updates noted below.</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Principles of Consolidation and Non-Controlling Interest</w:t>
      </w:r>
    </w:p>
    <w:p>
      <w:pPr>
        <w:pStyle w:val="TextBody"/>
        <w:bidi w:val="0"/>
        <w:spacing w:before="0" w:after="2"/>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unaudited condensed consolidated financial statements include the accounts of the Company and its subsidiary, Brilliant Earth, LLC, which it controls due to ownership of the voting interest or pursuant to variable interest entity ("VIE") accounting guidance. All intercompany balances and transactions have been eliminated in consolidation.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color w:val="000000"/>
          <w:sz w:val="22"/>
          <w:shd w:fill="FFFFFF" w:val="clear"/>
        </w:rPr>
        <w:t>The non-controlling interest on the unaudited condensed consolidated statements of operations represents the portion of earnings or loss attributable to the economic interest in Brilliant Earth, LLC held by the Continuing Equity Owners. The non-controlling interest on the unaudited condensed consolidated balance sheets represents the portion of net assets of the Company attributable to the Continuing Equity Owners, based on the portion of the LLC Interests owned by such unit holders. </w:t>
      </w:r>
      <w:r>
        <w:rPr>
          <w:rFonts w:ascii="Times New Roman;sans-serif" w:hAnsi="Times New Roman;sans-serif"/>
          <w:b w:val="false"/>
          <w:color w:val="000000"/>
          <w:sz w:val="22"/>
        </w:rPr>
        <w:t>As of March 31, 2023, the non-controlling interest was 88.0%. At the end of each reporting period, equity related to Brilliant Earth, LLC that is attributable to Brilliant Earth Group, Inc. and Continuing Equity Owners is rebalanced to reflect Brilliant Earth Group, Inc.'s and Continuing Equity Owners' ownership in Brilliant Earth, LLC.</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i/>
          <w:color w:val="000000"/>
          <w:sz w:val="22"/>
        </w:rPr>
      </w:pPr>
      <w:r>
        <w:rPr>
          <w:rFonts w:ascii="Times New Roman;sans-serif" w:hAnsi="Times New Roman;sans-serif"/>
          <w:b/>
          <w:i/>
          <w:color w:val="000000"/>
          <w:sz w:val="22"/>
        </w:rPr>
        <w:t>Use of Estimates</w:t>
      </w:r>
    </w:p>
    <w:p>
      <w:pPr>
        <w:pStyle w:val="TextBody"/>
        <w:bidi w:val="0"/>
        <w:spacing w:before="0" w:after="0"/>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estimates of current and deferred income taxes, payable pursuant to the tax receivable agreement, useful lives and depreciation of long-lived assets, and fair value of equity-based compensation. Actual results could differ materially from those estimates. On an ongoing basis, the Company reviews its estimates to ensure that they appropriately reflect changes in its business or new information available.</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i/>
          <w:color w:val="000000"/>
          <w:sz w:val="22"/>
        </w:rPr>
      </w:pPr>
      <w:r>
        <w:rPr>
          <w:rFonts w:ascii="Times New Roman;sans-serif" w:hAnsi="Times New Roman;sans-serif"/>
          <w:b/>
          <w:i/>
          <w:color w:val="000000"/>
          <w:sz w:val="22"/>
        </w:rPr>
        <w:t>Fair Value Measurements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Fair value is the price that would be received to sell an asset or paid to transfer a liability in an orderly transaction between market participants at the measurement date. U.S. GAAP establishes a fair value hierarchy which requires an entity to maximize the use of observable inputs and minimize the use of unobservable inputs when measuring fair value. U.S. GAAP prescribes three levels of inputs that may be used to measure fair value:</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Level 1        Valuation based on quoted prices (unadjusted) observed in active markets for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identical assets or liabilities.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Level 2        Valuation techniques based on inputs that are quoted prices of similar </w:t>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instruments in active markets; quoted prices for identical or similar instruments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markets that are not in active markets; inputs other than quoted prices used in a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valuation model that are observable for that instrument; and inputs that are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derived from, or corroborated by, observable market data by correlation or other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means.</w:t>
      </w:r>
    </w:p>
    <w:p>
      <w:pPr>
        <w:pStyle w:val="TextBody"/>
        <w:bidi w:val="0"/>
        <w:spacing w:before="0" w:after="0"/>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Level 3        Valuation techniques with significant unobservable market inputs.</w:t>
      </w:r>
    </w:p>
    <w:p>
      <w:pPr>
        <w:pStyle w:val="TextBody"/>
        <w:bidi w:val="0"/>
        <w:spacing w:before="0" w:after="0"/>
        <w:ind w:left="0" w:right="0" w:hanging="108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required to disclose its estimate of the fair value of material financial instruments, including those recorded as assets or liabilities in its financial statements, in accordance with U.S. GAAP.</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 March 31, 2023 and December 31, 2022, there were no financial instruments (assets or liabilities) measured at fair value on a recurring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carrying amounts of cash and cash equivalents, restricted cash, accounts payable and accrued expenses and other current liabilities approximate fair value due to their short-term maturities and were classified as Level 1. The carrying value of long-term debt, net of debt issuance costs, also approximates its fair value, which has been estimated by management based on the consideration of applicable interest rates (including certain instruments at variable or floating rates) for similar types of borrowing arrangements and were classified as Level 2. </w:t>
      </w:r>
    </w:p>
    <w:p>
      <w:pPr>
        <w:pStyle w:val="TextBody"/>
        <w:bidi w:val="0"/>
        <w:spacing w:before="0" w:after="2"/>
        <w:jc w:val="both"/>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Recent Accounting Pronouncements</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Recently adopted accounting pronouncements </w:t>
      </w:r>
    </w:p>
    <w:p>
      <w:pPr>
        <w:pStyle w:val="TextBody"/>
        <w:bidi w:val="0"/>
        <w:spacing w:before="0" w:after="2"/>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01F1E"/>
          <w:sz w:val="22"/>
        </w:rPr>
        <w:t xml:space="preserve">In June 2016, the FASB issued ASU 2016-13, </w:t>
      </w:r>
      <w:r>
        <w:rPr>
          <w:rFonts w:ascii="Times New Roman;sans-serif" w:hAnsi="Times New Roman;sans-serif"/>
          <w:b w:val="false"/>
          <w:i/>
          <w:color w:val="201F1E"/>
          <w:sz w:val="22"/>
        </w:rPr>
        <w:t>Financial Instruments - Credit Losses: Measurement of Credit Losses on Financial Instruments (Topic 326)</w:t>
      </w:r>
      <w:r>
        <w:rPr>
          <w:rFonts w:ascii="Times New Roman;sans-serif" w:hAnsi="Times New Roman;sans-serif"/>
          <w:b w:val="false"/>
          <w:color w:val="201F1E"/>
          <w:sz w:val="22"/>
        </w:rPr>
        <w:t xml:space="preserve">. Topic 326 changes the impairment model for most financial assets. The new model uses a forward-looking expected loss method, which will generally result in earlier recognition of allowances for losses. The Company adopted this guidance using the modified retrospective method beginning with its first quarter ended March 31, 2023. </w:t>
      </w:r>
      <w:r>
        <w:rPr>
          <w:rFonts w:ascii="Times New Roman;sans-serif" w:hAnsi="Times New Roman;sans-serif"/>
          <w:b w:val="false"/>
          <w:color w:val="000000"/>
          <w:sz w:val="22"/>
        </w:rPr>
        <w:t>The adoption of this guidance did not have a material impact on the Company's unaudited consolidated financial statements.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2"/>
        </w:rPr>
      </w:pPr>
      <w:r>
        <w:rPr>
          <w:rFonts w:ascii="Times New Roman;sans-serif" w:hAnsi="Times New Roman;sans-serif"/>
          <w:b w:val="false"/>
          <w:i/>
          <w:color w:val="000000"/>
          <w:sz w:val="22"/>
        </w:rPr>
        <w:t>Accounting pronouncements recently issued but not yet adopted</w:t>
      </w:r>
    </w:p>
    <w:p>
      <w:pPr>
        <w:pStyle w:val="TextBody"/>
        <w:bidi w:val="0"/>
        <w:spacing w:before="0" w:after="2"/>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Other recent accounting pronouncements not yet adopted are not expected to have a material impact on the Company's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2. EARNINGS PER SHARE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Basic earnings per share is computed by dividing net income (loss) applicable to Brilliant Earth Group, Inc. by the weighted average shares of Class A common stock outstanding (and Class D common stock, if outstanding) during the period. Diluted earnings per share is computed by adjusting the net income (loss)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 </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Basic and diluted earnings per share of common stock have been computed as follows (in thousands, except share and per share amounts):</w:t>
      </w:r>
    </w:p>
    <w:p>
      <w:pPr>
        <w:pStyle w:val="TextBody"/>
        <w:bidi w:val="0"/>
        <w:spacing w:before="0" w:after="2"/>
        <w:jc w:val="left"/>
        <w:rPr/>
      </w:pPr>
      <w:r>
        <w:rPr/>
      </w:r>
    </w:p>
    <w:tbl>
      <w:tblPr>
        <w:tblW w:w="10205" w:type="dxa"/>
        <w:jc w:val="center"/>
        <w:tblInd w:w="0" w:type="dxa"/>
        <w:tblLayout w:type="fixed"/>
        <w:tblCellMar>
          <w:top w:w="28" w:type="dxa"/>
          <w:left w:w="28" w:type="dxa"/>
          <w:bottom w:w="28" w:type="dxa"/>
          <w:right w:w="28" w:type="dxa"/>
        </w:tblCellMar>
      </w:tblPr>
      <w:tblGrid>
        <w:gridCol w:w="2721"/>
        <w:gridCol w:w="2359"/>
        <w:gridCol w:w="2372"/>
        <w:gridCol w:w="315"/>
        <w:gridCol w:w="766"/>
        <w:gridCol w:w="109"/>
        <w:gridCol w:w="109"/>
        <w:gridCol w:w="109"/>
        <w:gridCol w:w="109"/>
        <w:gridCol w:w="275"/>
        <w:gridCol w:w="806"/>
        <w:gridCol w:w="155"/>
      </w:tblGrid>
      <w:tr>
        <w:trPr/>
        <w:tc>
          <w:tcPr>
            <w:tcW w:w="2721"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Three months ended</w:t>
              <w:br/>
              <w:t>March 31,</w:t>
            </w:r>
          </w:p>
        </w:tc>
      </w:tr>
      <w:tr>
        <w:trPr/>
        <w:tc>
          <w:tcPr>
            <w:tcW w:w="7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2022</w:t>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Brilliant Earth Group, Inc., BASIC</w:t>
            </w:r>
          </w:p>
        </w:tc>
        <w:tc>
          <w:tcPr>
            <w:tcW w:w="31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(loss) income impact from assumed redemption of all LLC Units to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(less): Income tax benefit (expense) on net (loss) income attributable to NCI</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Brilliant Earth Group, Inc., after adjustment for assumed conversion, DILUTED</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10,010,798 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effects of:</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LLC Units that are exchangeable for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84,858,932 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LLC Units that are exchangeable for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1,623,238 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and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96,526,843 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w:t>
            </w:r>
          </w:p>
        </w:tc>
        <w:tc>
          <w:tcPr>
            <w:tcW w:w="31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31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Net (loss) income attributable to the non-controlling interest added back to net (loss) income in the fully dilutive computation has been adjusted for income taxes which would have been benefited (expensed) had the (loss)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pStyle w:val="TextBody"/>
        <w:bidi w:val="0"/>
        <w:spacing w:before="0" w:after="0"/>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2023 and 2022, the dilutive impact of LLC Units convertible into common stock were included in the computation of diluted earnings per share under the if-converted method, except when the effect would be anti-dilutive. The dilutive impact of unvested LLC Units, RSUs, and stock options were included using the treasury stock method.</w:t>
      </w:r>
    </w:p>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potentially dilutive securities excluded from the computations of diluted earnings per share of common stock due to the fact such impact would have been anti-dilutive for the three months ended March 31, 2023 and 2022:</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tbl>
      <w:tblPr>
        <w:tblW w:w="4839" w:type="dxa"/>
        <w:jc w:val="left"/>
        <w:tblInd w:w="0" w:type="dxa"/>
        <w:tblLayout w:type="fixed"/>
        <w:tblCellMar>
          <w:top w:w="28" w:type="dxa"/>
          <w:left w:w="28" w:type="dxa"/>
          <w:bottom w:w="28" w:type="dxa"/>
          <w:right w:w="28" w:type="dxa"/>
        </w:tblCellMar>
      </w:tblPr>
      <w:tblGrid>
        <w:gridCol w:w="647"/>
        <w:gridCol w:w="568"/>
        <w:gridCol w:w="570"/>
        <w:gridCol w:w="557"/>
        <w:gridCol w:w="524"/>
        <w:gridCol w:w="184"/>
        <w:gridCol w:w="184"/>
        <w:gridCol w:w="184"/>
        <w:gridCol w:w="184"/>
        <w:gridCol w:w="503"/>
        <w:gridCol w:w="473"/>
        <w:gridCol w:w="261"/>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LLC Units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84,617,787 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LLC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ind w:left="0" w:right="0" w:hanging="180"/>
              <w:jc w:val="right"/>
              <w:rPr>
                <w:color w:val="000000"/>
              </w:rPr>
            </w:pPr>
            <w:r>
              <w:rPr>
                <w:color w:val="00000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3,326,439 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1,529,164 </w:t>
            </w:r>
          </w:p>
        </w:tc>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832,152 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1,502,889 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3. REVENUE</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2"/>
        </w:rPr>
      </w:pPr>
      <w:r>
        <w:rPr>
          <w:rFonts w:ascii="Times New Roman;sans-serif" w:hAnsi="Times New Roman;sans-serif"/>
          <w:b w:val="false"/>
          <w:i/>
          <w:color w:val="000000"/>
          <w:sz w:val="22"/>
        </w:rPr>
        <w:t>Disaggregation of Revenue</w:t>
      </w:r>
    </w:p>
    <w:p>
      <w:pPr>
        <w:pStyle w:val="TextBody"/>
        <w:bidi w:val="0"/>
        <w:spacing w:before="0" w:after="2"/>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discloses total net sales by geography for the three months ended March 31, 2023 and 2022 (in thousands):</w:t>
      </w:r>
    </w:p>
    <w:p>
      <w:pPr>
        <w:pStyle w:val="TextBody"/>
        <w:bidi w:val="0"/>
        <w:spacing w:before="0" w:after="2"/>
        <w:jc w:val="left"/>
        <w:rPr/>
      </w:pPr>
      <w:r>
        <w:rPr/>
      </w:r>
    </w:p>
    <w:tbl>
      <w:tblPr>
        <w:tblW w:w="5182" w:type="dxa"/>
        <w:jc w:val="left"/>
        <w:tblInd w:w="0" w:type="dxa"/>
        <w:tblLayout w:type="fixed"/>
        <w:tblCellMar>
          <w:top w:w="28" w:type="dxa"/>
          <w:left w:w="28" w:type="dxa"/>
          <w:bottom w:w="28" w:type="dxa"/>
          <w:right w:w="28" w:type="dxa"/>
        </w:tblCellMar>
      </w:tblPr>
      <w:tblGrid>
        <w:gridCol w:w="527"/>
        <w:gridCol w:w="463"/>
        <w:gridCol w:w="465"/>
        <w:gridCol w:w="109"/>
        <w:gridCol w:w="109"/>
        <w:gridCol w:w="226"/>
        <w:gridCol w:w="826"/>
        <w:gridCol w:w="109"/>
        <w:gridCol w:w="109"/>
        <w:gridCol w:w="226"/>
        <w:gridCol w:w="946"/>
        <w:gridCol w:w="109"/>
        <w:gridCol w:w="109"/>
        <w:gridCol w:w="109"/>
        <w:gridCol w:w="109"/>
        <w:gridCol w:w="184"/>
        <w:gridCol w:w="184"/>
        <w:gridCol w:w="263"/>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1" w:type="dxa"/>
            <w:gridSpan w:val="7"/>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Three months ended</w:t>
              <w:br/>
              <w:t>March 31,</w:t>
            </w:r>
          </w:p>
        </w:tc>
        <w:tc>
          <w:tcPr>
            <w:tcW w:w="958" w:type="dxa"/>
            <w:gridSpan w:val="6"/>
            <w:tcBorders/>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2022</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92,615 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93,766 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Deferred Revenue</w:t>
      </w:r>
    </w:p>
    <w:p>
      <w:pPr>
        <w:pStyle w:val="TextBody"/>
        <w:bidi w:val="0"/>
        <w:spacing w:before="0" w:after="0"/>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Transactions where payment has been received from customers, but control has not transferred, are recorded as customer deposits in deferred revenue and revenue recognition is deferred until delivery has occurred. Deferred revenue also includes payments on the Company's three-year extended service plan that customers have elected to purchase.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2023 and December 31, 2022, total deferred revenue was $21.9 million and $18.6 million, respectively, of which less than $0.1 million and less than $0.1 million, respectively, were included within other long-term liabilities in the unaudited condensed consolidated balance sheets. The Company recognized revenue that was deferred as of the last day of the respective prior quarter of $17.4 million and $17.6 million during the three months ended March 31,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Sales Returns and Allowances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returns asset account and a refund liabilities account are maintained to record the effects of estimated product returns and sales returns allowance. Returns asset and refund liabilities are updated at the end of each financial reporting period and the effect of such changes are accounted for in the period in which such changes occur.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March 31, 2023 and December 31, 2022, refund liabilities balances were $1.5 million and $2.3 million, respectively, and are included as a provision for sales returns and allowances within accrued expenses and other current liabilities in the unaudited condensed consolidated balance sheets. As of March 31, 2023 and December 31, 2022, returns asset balances were $0.6 million and $0.9 million, respectively, and are included within prepaid expenses and other current assets in the unaudited condensed consolidated balance sheets.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4. INVENTORIES, NET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Inventories, net consist of the following (in thousands):</w:t>
      </w:r>
    </w:p>
    <w:tbl>
      <w:tblPr>
        <w:tblW w:w="5897" w:type="dxa"/>
        <w:jc w:val="center"/>
        <w:tblInd w:w="0" w:type="dxa"/>
        <w:tblLayout w:type="fixed"/>
        <w:tblCellMar>
          <w:top w:w="28" w:type="dxa"/>
          <w:left w:w="28" w:type="dxa"/>
          <w:bottom w:w="28" w:type="dxa"/>
          <w:right w:w="28" w:type="dxa"/>
        </w:tblCellMar>
      </w:tblPr>
      <w:tblGrid>
        <w:gridCol w:w="1168"/>
        <w:gridCol w:w="1025"/>
        <w:gridCol w:w="1031"/>
        <w:gridCol w:w="211"/>
        <w:gridCol w:w="721"/>
        <w:gridCol w:w="109"/>
        <w:gridCol w:w="109"/>
        <w:gridCol w:w="109"/>
        <w:gridCol w:w="109"/>
        <w:gridCol w:w="253"/>
        <w:gridCol w:w="867"/>
        <w:gridCol w:w="185"/>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Loose diamonds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Fine jewelry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inventory obsolescence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allowance for inventory obsolescence consists of the following (in thousands):</w:t>
      </w:r>
    </w:p>
    <w:p>
      <w:pPr>
        <w:pStyle w:val="TextBody"/>
        <w:bidi w:val="0"/>
        <w:spacing w:before="0" w:after="2"/>
        <w:jc w:val="left"/>
        <w:rPr/>
      </w:pPr>
      <w:r>
        <w:rPr/>
      </w:r>
    </w:p>
    <w:tbl>
      <w:tblPr>
        <w:tblW w:w="6385" w:type="dxa"/>
        <w:jc w:val="center"/>
        <w:tblInd w:w="0" w:type="dxa"/>
        <w:tblLayout w:type="fixed"/>
        <w:tblCellMar>
          <w:top w:w="28" w:type="dxa"/>
          <w:left w:w="28" w:type="dxa"/>
          <w:bottom w:w="28" w:type="dxa"/>
          <w:right w:w="28" w:type="dxa"/>
        </w:tblCellMar>
      </w:tblPr>
      <w:tblGrid>
        <w:gridCol w:w="1472"/>
        <w:gridCol w:w="1294"/>
        <w:gridCol w:w="1298"/>
        <w:gridCol w:w="239"/>
        <w:gridCol w:w="613"/>
        <w:gridCol w:w="123"/>
        <w:gridCol w:w="109"/>
        <w:gridCol w:w="109"/>
        <w:gridCol w:w="109"/>
        <w:gridCol w:w="237"/>
        <w:gridCol w:w="609"/>
        <w:gridCol w:w="173"/>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inventory obsolescence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2023 and December 31, 2022, the Company had $25.6 million and $27.6 million, respectively, in consigned inventory held on behalf of suppliers which is not recorded in the unaudited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5. ACCRUED EXPENSES AND OTHER CURRENT LIABILITIES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Accrued expenses and other current liabilities consist of the following (in thousands):</w:t>
      </w:r>
    </w:p>
    <w:p>
      <w:pPr>
        <w:pStyle w:val="TextBody"/>
        <w:bidi w:val="0"/>
        <w:spacing w:before="0" w:after="0"/>
        <w:jc w:val="left"/>
        <w:rPr/>
      </w:pPr>
      <w:r>
        <w:rPr/>
      </w:r>
    </w:p>
    <w:tbl>
      <w:tblPr>
        <w:tblW w:w="7128" w:type="dxa"/>
        <w:jc w:val="center"/>
        <w:tblInd w:w="0" w:type="dxa"/>
        <w:tblLayout w:type="fixed"/>
        <w:tblCellMar>
          <w:top w:w="28" w:type="dxa"/>
          <w:left w:w="28" w:type="dxa"/>
          <w:bottom w:w="28" w:type="dxa"/>
          <w:right w:w="28" w:type="dxa"/>
        </w:tblCellMar>
      </w:tblPr>
      <w:tblGrid>
        <w:gridCol w:w="1614"/>
        <w:gridCol w:w="1415"/>
        <w:gridCol w:w="1426"/>
        <w:gridCol w:w="211"/>
        <w:gridCol w:w="721"/>
        <w:gridCol w:w="109"/>
        <w:gridCol w:w="109"/>
        <w:gridCol w:w="109"/>
        <w:gridCol w:w="109"/>
        <w:gridCol w:w="253"/>
        <w:gridCol w:w="867"/>
        <w:gridCol w:w="185"/>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received not billed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other tax payable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sales returns and allowances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TRA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 current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37,833 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Included in accrued expenses and other current liabilities is a provision for sales returns and allowances. Returns are estimated based on past experience and current expectations and are recorded as an adjustment to revenue. Activity for the three months ended March 31, 2023 and 2022 was as follows (in thousands):</w:t>
      </w:r>
    </w:p>
    <w:p>
      <w:pPr>
        <w:pStyle w:val="TextBody"/>
        <w:bidi w:val="0"/>
        <w:spacing w:before="0" w:after="0"/>
        <w:jc w:val="left"/>
        <w:rPr/>
      </w:pPr>
      <w:r>
        <w:rPr/>
      </w:r>
    </w:p>
    <w:tbl>
      <w:tblPr>
        <w:tblW w:w="4959" w:type="dxa"/>
        <w:jc w:val="center"/>
        <w:tblInd w:w="0" w:type="dxa"/>
        <w:tblLayout w:type="fixed"/>
        <w:tblCellMar>
          <w:top w:w="28" w:type="dxa"/>
          <w:left w:w="28" w:type="dxa"/>
          <w:bottom w:w="28" w:type="dxa"/>
          <w:right w:w="28" w:type="dxa"/>
        </w:tblCellMar>
      </w:tblPr>
      <w:tblGrid>
        <w:gridCol w:w="956"/>
        <w:gridCol w:w="840"/>
        <w:gridCol w:w="843"/>
        <w:gridCol w:w="216"/>
        <w:gridCol w:w="647"/>
        <w:gridCol w:w="111"/>
        <w:gridCol w:w="109"/>
        <w:gridCol w:w="109"/>
        <w:gridCol w:w="109"/>
        <w:gridCol w:w="216"/>
        <w:gridCol w:w="646"/>
        <w:gridCol w:w="157"/>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 and allowances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at end of period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1,520</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1,583</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pPr>
      <w:r>
        <w:rPr>
          <w:rFonts w:ascii="Times New Roman;sans-serif" w:hAnsi="Times New Roman;sans-serif"/>
          <w:b/>
          <w:color w:val="000000"/>
          <w:sz w:val="20"/>
        </w:rPr>
        <w:t xml:space="preserve">6. </w:t>
      </w:r>
      <w:r>
        <w:rPr>
          <w:rFonts w:ascii="Times New Roman;sans-serif" w:hAnsi="Times New Roman;sans-serif"/>
          <w:b/>
          <w:color w:val="000000"/>
          <w:sz w:val="22"/>
        </w:rPr>
        <w:t>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its executive offices, retail showrooms, office and operational locations under operating leases. The fixed, non-cancelable terms of our real estate leases are generally 5-10 years. Certain lease agreements include options to renew or terminate the lease, which are not reasonably certain to be exercised and therefore are not factored into the determination of lease payments. Most of the real estate leases require payment of real estate taxes, insurance and certain common area maintenance costs in addition to future minimum lease payments. </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ROU assets and lease liabilities were as follows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2"/>
        <w:gridCol w:w="702"/>
        <w:gridCol w:w="710"/>
        <w:gridCol w:w="109"/>
        <w:gridCol w:w="109"/>
        <w:gridCol w:w="109"/>
        <w:gridCol w:w="1051"/>
        <w:gridCol w:w="1051"/>
        <w:gridCol w:w="1054"/>
        <w:gridCol w:w="109"/>
        <w:gridCol w:w="109"/>
        <w:gridCol w:w="109"/>
        <w:gridCol w:w="379"/>
        <w:gridCol w:w="1327"/>
        <w:gridCol w:w="195"/>
        <w:gridCol w:w="109"/>
        <w:gridCol w:w="109"/>
        <w:gridCol w:w="109"/>
        <w:gridCol w:w="372"/>
        <w:gridCol w:w="1303"/>
        <w:gridCol w:w="278"/>
      </w:tblGrid>
      <w:tr>
        <w:trPr/>
        <w:tc>
          <w:tcPr>
            <w:tcW w:w="8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2022</w:t>
            </w:r>
          </w:p>
        </w:tc>
      </w:tr>
      <w:tr>
        <w:trPr/>
        <w:tc>
          <w:tcPr>
            <w:tcW w:w="2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ROU assets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20,750 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book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33,707</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20,067</w:t>
            </w:r>
            <w:r>
              <w:rPr>
                <w:color w:val="000000"/>
              </w:rPr>
              <w:t>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2022</w:t>
            </w:r>
          </w:p>
        </w:tc>
      </w:tr>
      <w:tr>
        <w:trPr/>
        <w:tc>
          <w:tcPr>
            <w:tcW w:w="2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39,065</w:t>
            </w: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22,661</w:t>
            </w:r>
            <w:r>
              <w:rPr>
                <w:color w:val="000000"/>
              </w:rPr>
              <w:t>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costs were as follows (in thousands):</w:t>
      </w:r>
    </w:p>
    <w:tbl>
      <w:tblPr>
        <w:tblW w:w="10205" w:type="dxa"/>
        <w:jc w:val="left"/>
        <w:tblInd w:w="0" w:type="dxa"/>
        <w:tblLayout w:type="fixed"/>
        <w:tblCellMar>
          <w:top w:w="28" w:type="dxa"/>
          <w:left w:w="28" w:type="dxa"/>
          <w:bottom w:w="28" w:type="dxa"/>
          <w:right w:w="28" w:type="dxa"/>
        </w:tblCellMar>
      </w:tblPr>
      <w:tblGrid>
        <w:gridCol w:w="479"/>
        <w:gridCol w:w="421"/>
        <w:gridCol w:w="423"/>
        <w:gridCol w:w="109"/>
        <w:gridCol w:w="109"/>
        <w:gridCol w:w="109"/>
        <w:gridCol w:w="799"/>
        <w:gridCol w:w="799"/>
        <w:gridCol w:w="801"/>
        <w:gridCol w:w="109"/>
        <w:gridCol w:w="109"/>
        <w:gridCol w:w="109"/>
        <w:gridCol w:w="616"/>
        <w:gridCol w:w="1799"/>
        <w:gridCol w:w="319"/>
        <w:gridCol w:w="109"/>
        <w:gridCol w:w="109"/>
        <w:gridCol w:w="109"/>
        <w:gridCol w:w="594"/>
        <w:gridCol w:w="1736"/>
        <w:gridCol w:w="438"/>
      </w:tblGrid>
      <w:tr>
        <w:trPr/>
        <w:tc>
          <w:tcPr>
            <w:tcW w:w="4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2022</w:t>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analysis of the operating lease liabilities as of March 31, 2023 was as follows (in thousands):</w:t>
      </w:r>
    </w:p>
    <w:tbl>
      <w:tblPr>
        <w:tblW w:w="4656" w:type="dxa"/>
        <w:jc w:val="left"/>
        <w:tblInd w:w="0" w:type="dxa"/>
        <w:tblLayout w:type="fixed"/>
        <w:tblCellMar>
          <w:top w:w="28" w:type="dxa"/>
          <w:left w:w="28" w:type="dxa"/>
          <w:bottom w:w="28" w:type="dxa"/>
          <w:right w:w="28" w:type="dxa"/>
        </w:tblCellMar>
      </w:tblPr>
      <w:tblGrid>
        <w:gridCol w:w="1287"/>
        <w:gridCol w:w="1132"/>
        <w:gridCol w:w="1136"/>
        <w:gridCol w:w="211"/>
        <w:gridCol w:w="73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For the nine months ending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Years ending December 31,</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color w:val="000000"/>
                <w:sz w:val="18"/>
              </w:rPr>
              <w:t>Total minimum lease payments</w:t>
            </w:r>
            <w:r>
              <w:rPr>
                <w:rFonts w:ascii="Times New Roman;sans-serif" w:hAnsi="Times New Roman;sans-serif"/>
                <w:b/>
                <w:color w:val="000000"/>
                <w:sz w:val="12"/>
              </w:rPr>
              <w:t>(1)</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46,460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present value of operating lease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39,065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Long-term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33,750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(1) Future minimum lease payments exclude $7.1 million of future payments required under signed lease agreements that have not yet commenced. These operating leases will commence after March 31, 2023 with lease terms of ten years.</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summarizes the weighted-average remaining lease term and weighted-average discount rate on long-term leases as follows (in thousands):</w:t>
      </w:r>
    </w:p>
    <w:tbl>
      <w:tblPr>
        <w:tblW w:w="8620" w:type="dxa"/>
        <w:jc w:val="left"/>
        <w:tblInd w:w="0" w:type="dxa"/>
        <w:tblLayout w:type="fixed"/>
        <w:tblCellMar>
          <w:top w:w="28" w:type="dxa"/>
          <w:left w:w="28" w:type="dxa"/>
          <w:bottom w:w="28" w:type="dxa"/>
          <w:right w:w="28" w:type="dxa"/>
        </w:tblCellMar>
      </w:tblPr>
      <w:tblGrid>
        <w:gridCol w:w="1827"/>
        <w:gridCol w:w="1603"/>
        <w:gridCol w:w="1610"/>
        <w:gridCol w:w="109"/>
        <w:gridCol w:w="109"/>
        <w:gridCol w:w="109"/>
        <w:gridCol w:w="514"/>
        <w:gridCol w:w="264"/>
        <w:gridCol w:w="664"/>
        <w:gridCol w:w="109"/>
        <w:gridCol w:w="109"/>
        <w:gridCol w:w="109"/>
        <w:gridCol w:w="492"/>
        <w:gridCol w:w="253"/>
        <w:gridCol w:w="739"/>
      </w:tblGrid>
      <w:tr>
        <w:trPr/>
        <w:tc>
          <w:tcPr>
            <w:tcW w:w="1827"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years</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66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73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9"/>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 related to operating leases is as follows: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7. DEBT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net carrying amount of the Term Loans as of March 31, 2023 and December 31, 2022, net of debt issuance costs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92"/>
        <w:gridCol w:w="272"/>
        <w:gridCol w:w="273"/>
        <w:gridCol w:w="283"/>
        <w:gridCol w:w="969"/>
        <w:gridCol w:w="147"/>
        <w:gridCol w:w="109"/>
        <w:gridCol w:w="109"/>
        <w:gridCol w:w="109"/>
        <w:gridCol w:w="275"/>
        <w:gridCol w:w="671"/>
        <w:gridCol w:w="142"/>
        <w:gridCol w:w="109"/>
        <w:gridCol w:w="109"/>
        <w:gridCol w:w="109"/>
        <w:gridCol w:w="264"/>
        <w:gridCol w:w="903"/>
        <w:gridCol w:w="136"/>
        <w:gridCol w:w="109"/>
        <w:gridCol w:w="109"/>
        <w:gridCol w:w="109"/>
        <w:gridCol w:w="283"/>
        <w:gridCol w:w="969"/>
        <w:gridCol w:w="147"/>
        <w:gridCol w:w="109"/>
        <w:gridCol w:w="109"/>
        <w:gridCol w:w="109"/>
        <w:gridCol w:w="275"/>
        <w:gridCol w:w="671"/>
        <w:gridCol w:w="142"/>
        <w:gridCol w:w="109"/>
        <w:gridCol w:w="109"/>
        <w:gridCol w:w="109"/>
        <w:gridCol w:w="262"/>
        <w:gridCol w:w="895"/>
        <w:gridCol w:w="199"/>
      </w:tblGrid>
      <w:tr>
        <w:trPr/>
        <w:tc>
          <w:tcPr>
            <w:tcW w:w="3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28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Runway Term Loan Agreement - Runway Growth Credit Finance Corp.</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September 30, 2019, the Company entered into a Loan and Security Agreement with Runway Growth Finance Corp. (f/k/a Runway Growth Credit Fund Inc.) ("Runway") which, as subsequently amended, provided for up to $65.0 million of borrowings (as subsequently amended, the "Runway Term Loan"). The Runway Term Loan bore interest at a variable rate equal to LIBOR (at a floor of 0.50%) plus 7.75%. The Runway Term Loan was secured by substantially all of the assets of the Company and required us to comply with various affirmative and negative debt covenants.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origination of the Runway Term Loan Agreement, a warrant for 333,333 Class P Units was issued. The fair value of the warrant was $0.1 million at the time of issuance which was accounted for as a debt origination cost (contra-liability).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was required to make interest-only payments on the Runway Term Loan through April 15, 2022, at which time the Runway Term Loan began amortizing, with equal monthly payments of principal, which would have fully amortized the principal amount of the Runway Term Loan by October 15, 2023, plus interest being paid by the Company to Runway in consecutive monthly installments until October 15, 2023. The Runway Term Loan carried a prepayment fee of 3.00% declining to 0.00% based on the anniversary date of payment, and a final payment fee equal to 4.50% of the principal amount repaid upon prepayment, plus $0.2 million. </w:t>
      </w:r>
    </w:p>
    <w:p>
      <w:pPr>
        <w:pStyle w:val="TextBody"/>
        <w:bidi w:val="0"/>
        <w:spacing w:before="0" w:after="0"/>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May 24, 2022, concurrently with entry into the SVB Credit Agreement (as defined below), the Company repaid all outstanding amounts under the Runway Term Loan, totaling $58.2 million with proceeds from the SVB Credit Agreement. In connection with the repayment and termination of the Runway Term Loan, the Company was required to pay a 1.00% prepayment fee, plus a final payment fee. The Runway Term Loan was scheduled to mature on October 15, 2023. As a result of the extinguishment of the Runway Term Loan, the Company recognized a loss on debt extinguishment of $0.6 million associated with the prepayment fee and the write-off of unamortized debt issuance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Credit Agreement - Silicon Valley Bank</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May 24, 2022 (the "Closing Date"), Brilliant Earth, LLC, as borrower, and Silicon Valley Bank, as administrative agent and collateral agent for the lenders, entered into a credit agreement (the "SVB Credit Agreement") which provides for a secured term loan credit facility of $65.0 million (the "SVB Term Loan Facility") and a secured revolving credit facility in an amount of up to $40.0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"SVB Revolving Credit Facility," and together with the SVB Term Loan Facility, the "SVB Credit Facilities").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SVB Credit Facilities were used to refinance existing indebtedness, pay related fees and expenses, and will be used from and after the Closing Date for working capital and general corporate purposes. The Credit Facilities mature on May 24, 2027 (the "SVB Maturity Date").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SVB Credit Facilities are secured by substantially all assets of Brilliant Earth, LLC and any of its future material subsidiaries, subject to customary exceptions. Brilliant Earth, LLC's future material subsidiaries (subject to certain customary exceptions) will guarantee repayment of the SVB Credit Facilities.</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Borrowings under the SVB Credit Facilities bear interest at either (a) a secured overnight financing rate plus an annual adjustment of 0.125%, plus an applicable margin of 2.25% to 2.75%, depending on the Consolidated Total Leverage Ratio (defined below), or an alternate base rate plus an applicable margin of 1.25% to 1.75%, depending on the Consolidated Total Leverage Ratio, each subject to a 0.00% floor. In addition, Brilliant Earth, LLC has agreed to pay a commitment fee on the first day of each quarter on the unused amount of the SVB Revolving Credit Facility, equal to 0.25% to 0.35% per annum depending on the Consolidated Total Leverage Ratio. The Consolidated Total Leverage Ratio is defined as the ratio, as of the last day of any four fiscal quarter period, of (a) Consolidated Total Indebtedness of the Company and its subsidiaries to (b) the Consolidated EBITDA for such period (each term as further defined in the Credit Agreement).</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SVB Term Loan Facility is required to be repaid on the last day of each calendar quarter (commencing on September 30, 2022), in an amount equal to 1.25% per quarter through June 30, 2024, 1.875% per quarter from September 30, 2024 through June 30, 2025, and 2.50% per quarter thereafter, with the balance payable on the SVB Maturity Date. The SVB Term Loan Facility is also subject to certain mandatory prepayment requirements in connection with asset sales, casualty events and debt incurrence, subject to customary exceptions.</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SVB Credit Facilities are subject to customary affirmative covenants and negative covenants as well as financial maintenance covenants. The financial covenants are tested at the end of each fiscal quarter, beginning with the quarter ended June 30, 2022, and requires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 As of March 31, 2023 the Company was in compliance with such covenants.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 March 31, 2023, deferred issuance costs included in other assets totaled $0.4 million, net of accumulated amortization of $0.1 million. At March 31, 2023, deferred issuance costs included in long-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term debt totaled $0.6 million, net of accumulated amortization of $0.2 million. These costs are being amortized to interest expense over the term of the loan.</w:t>
      </w:r>
    </w:p>
    <w:p>
      <w:pPr>
        <w:pStyle w:val="TextBody"/>
        <w:bidi w:val="0"/>
        <w:spacing w:before="0" w:after="0"/>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debt effective interest rate was 7.72% and 11.08% for the three months ended March 31, 2023 and 2022, respectively. Interest expense was $1.1 million and $1.4 million and the amortization of deferred issuance costs was $0.1 million and $0.4 million for the three months ended March 31, 2023 and 2022, respectively.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2023, there are no amounts outstanding under the SVB Revolving Credit Facility.</w:t>
      </w:r>
    </w:p>
    <w:p>
      <w:pPr>
        <w:pStyle w:val="TextBody"/>
        <w:bidi w:val="0"/>
        <w:spacing w:before="0" w:after="2"/>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March 10, 2023, SVB was closed by the California Department of Financial Protection and Innovation, and the Federal Deposit Insurance Corporation ("FDIC") was appointed as receiver. On March 14, 2023, the FDIC announced the establishment of Silicon Valley Bridge Bank, N.A., which assumed the deposits and obligations of SVB. On March 26, 2023, the FDIC announced that it had entered into a purchase and assumption agreement with First-Citizens Bank &amp; Trust Company, Raleigh, North Carolina ("First Citizens") under which all deposits and loans of SVB were assumed by First Citizens. Based on this announcement, we expect that First Citizens will continue to service the SVB Credit Facilities going forward.</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2023, the aggregate future principal payments under the SVB Term Loan Facility were as follows (in thousands):</w:t>
      </w:r>
    </w:p>
    <w:p>
      <w:pPr>
        <w:pStyle w:val="TextBody"/>
        <w:bidi w:val="0"/>
        <w:spacing w:before="0" w:after="2"/>
        <w:jc w:val="both"/>
        <w:rPr/>
      </w:pPr>
      <w:r>
        <w:rPr/>
      </w:r>
    </w:p>
    <w:tbl>
      <w:tblPr>
        <w:tblW w:w="4805" w:type="dxa"/>
        <w:jc w:val="left"/>
        <w:tblInd w:w="0" w:type="dxa"/>
        <w:tblLayout w:type="fixed"/>
        <w:tblCellMar>
          <w:top w:w="28" w:type="dxa"/>
          <w:left w:w="28" w:type="dxa"/>
          <w:bottom w:w="28" w:type="dxa"/>
          <w:right w:w="28" w:type="dxa"/>
        </w:tblCellMar>
      </w:tblPr>
      <w:tblGrid>
        <w:gridCol w:w="1346"/>
        <w:gridCol w:w="1182"/>
        <w:gridCol w:w="1191"/>
        <w:gridCol w:w="211"/>
        <w:gridCol w:w="721"/>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aggregate future principal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8. EQUITY-BASED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Grants of Restricted Stock Units</w:t>
      </w:r>
    </w:p>
    <w:p>
      <w:pPr>
        <w:pStyle w:val="TextBody"/>
        <w:bidi w:val="0"/>
        <w:spacing w:before="0" w:after="0"/>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following table summarizes the activity related to the Company's restricted stock units ("RSUs") for the three months ended March 31, 2023:</w:t>
      </w:r>
    </w:p>
    <w:p>
      <w:pPr>
        <w:pStyle w:val="TextBody"/>
        <w:bidi w:val="0"/>
        <w:spacing w:before="0" w:after="2"/>
        <w:jc w:val="left"/>
        <w:rPr/>
      </w:pPr>
      <w:r>
        <w:rPr/>
      </w:r>
    </w:p>
    <w:tbl>
      <w:tblPr>
        <w:tblW w:w="8949" w:type="dxa"/>
        <w:jc w:val="left"/>
        <w:tblInd w:w="0" w:type="dxa"/>
        <w:tblLayout w:type="fixed"/>
        <w:tblCellMar>
          <w:top w:w="28" w:type="dxa"/>
          <w:left w:w="28" w:type="dxa"/>
          <w:bottom w:w="28" w:type="dxa"/>
          <w:right w:w="28" w:type="dxa"/>
        </w:tblCellMar>
      </w:tblPr>
      <w:tblGrid>
        <w:gridCol w:w="1320"/>
        <w:gridCol w:w="1161"/>
        <w:gridCol w:w="1163"/>
        <w:gridCol w:w="499"/>
        <w:gridCol w:w="499"/>
        <w:gridCol w:w="501"/>
        <w:gridCol w:w="109"/>
        <w:gridCol w:w="109"/>
        <w:gridCol w:w="109"/>
        <w:gridCol w:w="748"/>
        <w:gridCol w:w="2185"/>
        <w:gridCol w:w="546"/>
      </w:tblGrid>
      <w:tr>
        <w:trPr/>
        <w:tc>
          <w:tcPr>
            <w:tcW w:w="13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 unvested</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3,158,686 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1,403,934 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8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(252,941)</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8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(270,729)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8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 unvested</w:t>
            </w:r>
          </w:p>
        </w:tc>
        <w:tc>
          <w:tcPr>
            <w:tcW w:w="9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4,038,950 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8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ind w:left="0" w:right="0" w:firstLine="720"/>
        <w:jc w:val="both"/>
        <w:rPr/>
      </w:pPr>
      <w:r>
        <w:rPr>
          <w:rFonts w:ascii="Times New Roman;sans-serif" w:hAnsi="Times New Roman;sans-serif"/>
          <w:b w:val="false"/>
          <w:color w:val="000000"/>
          <w:sz w:val="22"/>
          <w:shd w:fill="FFFFFF" w:val="clear"/>
        </w:rPr>
        <w:t>Total compensation expense for RSUs was ap</w:t>
      </w:r>
      <w:r>
        <w:rPr>
          <w:rFonts w:ascii="Times New Roman;sans-serif" w:hAnsi="Times New Roman;sans-serif"/>
          <w:b w:val="false"/>
          <w:color w:val="000000"/>
          <w:sz w:val="22"/>
        </w:rPr>
        <w:t xml:space="preserve">proximately $2.0 million and $1.4 million for the three months ended March 31, 2023 and 2022, respectively, and is included in selling, general and administrative expenses in the unaudited condensed consolidated statements of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2023, total compensation cost related to unvested RSUs not yet recognized is $27.5 million and is expected to be recognized over a weighted-average period of approximately 3.1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Grants of Stock Options</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The following table summarizes the activity related to the outstanding and exercisable stock options for the three months ended </w:t>
      </w:r>
      <w:r>
        <w:rPr>
          <w:rFonts w:ascii="Times New Roman;sans-serif" w:hAnsi="Times New Roman;sans-serif"/>
          <w:b w:val="false"/>
          <w:color w:val="000000"/>
          <w:sz w:val="22"/>
          <w:shd w:fill="FFFFFF" w:val="clear"/>
        </w:rPr>
        <w:t>March 31, 2023</w:t>
      </w:r>
      <w:r>
        <w:rPr>
          <w:rFonts w:ascii="Times New Roman;sans-serif" w:hAnsi="Times New Roman;sans-serif"/>
          <w:b w:val="false"/>
          <w:color w:val="000000"/>
          <w:sz w:val="22"/>
        </w:rPr>
        <w:t>:</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883"/>
        <w:gridCol w:w="776"/>
        <w:gridCol w:w="778"/>
        <w:gridCol w:w="484"/>
        <w:gridCol w:w="400"/>
        <w:gridCol w:w="336"/>
        <w:gridCol w:w="109"/>
        <w:gridCol w:w="109"/>
        <w:gridCol w:w="109"/>
        <w:gridCol w:w="352"/>
        <w:gridCol w:w="1028"/>
        <w:gridCol w:w="181"/>
        <w:gridCol w:w="109"/>
        <w:gridCol w:w="109"/>
        <w:gridCol w:w="109"/>
        <w:gridCol w:w="438"/>
        <w:gridCol w:w="1061"/>
        <w:gridCol w:w="226"/>
        <w:gridCol w:w="109"/>
        <w:gridCol w:w="109"/>
        <w:gridCol w:w="109"/>
        <w:gridCol w:w="665"/>
        <w:gridCol w:w="665"/>
        <w:gridCol w:w="951"/>
      </w:tblGrid>
      <w:tr>
        <w:trPr/>
        <w:tc>
          <w:tcPr>
            <w:tcW w:w="8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801,365 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March 31, 2023</w:t>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March 31, 2023</w:t>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March 31, 2023</w:t>
            </w:r>
          </w:p>
        </w:tc>
        <w:tc>
          <w:tcPr>
            <w:tcW w:w="8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801,365 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r>
    </w:tbl>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March 31, 2023, the vested stock options did not have an aggregated intrinsic value as the exercise price exceeded the estimated fair market value of the stock options.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shd w:fill="FFFFFF" w:val="clear"/>
        </w:rPr>
        <w:t>Total compensation expense for stock options was approxi</w:t>
      </w:r>
      <w:r>
        <w:rPr>
          <w:rFonts w:ascii="Times New Roman;sans-serif" w:hAnsi="Times New Roman;sans-serif"/>
          <w:b w:val="false"/>
          <w:color w:val="000000"/>
          <w:sz w:val="22"/>
        </w:rPr>
        <w:t>mately $0.2 million and $0.6 million for the three months ended March 31, 2023 and 2022, respectively, a</w:t>
      </w:r>
      <w:r>
        <w:rPr>
          <w:rFonts w:ascii="Times New Roman;sans-serif" w:hAnsi="Times New Roman;sans-serif"/>
          <w:b w:val="false"/>
          <w:color w:val="000000"/>
          <w:sz w:val="22"/>
          <w:shd w:fill="FFFFFF" w:val="clear"/>
        </w:rPr>
        <w:t xml:space="preserve">nd is included in selling, general and administrative expenses in the unaudited condensed consolidated statements of operations.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2"/>
          <w:shd w:fill="FFFFFF" w:val="clear"/>
        </w:rPr>
        <w:t>A</w:t>
      </w:r>
      <w:r>
        <w:rPr>
          <w:rFonts w:ascii="Times New Roman;sans-serif" w:hAnsi="Times New Roman;sans-serif"/>
          <w:b w:val="false"/>
          <w:color w:val="000000"/>
          <w:sz w:val="22"/>
        </w:rPr>
        <w:t xml:space="preserve">s of March 31, 2023, total compensation cost related to unvested options not yet recognized is $1.4 million and </w:t>
      </w:r>
      <w:r>
        <w:rPr>
          <w:rFonts w:ascii="Times New Roman;sans-serif" w:hAnsi="Times New Roman;sans-serif"/>
          <w:b w:val="false"/>
          <w:color w:val="000000"/>
          <w:sz w:val="22"/>
          <w:shd w:fill="FFFFFF" w:val="clear"/>
        </w:rPr>
        <w:t>is expected to recognize over a weighted-average period of approxim</w:t>
      </w:r>
      <w:r>
        <w:rPr>
          <w:rFonts w:ascii="Times New Roman;sans-serif" w:hAnsi="Times New Roman;sans-serif"/>
          <w:b w:val="false"/>
          <w:color w:val="000000"/>
          <w:sz w:val="22"/>
        </w:rPr>
        <w:t>ately 1.9 ye</w:t>
      </w:r>
      <w:r>
        <w:rPr>
          <w:rFonts w:ascii="Times New Roman;sans-serif" w:hAnsi="Times New Roman;sans-serif"/>
          <w:b w:val="false"/>
          <w:color w:val="000000"/>
          <w:sz w:val="22"/>
          <w:shd w:fill="FFFFFF" w:val="clear"/>
        </w:rPr>
        <w:t>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 xml:space="preserve">Outstanding Restricted LLC Units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2"/>
          <w:shd w:fill="FFFFFF" w:val="clear"/>
        </w:rPr>
        <w:t xml:space="preserve">The following table summarizes the activity related to the unvested restricted LLC Units for the </w:t>
      </w:r>
      <w:r>
        <w:rPr>
          <w:rFonts w:ascii="Times New Roman;sans-serif" w:hAnsi="Times New Roman;sans-serif"/>
          <w:b w:val="false"/>
          <w:color w:val="000000"/>
          <w:sz w:val="22"/>
        </w:rPr>
        <w:t>three months ended</w:t>
      </w:r>
      <w:r>
        <w:rPr>
          <w:color w:val="000000"/>
          <w:shd w:fill="FFFFFF" w:val="clear"/>
        </w:rPr>
        <w:t xml:space="preserve"> </w:t>
      </w:r>
      <w:r>
        <w:rPr>
          <w:rFonts w:ascii="Times New Roman;sans-serif" w:hAnsi="Times New Roman;sans-serif"/>
          <w:b w:val="false"/>
          <w:color w:val="000000"/>
          <w:sz w:val="22"/>
          <w:shd w:fill="FFFFFF" w:val="clear"/>
        </w:rPr>
        <w:t>March 31, 2023:</w:t>
      </w:r>
    </w:p>
    <w:tbl>
      <w:tblPr>
        <w:tblW w:w="8816" w:type="dxa"/>
        <w:jc w:val="center"/>
        <w:tblInd w:w="0" w:type="dxa"/>
        <w:tblLayout w:type="fixed"/>
        <w:tblCellMar>
          <w:top w:w="28" w:type="dxa"/>
          <w:left w:w="28" w:type="dxa"/>
          <w:bottom w:w="28" w:type="dxa"/>
          <w:right w:w="28" w:type="dxa"/>
        </w:tblCellMar>
      </w:tblPr>
      <w:tblGrid>
        <w:gridCol w:w="1379"/>
        <w:gridCol w:w="1211"/>
        <w:gridCol w:w="1219"/>
        <w:gridCol w:w="929"/>
        <w:gridCol w:w="929"/>
        <w:gridCol w:w="932"/>
        <w:gridCol w:w="109"/>
        <w:gridCol w:w="109"/>
        <w:gridCol w:w="109"/>
        <w:gridCol w:w="442"/>
        <w:gridCol w:w="1147"/>
        <w:gridCol w:w="301"/>
      </w:tblGrid>
      <w:tr>
        <w:trPr/>
        <w:tc>
          <w:tcPr>
            <w:tcW w:w="13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9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restricted LLC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 fair value</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Balance, December 31, 2022, unvested</w:t>
            </w:r>
          </w:p>
        </w:tc>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0.61 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Vested</w:t>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(115,437)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0.47 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Forfeited</w:t>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Balance, March 31, 2023, unvested</w:t>
            </w:r>
          </w:p>
        </w:tc>
        <w:tc>
          <w:tcPr>
            <w:tcW w:w="27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499,563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605" cy="14605"/>
                <wp:effectExtent l="0" t="0" r="0" b="0"/>
                <wp:wrapNone/>
                <wp:docPr id="20" name="Frame2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both"/>
        <w:rPr/>
      </w:pPr>
      <w:r>
        <w:rPr>
          <w:rFonts w:ascii="Times New Roman;sans-serif" w:hAnsi="Times New Roman;sans-serif"/>
          <w:b w:val="false"/>
          <w:color w:val="000000"/>
          <w:sz w:val="22"/>
          <w:shd w:fill="FFFFFF" w:val="clear"/>
        </w:rPr>
        <w:t>Total compensation expense for unvested restricted LLC Units was</w:t>
      </w:r>
      <w:r>
        <w:rPr>
          <w:color w:val="000000"/>
        </w:rPr>
        <w:t xml:space="preserve"> </w:t>
      </w:r>
      <w:r>
        <w:rPr>
          <w:rFonts w:ascii="Times New Roman;sans-serif" w:hAnsi="Times New Roman;sans-serif"/>
          <w:b w:val="false"/>
          <w:color w:val="000000"/>
          <w:sz w:val="22"/>
        </w:rPr>
        <w:t>$0.1 million and $0.1 million for the three months ended March 31, 2023 and 2022, respectively, and is included</w:t>
      </w:r>
      <w:r>
        <w:rPr>
          <w:color w:val="000000"/>
          <w:shd w:fill="FFFFFF" w:val="clear"/>
        </w:rPr>
        <w:t xml:space="preserve"> </w:t>
      </w:r>
      <w:r>
        <w:rPr>
          <w:rFonts w:ascii="Times New Roman;sans-serif" w:hAnsi="Times New Roman;sans-serif"/>
          <w:b w:val="false"/>
          <w:color w:val="000000"/>
          <w:sz w:val="22"/>
          <w:shd w:fill="FFFFFF" w:val="clear"/>
        </w:rPr>
        <w:t xml:space="preserve">in selling, general and administrative expenses in the unaudited condensed consolidated statements of operations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2023, total compensation cost related to unvested restricted LLC Units not yet recognized is $0.3 million and is expected to be recognized over a weighted-average period of approximately 1.8 years.</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9. INCOME TAXES AND TAX RECEIVABLE AGREEMENT</w:t>
      </w:r>
    </w:p>
    <w:p>
      <w:pPr>
        <w:pStyle w:val="TextBody"/>
        <w:bidi w:val="0"/>
        <w:spacing w:lineRule="auto" w:line="288" w:before="0" w:after="0"/>
        <w:jc w:val="both"/>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Overview of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earnings taxed to the non-controlling interest holders is not reported by the Company in its unaudited condensed consolidated financial statements under U.S. GAAP.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pStyle w:val="TextBody"/>
        <w:bidi w:val="0"/>
        <w:spacing w:before="0" w:after="2"/>
        <w:jc w:val="both"/>
        <w:rPr/>
      </w:pPr>
      <w:r>
        <w:rPr/>
      </w:r>
    </w:p>
    <w:p>
      <w:pPr>
        <w:pStyle w:val="TextBody"/>
        <w:bidi w:val="0"/>
        <w:spacing w:lineRule="auto" w:line="300" w:before="0" w:after="2"/>
        <w:jc w:val="both"/>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Tax Provision and Deferred Tax Asset</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 xml:space="preserve">In calculating the provision for interim income taxes in accordance with ASC Topic 740, </w:t>
      </w:r>
      <w:r>
        <w:rPr>
          <w:rFonts w:ascii="Times New Roman;sans-serif" w:hAnsi="Times New Roman;sans-serif"/>
          <w:b w:val="false"/>
          <w:i/>
          <w:color w:val="000000"/>
          <w:sz w:val="22"/>
        </w:rPr>
        <w:t>Income Taxes</w:t>
      </w:r>
      <w:r>
        <w:rPr>
          <w:rFonts w:ascii="Times New Roman;sans-serif" w:hAnsi="Times New Roman;sans-serif"/>
          <w:b w:val="false"/>
          <w:color w:val="000000"/>
          <w:sz w:val="22"/>
        </w:rPr>
        <w:t>, an estimated annual effective tax rate is applied to year-to-date ordinary income. At the end of each interim period, Brilliant Earth Group, Inc. estimates the effective tax rate expected to be applicable for the full fiscal year. This differs from the method utilized at the end of an annual period. The Company's effective tax rate of 3.0% for the three months ended March 31, 2023, differs from the U.S. federal statutory tax rate of 21% primarily due to income associated with the non-controlling interest and state tax expense.</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recorded net decreases in deferred tax assets of $0.4 million during the three months ended March 31, 2023 with a corresponding increase to additional paid in capital, resulting from changes in the outside basis difference on Brilliant Earth's investment in LLC. The Company has determined it is more-likely-than-not that it will be able to realize this deferred tax asset in the future.</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income tax benefit was less than $0.1 million for the three months ended March 31, 2023, and income tax provision was $0.1 million for the three months ended March 31, 2022, respectively.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Tax receivable agreement </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As each of the Continuing Equity Owners elect to convert their LLC Interests into Class A common stock or Class D common stock, as applicable, Brilliant Earth Group, Inc. will succeed to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2"/>
          <w:shd w:fill="FFFFFF" w:val="clear"/>
        </w:rPr>
        <w:t xml:space="preserve">aggregate historical tax basis which will create a net tax benefit to the Company. These tax benefits are expected to be amortized over </w:t>
      </w:r>
      <w:r>
        <w:rPr>
          <w:rFonts w:ascii="Times New Roman;sans-serif" w:hAnsi="Times New Roman;sans-serif"/>
          <w:b w:val="false"/>
          <w:color w:val="000000"/>
          <w:sz w:val="22"/>
        </w:rPr>
        <w:t>15 years</w:t>
      </w:r>
      <w:r>
        <w:rPr>
          <w:color w:val="000000"/>
          <w:shd w:fill="FFFFFF" w:val="clear"/>
        </w:rPr>
        <w:t xml:space="preserve"> </w:t>
      </w:r>
      <w:r>
        <w:rPr>
          <w:rFonts w:ascii="Times New Roman;sans-serif" w:hAnsi="Times New Roman;sans-serif"/>
          <w:b w:val="false"/>
          <w:color w:val="000000"/>
          <w:sz w:val="22"/>
          <w:shd w:fill="FFFFFF" w:val="clear"/>
        </w:rPr>
        <w:t>pursuant to Sections 743(b) and 197 of the Code. The Company will only recognize a deferred tax asset for financial reporting purposes when it is "more-likely-than-not" that the tax benefit will be realized.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shd w:fill="FFFFFF" w:val="clear"/>
        </w:rPr>
        <w:t>In addition, as part of the IPO, the Company entered into a TRA with the Continuing Equity Owners to</w:t>
      </w:r>
      <w:r>
        <w:rPr>
          <w:color w:val="000000"/>
        </w:rPr>
        <w:t xml:space="preserve"> </w:t>
      </w:r>
      <w:r>
        <w:rPr>
          <w:rFonts w:ascii="Times New Roman;sans-serif" w:hAnsi="Times New Roman;sans-serif"/>
          <w:b w:val="false"/>
          <w:color w:val="000000"/>
          <w:sz w:val="22"/>
        </w:rPr>
        <w:t>pay 85% o</w:t>
      </w:r>
      <w:r>
        <w:rPr>
          <w:rFonts w:ascii="Times New Roman;sans-serif" w:hAnsi="Times New Roman;sans-serif"/>
          <w:b w:val="false"/>
          <w:color w:val="000000"/>
          <w:sz w:val="22"/>
          <w:shd w:fill="FFFFFF" w:val="clear"/>
        </w:rPr>
        <w:t>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income. Similarly, the effect of subsequent changes in the enacted tax rates will be included in net income.</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ans-serif" w:hAnsi="Times New Roman;sans-serif"/>
          <w:b w:val="false"/>
          <w:color w:val="000000"/>
          <w:sz w:val="22"/>
          <w:shd w:fill="FFFFFF" w:val="clear"/>
        </w:rPr>
        <w:t xml:space="preserve">As of </w:t>
      </w:r>
      <w:r>
        <w:rPr>
          <w:rFonts w:ascii="Times New Roman;sans-serif" w:hAnsi="Times New Roman;sans-serif"/>
          <w:b w:val="false"/>
          <w:color w:val="000000"/>
          <w:sz w:val="22"/>
        </w:rPr>
        <w:t>March 31, 2023</w:t>
      </w:r>
      <w:r>
        <w:rPr>
          <w:rFonts w:ascii="Times New Roman;sans-serif" w:hAnsi="Times New Roman;sans-serif"/>
          <w:b w:val="false"/>
          <w:color w:val="000000"/>
          <w:sz w:val="22"/>
          <w:shd w:fill="FFFFFF" w:val="clear"/>
        </w:rPr>
        <w:t xml:space="preserve">, related to the TRA, the Company has recorded (i) a deferred tax asset in the amount of </w:t>
      </w:r>
      <w:r>
        <w:rPr>
          <w:rFonts w:ascii="Times New Roman;sans-serif" w:hAnsi="Times New Roman;sans-serif"/>
          <w:b w:val="false"/>
          <w:color w:val="000000"/>
          <w:sz w:val="22"/>
        </w:rPr>
        <w:t>$8.8 million</w:t>
      </w:r>
      <w:r>
        <w:rPr>
          <w:rFonts w:ascii="Times New Roman;sans-serif" w:hAnsi="Times New Roman;sans-serif"/>
          <w:b w:val="false"/>
          <w:color w:val="000000"/>
          <w:sz w:val="22"/>
          <w:shd w:fill="FFFFFF" w:val="clear"/>
        </w:rPr>
        <w:t xml:space="preserve">, (ii) a corresponding estimated liability with a balance of </w:t>
      </w:r>
      <w:r>
        <w:rPr>
          <w:rFonts w:ascii="Times New Roman;sans-serif" w:hAnsi="Times New Roman;sans-serif"/>
          <w:b w:val="false"/>
          <w:color w:val="000000"/>
          <w:sz w:val="22"/>
        </w:rPr>
        <w:t>$7.8 million</w:t>
      </w:r>
      <w:r>
        <w:rPr>
          <w:color w:val="000000"/>
          <w:shd w:fill="FFFFFF" w:val="clear"/>
        </w:rPr>
        <w:t xml:space="preserve"> </w:t>
      </w:r>
      <w:r>
        <w:rPr>
          <w:rFonts w:ascii="Times New Roman;sans-serif" w:hAnsi="Times New Roman;sans-serif"/>
          <w:b w:val="false"/>
          <w:color w:val="000000"/>
          <w:sz w:val="22"/>
          <w:shd w:fill="FFFFFF" w:val="clear"/>
        </w:rPr>
        <w:t>representing </w:t>
      </w:r>
      <w:r>
        <w:rPr>
          <w:rFonts w:ascii="Times New Roman;sans-serif" w:hAnsi="Times New Roman;sans-serif"/>
          <w:b w:val="false"/>
          <w:color w:val="000000"/>
          <w:sz w:val="22"/>
        </w:rPr>
        <w:t>85%</w:t>
      </w:r>
      <w:r>
        <w:rPr>
          <w:color w:val="000000"/>
          <w:shd w:fill="FFFFFF" w:val="clear"/>
        </w:rPr>
        <w:t xml:space="preserve"> </w:t>
      </w:r>
      <w:r>
        <w:rPr>
          <w:rFonts w:ascii="Times New Roman;sans-serif" w:hAnsi="Times New Roman;sans-serif"/>
          <w:b w:val="false"/>
          <w:color w:val="000000"/>
          <w:sz w:val="22"/>
          <w:shd w:fill="FFFFFF" w:val="clear"/>
        </w:rPr>
        <w:t xml:space="preserve">of the projected tax benefits to the TRA Owners; and (iii) </w:t>
      </w:r>
      <w:r>
        <w:rPr>
          <w:rFonts w:ascii="Times New Roman;sans-serif" w:hAnsi="Times New Roman;sans-serif"/>
          <w:b w:val="false"/>
          <w:color w:val="000000"/>
          <w:sz w:val="22"/>
        </w:rPr>
        <w:t>$1.0 million</w:t>
      </w:r>
      <w:r>
        <w:rPr>
          <w:color w:val="000000"/>
          <w:shd w:fill="FFFFFF" w:val="clear"/>
        </w:rPr>
        <w:t xml:space="preserve"> </w:t>
      </w:r>
      <w:r>
        <w:rPr>
          <w:rFonts w:ascii="Times New Roman;sans-serif" w:hAnsi="Times New Roman;sans-serif"/>
          <w:b w:val="false"/>
          <w:color w:val="000000"/>
          <w:sz w:val="22"/>
          <w:shd w:fill="FFFFFF" w:val="clear"/>
        </w:rPr>
        <w:t>of additional paid-in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10.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the ordinary course of business, the Company may be subject from time to time to various proceedings, lawsuits, disputes or claims. In addition, the Company is regularly audited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17, 2023, Plaintiff Tanisha Roberson filed a complaint against the Company in the United States District Court for Northern District of Illinois. The complaint alleged, on behalf of a putative class, that the Company's "Virtual Try On" feature violated the Illinois Biometric Information Privacy Act. The plaintiff sought statutory damages, injunctive relief, attorneys' fees and costs, and other unspecified damages. On April 21, 2023, following the plaintiff's filing of a voluntary motion for dismissal, the court dismissed the case. </w:t>
      </w:r>
    </w:p>
    <w:p>
      <w:pPr>
        <w:pStyle w:val="TextBody"/>
        <w:bidi w:val="0"/>
        <w:spacing w:before="0" w:after="2"/>
        <w:jc w:val="both"/>
        <w:rPr/>
      </w:pPr>
      <w:r>
        <w:rPr/>
      </w:r>
    </w:p>
    <w:p>
      <w:pPr>
        <w:pStyle w:val="TextBody"/>
        <w:bidi w:val="0"/>
        <w:spacing w:lineRule="auto" w:line="30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At this time, any liability related to the alleged claims is not currently probable or reasonably estimable.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before="7" w:after="16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2"/>
        </w:rPr>
      </w:pPr>
      <w:r>
        <w:rPr>
          <w:rFonts w:ascii="Times New Roman;sans-serif" w:hAnsi="Times New Roman;sans-serif"/>
          <w:b w:val="false"/>
          <w:i/>
          <w:color w:val="000000"/>
          <w:sz w:val="22"/>
        </w:rPr>
        <w:t>The following discussion and analysis of our financial condition and results of operations should be read in conjunction with the information presented in the unaudited condensed consolidated financial statements and related notes included elsewhere in this Quarterly Report on Form 10-Q, as well as our audited consolidated financial statements and related notes as disclosed in our 2022 Form 10-K filed with the SEC on March 21, 2023. In addition to historical information, the following discussion contains forward-looking statements, such as statements regarding our expectation for future performance,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Quarterly Report on Form 10-Q and Part I, Item 1A. "Risk Factors" in our 2022 Form 10-K. We assume no obligation to update any of these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Company Overview</w:t>
      </w:r>
    </w:p>
    <w:p>
      <w:pPr>
        <w:pStyle w:val="TextBody"/>
        <w:bidi w:val="0"/>
        <w:spacing w:before="0" w:after="2"/>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Brilliant Earth is an innovative, digital-first jewelry company, and a global leader in ethically sourced fine jewelry. We offer exclusive designs with superior craftsmanship and supply chain transparency, delivered to customers through a highly personalized omnichannel experience.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mission is to create a more transparent, sustainable, compassionate, and inclusive jewelry industry, and we are proud to offer customers distinctive and thoughtfully designed products that they can truly feel good about wearing.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As of March 31, 2023, Brilliant Earth has sold to consumers in over 50 countries.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Throughout our history, we have invested in technology to create a seamless customer experience, inform our data-driven decision-making, improve efficiencies, and advance our mission. Our technology enables dynamic product visualization, augmented reality try-on, blockchain-enabled transparency, and rapid fulfillment of our flagship Create Your Own product, a custom design process. We leverage powerful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have achieved strong financial performance and rapid growth since our founding, and believe we are in the early stages of realizing our potential in a significant market opportunity.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Below is a summary of our performance for the three months ended March 31, 2023:</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Net sales decreased 2.3% to $97.7 million compared to $100.0 million for the three months ended March 31,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Net loss of $0.4 million for the three months ended March 31, 2023, compared to net income of $3.4 million for the three months ended March 31,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Net (loss) income margin of (0.5)%, compared to 3.4% for the three months ended March 31,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Adjusted EBITDA of $5.5 million compared to $8.4 million for the three months ended March 31, 2022;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Adjusted EBITDA margin of 5.7%, compared to 8.4% for the three months ended March 31, 2022.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operate in one operating and reporting segment, the retail sale of diamonds, gemstones, and jewelry.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Key Factors Affecting Our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Our Ability to Increase Brand Awareness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U.S. and international markets.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Cost-Effective Acquisition of New Customers and Retention of Existing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in the product categories in which we operate,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acquisition will continue to drive fine jewelry orders from new customers and repeat orders from existing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Our Ability to Continue Successfully Growing and Managing our Omnichannel Presence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ability to successfully grow and manage our omnichannel presence in new markets and locations is an important factor our success. Historically, we have been successful in new geographic markets we have entered, and we are in the early stages of expanding our premium showroom footprint nationwide. We intend to continue leveraging our marketing strategy and growing brand awareness to drive increased qualified consumer traffic to and sales from our website and premium showrooms.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growing and managing our showrooms will drive accelerated growth by increasing our average order value ("AOV") compared to e-commerce orders, improving conversion in the showrooms' metro regions compared to pre-opening conversion, and raising our brand awareness. As of March 31, 2023, we have 28 showroom locations. We intend to strategically open showrooms in the future, and we believe we can achieve broad national showroom coverage with far fewer locations than many traditional retailers. We rely on this highly efficient showroom model to complement our digital strategy and to continue to drive growth and profitability.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Our Ability to Successfully Introduce New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International Expansion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in the early stages of expanding globally, and a larger geographic footprint will help drive future growth. Our early proof-points from localizing our website for Canada, Australia, and the United Kingdom, and our sales to customers from over 50 countries, provide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pStyle w:val="TextBody"/>
        <w:bidi w:val="0"/>
        <w:spacing w:before="0" w:after="0"/>
        <w:jc w:val="both"/>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Operational and Marketing Efficiency</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current assets less cash minus our current liabilities. Our showroom strategy avoids the inefficiencies of traditional, retail-first jewelers. Our showrooms are appointment-driven with large catchment regions, so we are less reliant on expensive high foot traffic retail locations. We also curate showroom inventory for scheduled visits and require limited inventory in each location. Our tech-enabled jewelry specialist team supports online customers when not in appointment, maximizing workforce utilization. As we continue to scale our business, our future success is dependent on maintaining this capital efficient operating model and driving continued operational improvement as we expand to new locations both in the U.S. and internationally.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Costs of Operating as a Public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costs of operating as a public company are significant. We are now subject to the reporting, listing, and compliance requirements of various governing bodies and applicable securities laws and regulations that we were previously not subjected to as a privately-held company. Since becoming a public company, compliance with rules and regulations has increased and may continue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of directors, our board committees, or as our executive officers will be critical to our future success.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Macroeconomic Trends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we are well-positioned at the intersection of key macro-level trends impacting our industry. Consumers are increasingly becoming more conscious of the products they purchase, seeking brands that stand for sustainability, supply chain transparency, and social and environmental responsibility. This has contributed to our strong brand affinity and loyalty, and further differentiates us from our competitors. Consumers are increasingly favoring seamless omnichannel shopping experiences, and we believe our model is well-suited to satisfy these consumer preferences. The current inflationary environment and changes in macro-level consumer spending trends, due to volatile macro-economic conditions could negatively impact our operating results.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2"/>
        </w:rPr>
      </w:pPr>
      <w:r>
        <w:rPr>
          <w:rFonts w:ascii="Times New Roman;sans-serif" w:hAnsi="Times New Roman;sans-serif"/>
          <w:b w:val="false"/>
          <w:i/>
          <w:color w:val="000000"/>
          <w:sz w:val="22"/>
        </w:rPr>
        <w:t>Seasonality</w:t>
      </w:r>
    </w:p>
    <w:p>
      <w:pPr>
        <w:pStyle w:val="TextBody"/>
        <w:bidi w:val="0"/>
        <w:spacing w:before="0" w:after="2"/>
        <w:jc w:val="left"/>
        <w:rPr/>
      </w:pPr>
      <w:r>
        <w:rPr/>
      </w:r>
    </w:p>
    <w:p>
      <w:pPr>
        <w:pStyle w:val="TextBody"/>
        <w:bidi w:val="0"/>
        <w:spacing w:lineRule="auto" w:line="288"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larger share of annual revenues and profits traditionally occur in the fourth quarter because it includes the November and December holiday sales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Components of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Net Sales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sales are recorded net of estimated sales returns and allowances and sales taxes collected from customers. Our net sales primarily consist of revenue from diamond, jewelry, and gemstone retail sales through our website and dedicated jewelry specialists via chat, phone, email, virtual appointment, or in our showrooms. Our net sales are derived primarily in the U.S., but we also sell products to customers outside the U.S. Our website platform allows us to sell to a worldwide customer base, even in markets where we do not have a physical presence. Payment for all our sales occurs prior to fulfillment. Customers pick up the items in our showrooms, or we deliver purchases to customers, with delivery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typically within one to two business days after shipment. We recognize revenue upon pick-up or delivery if an order is shipped. We also offer third-party financing options.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allow for certain returns within 30 days of when an order is available for shipment or pickup. We also provide one complimentary resizing for standard ring styles within 60 days of when an order is available for shipment or pickup, a lifetime manufacturing warranty (except on estate and vintage jewelry and center diamonds/gemstones), and a lifetime diamond upgrade program on all diamonds that meet certain criteria. We offer an extended protection plan through a third-party that has terms ranging from two years to lifetime that vary based on the item purchased.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Revenue is deferred on transactions where payment has been received from the customer, but control has not yet transferred. Revenue related to customer purchases of our in-house extended service plan are deferred and recognized ratably over the service plan term.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Cost of Sales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Cost of sales consists primarily of merchandise costs for the purchase of diamonds and gemstones from our global base of diamond and gemstone suppliers, and the cost of jewelry production from our third-party jewelry manufacturing suppliers. Cost of sales includes merchandise costs, inbound freight charges, costs of shipping orders to customers and certain fulfillment and inventory-related compensation costs. Our cost of sales includes reserves for disposal of obsolete, slow-moving or defective items, and shrinkage, which we estimate and record on a periodic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Selling, General and Administrative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Selling, general and administrative expenses consist primarily of marketing, advertising, and promotional expenses; payroll and related benefit costs for our employees, including equity-based compensation expense; merchant processing fees; certain facility-related costs; customer service; technology; and depreciation and amortization expenses, as well as professional fees and other general corporate expenses.</w:t>
      </w:r>
    </w:p>
    <w:p>
      <w:pPr>
        <w:pStyle w:val="TextBody"/>
        <w:bidi w:val="0"/>
        <w:spacing w:before="0" w:after="0"/>
        <w:jc w:val="both"/>
        <w:rPr/>
      </w:pPr>
      <w:r>
        <w:rPr/>
      </w:r>
    </w:p>
    <w:p>
      <w:pPr>
        <w:pStyle w:val="TextBody"/>
        <w:bidi w:val="0"/>
        <w:spacing w:lineRule="auto" w:line="300" w:before="0" w:after="2"/>
        <w:jc w:val="both"/>
        <w:rPr>
          <w:rFonts w:ascii="Times New Roman;sans-serif" w:hAnsi="Times New Roman;sans-serif"/>
          <w:b/>
          <w:i/>
          <w:color w:val="000000"/>
          <w:sz w:val="22"/>
        </w:rPr>
      </w:pPr>
      <w:r>
        <w:rPr>
          <w:rFonts w:ascii="Times New Roman;sans-serif" w:hAnsi="Times New Roman;sans-serif"/>
          <w:b/>
          <w:i/>
          <w:color w:val="000000"/>
          <w:sz w:val="22"/>
        </w:rPr>
        <w:t>Interest Expense</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Interest expense primarily consists of interest incurred under the Runway Term Loan Agreement and the SVB Credit Facility.</w:t>
      </w:r>
    </w:p>
    <w:p>
      <w:pPr>
        <w:pStyle w:val="TextBody"/>
        <w:bidi w:val="0"/>
        <w:spacing w:before="0" w:after="2"/>
        <w:jc w:val="both"/>
        <w:rPr/>
      </w:pPr>
      <w:r>
        <w:rPr/>
      </w:r>
    </w:p>
    <w:p>
      <w:pPr>
        <w:pStyle w:val="TextBody"/>
        <w:bidi w:val="0"/>
        <w:spacing w:lineRule="auto" w:line="300" w:before="0" w:after="2"/>
        <w:jc w:val="both"/>
        <w:rPr>
          <w:rFonts w:ascii="Times New Roman;sans-serif" w:hAnsi="Times New Roman;sans-serif"/>
          <w:b/>
          <w:i/>
          <w:color w:val="000000"/>
          <w:sz w:val="22"/>
        </w:rPr>
      </w:pPr>
      <w:r>
        <w:rPr>
          <w:rFonts w:ascii="Times New Roman;sans-serif" w:hAnsi="Times New Roman;sans-serif"/>
          <w:b/>
          <w:i/>
          <w:color w:val="000000"/>
          <w:sz w:val="22"/>
        </w:rPr>
        <w:t>Other Income (Expense), Net</w:t>
      </w:r>
    </w:p>
    <w:p>
      <w:pPr>
        <w:pStyle w:val="TextBody"/>
        <w:bidi w:val="0"/>
        <w:spacing w:lineRule="auto" w:line="288" w:before="16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Other income (expense), net consists primarily of interest income and other miscellaneous income and expenses such as losses on exchange rates on consumer payments.</w:t>
      </w:r>
    </w:p>
    <w:p>
      <w:pPr>
        <w:pStyle w:val="TextBody"/>
        <w:bidi w:val="0"/>
        <w:spacing w:before="0" w:after="2"/>
        <w:jc w:val="both"/>
        <w:rPr/>
      </w:pPr>
      <w:r>
        <w:rPr/>
      </w:r>
    </w:p>
    <w:p>
      <w:pPr>
        <w:pStyle w:val="TextBody"/>
        <w:bidi w:val="0"/>
        <w:spacing w:lineRule="auto" w:line="300" w:before="0" w:after="2"/>
        <w:jc w:val="both"/>
        <w:rPr>
          <w:rFonts w:ascii="Times New Roman;sans-serif" w:hAnsi="Times New Roman;sans-serif"/>
          <w:b/>
          <w:i/>
          <w:color w:val="000000"/>
          <w:sz w:val="22"/>
        </w:rPr>
      </w:pPr>
      <w:r>
        <w:rPr>
          <w:rFonts w:ascii="Times New Roman;sans-serif" w:hAnsi="Times New Roman;sans-serif"/>
          <w:b/>
          <w:i/>
          <w:color w:val="000000"/>
          <w:sz w:val="22"/>
        </w:rPr>
        <w:t>Income Tax Benefit (Expense)</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Income tax benefit (expense) represents the federal and state income or franchise taxes assessed on Brilliant Earth Group, Inc.'s share of taxable income (loss) for the period.</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lineRule="auto" w:line="288"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results of operations data in the following tables for the periods presented have been derived from the unaudited condensed consolidated financial statements included elsewhere in this Quarterly Report on Form 10-Q.</w:t>
      </w:r>
    </w:p>
    <w:p>
      <w:pPr>
        <w:pStyle w:val="TextBody"/>
        <w:bidi w:val="0"/>
        <w:spacing w:lineRule="auto" w:line="288" w:before="160" w:after="283"/>
        <w:jc w:val="both"/>
        <w:rPr>
          <w:rFonts w:ascii="Times New Roman;sans-serif" w:hAnsi="Times New Roman;sans-serif"/>
          <w:b/>
          <w:i/>
          <w:color w:val="000000"/>
          <w:sz w:val="22"/>
        </w:rPr>
      </w:pPr>
      <w:r>
        <w:rPr>
          <w:rFonts w:ascii="Times New Roman;sans-serif" w:hAnsi="Times New Roman;sans-serif"/>
          <w:b/>
          <w:i/>
          <w:color w:val="000000"/>
          <w:sz w:val="22"/>
        </w:rPr>
        <w:t>Comparison of Three Months Ended March 31, 2023 and 2022</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our statements of operations for the three months ended March 31, 2023 and 2022, including amounts and percentages of net sales for each period and the period-to-period change in dollars and percent (amounts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68"/>
        <w:gridCol w:w="704"/>
        <w:gridCol w:w="458"/>
        <w:gridCol w:w="211"/>
        <w:gridCol w:w="721"/>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1"/>
        <w:gridCol w:w="644"/>
        <w:gridCol w:w="109"/>
        <w:gridCol w:w="109"/>
        <w:gridCol w:w="109"/>
        <w:gridCol w:w="109"/>
        <w:gridCol w:w="372"/>
        <w:gridCol w:w="376"/>
        <w:gridCol w:w="475"/>
      </w:tblGrid>
      <w:tr>
        <w:trPr/>
        <w:tc>
          <w:tcPr>
            <w:tcW w:w="96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Period 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(1528.8)</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before tax</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allocable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allocable to Brilliant Earth Group,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may not sum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i/>
          <w:color w:val="000000"/>
          <w:sz w:val="22"/>
        </w:rPr>
      </w:pPr>
      <w:r>
        <w:rPr>
          <w:rFonts w:ascii="Times New Roman;sans-serif" w:hAnsi="Times New Roman;sans-serif"/>
          <w:b/>
          <w:i/>
          <w:color w:val="000000"/>
          <w:sz w:val="22"/>
        </w:rPr>
        <w:t>Net Sales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Net sales for the three months ended March 31, 2023 decreased by $2.3 million, or 2.3%, compared to the three months ended March 31, 2022. The decrease in net sales was comprised of a decrease of 11.3% in AOV, partially offset by an increase of 10.1% in order volumes. The decrease in AOV was driven by an increase in sales of lower price point fine jewelry and other products, and moderation in sales growth of products above the $10,000 price point. The increase of 10.1% in order volumes was due to:</w:t>
      </w:r>
    </w:p>
    <w:p>
      <w:pPr>
        <w:pStyle w:val="TextBody"/>
        <w:bidi w:val="0"/>
        <w:spacing w:before="0" w:after="2"/>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continued effectiveness of our customer acquisition and conversion activities;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strong omnichannel performance across the Company's products and new product collection releases;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opening of new showrooms </w:t>
      </w:r>
    </w:p>
    <w:p>
      <w:pPr>
        <w:pStyle w:val="TextBody"/>
        <w:bidi w:val="0"/>
        <w:spacing w:before="0" w:after="2"/>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Gross Profit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Gross profit for the three months ended March 31, 2023 increased by $3.6 million, or 7.1%, compared to the three months ended March 31, 2022. Gross margin, expressed as a percentage and calculated as gross profit divided by net sales, increased by 480 basis points for the three months ended March 31, 2023 compared to the three months ended March 31, 2022, primarily driven by our premium brand and differentiated product offerings, performance of our pricing engine, procurement efficiencies and benefits from our extended warranty program. Gross margin improvements were also due to a 3.8% reduction in average platinum spot prices, partially offset by an increase of 0.6% in average gold spot prices for the three months ended March 31, 2023 as compared to the three months ended March 31,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Selling, General and Administrative Expenses</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Selling, general and administrative expenses for the three months ended March 31, 2023 increased by $9.0 million, or 20.0%, compared to the three months ended March 31, 2022. Selling, general and administrative expenses as a percentage of net sales increased by 1,023 basis points for the three months ended March 31, 2023 compared to the three months ended March 31, 2022. The increase in selling, general and administrative expenses was driven by an increase in employment, marketing, and other general and administrative expenses, which increased by $3.0 million, $2.8 million, and $3.2 million, respectively, from the three months ended March 31, 2022 to the three months ended March 31, 2023.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employment expenses was driven by an increase in salaries and wages, equity-based compensation, payroll taxes and other benefits expense and the addition of corporate and showroom staff. The increase in marketing expenses was driven by increased investments in marketing and advertising to increase brand awareness and support strategic growth initiatives. The increase in other general and administrative expenses as a result of overall Company growth was principally driven by a $1.3 million increase in information technology and other software-related costs, a $1.3 million increase of pre-opening expenses from the opening of new showrooms, a $0.6 million increase in rent and lease related expenses, and a $0.6 million increase in depreciation, partially offset by a $0.6 million decrease in other general administrative expenses.</w:t>
      </w:r>
    </w:p>
    <w:p>
      <w:pPr>
        <w:pStyle w:val="TextBody"/>
        <w:bidi w:val="0"/>
        <w:spacing w:before="0" w:after="2"/>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Interest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Interest expense for the three months ended March 31, 2023 decreased by $0.6 million compared to the three months ended March 31, 2022, primarily due to a reduction in the interest rate pursuant to the SVB Credit Agreement executed on May 24, 2022 as compared to the interest rate pursuant to the Runway Term Loan Agreement. </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Key Metrics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our key performance indicators for the periods presented (amounts in thousands, except for total orders and AOV):</w:t>
      </w:r>
    </w:p>
    <w:p>
      <w:pPr>
        <w:pStyle w:val="TextBody"/>
        <w:bidi w:val="0"/>
        <w:spacing w:before="0" w:after="0"/>
        <w:jc w:val="left"/>
        <w:rPr/>
      </w:pPr>
      <w:r>
        <w:rPr/>
      </w:r>
    </w:p>
    <w:tbl>
      <w:tblPr>
        <w:tblW w:w="7207" w:type="dxa"/>
        <w:jc w:val="left"/>
        <w:tblInd w:w="0" w:type="dxa"/>
        <w:tblLayout w:type="fixed"/>
        <w:tblCellMar>
          <w:top w:w="28" w:type="dxa"/>
          <w:left w:w="28" w:type="dxa"/>
          <w:bottom w:w="28" w:type="dxa"/>
          <w:right w:w="28" w:type="dxa"/>
        </w:tblCellMar>
      </w:tblPr>
      <w:tblGrid>
        <w:gridCol w:w="408"/>
        <w:gridCol w:w="357"/>
        <w:gridCol w:w="360"/>
        <w:gridCol w:w="211"/>
        <w:gridCol w:w="721"/>
        <w:gridCol w:w="109"/>
        <w:gridCol w:w="109"/>
        <w:gridCol w:w="109"/>
        <w:gridCol w:w="109"/>
        <w:gridCol w:w="211"/>
        <w:gridCol w:w="826"/>
        <w:gridCol w:w="109"/>
        <w:gridCol w:w="109"/>
        <w:gridCol w:w="109"/>
        <w:gridCol w:w="109"/>
        <w:gridCol w:w="211"/>
        <w:gridCol w:w="541"/>
        <w:gridCol w:w="109"/>
        <w:gridCol w:w="109"/>
        <w:gridCol w:w="109"/>
        <w:gridCol w:w="109"/>
        <w:gridCol w:w="291"/>
        <w:gridCol w:w="294"/>
        <w:gridCol w:w="551"/>
        <w:gridCol w:w="109"/>
        <w:gridCol w:w="109"/>
        <w:gridCol w:w="109"/>
        <w:gridCol w:w="109"/>
        <w:gridCol w:w="109"/>
        <w:gridCol w:w="109"/>
        <w:gridCol w:w="109"/>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5"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5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AOV</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5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Net Sales</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Net sales is defined above in "</w:t>
      </w:r>
      <w:r>
        <w:rPr>
          <w:rFonts w:ascii="Times New Roman;sans-serif" w:hAnsi="Times New Roman;sans-serif"/>
          <w:b w:val="false"/>
          <w:i/>
          <w:color w:val="000000"/>
          <w:sz w:val="22"/>
        </w:rPr>
        <w:t>Components of Results of Operations".</w:t>
      </w:r>
    </w:p>
    <w:p>
      <w:pPr>
        <w:pStyle w:val="TextBody"/>
        <w:bidi w:val="0"/>
        <w:spacing w:before="0" w:after="2"/>
        <w:jc w:val="left"/>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Total Orders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pStyle w:val="TextBody"/>
        <w:bidi w:val="0"/>
        <w:spacing w:before="0" w:after="2"/>
        <w:jc w:val="both"/>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Average Order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2"/>
        </w:rPr>
      </w:pPr>
      <w:r>
        <w:rPr>
          <w:rFonts w:ascii="Times New Roman;sans-serif" w:hAnsi="Times New Roman;sans-serif"/>
          <w:b/>
          <w:color w:val="000000"/>
          <w:sz w:val="22"/>
        </w:rPr>
        <w:t>Non-GAAP Financial Measures</w:t>
      </w:r>
    </w:p>
    <w:p>
      <w:pPr>
        <w:pStyle w:val="TextBody"/>
        <w:bidi w:val="0"/>
        <w:spacing w:lineRule="auto" w:line="288"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Adjusted EBITDA and Adjusted EBITDA Margin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EBITDA and Adjusted EBITDA margin, which are non-GAAP financial measures, are included in this Quarterly Report on Form 10-Q because they are used by management and our board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directors to assess our financial performance. We define Adjusted EBITDA as net income excluding interest expense, income taxes, depreciation expense, amortization of cloud-based software implementation costs, equity-based compensation expense, showroom pre-opening 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income that may vary substantially in frequency and magnitude from period to period. These non-GAAP financial measures are not meant to be considered as indicators of performance in isolation from or as a substitute for net income prepared in accordance with GAAP and should be read only in conjunction with financial information presented on a GAAP basis. Reconciliations of each of Adjusted EBITDA and Adjusted EBITDA margin to its most directly comparable GAAP financial measure, net income and net income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a reconciliation of net income and net income margin, the most comparable GAAP financial measures, to Adjusted EBITDA and Adjusted EBITDA margin, respectively, for the periods presented (amounts in thousands):</w:t>
      </w:r>
    </w:p>
    <w:tbl>
      <w:tblPr>
        <w:tblW w:w="8043" w:type="dxa"/>
        <w:jc w:val="left"/>
        <w:tblInd w:w="0" w:type="dxa"/>
        <w:tblLayout w:type="fixed"/>
        <w:tblCellMar>
          <w:top w:w="28" w:type="dxa"/>
          <w:left w:w="28" w:type="dxa"/>
          <w:bottom w:w="28" w:type="dxa"/>
          <w:right w:w="28" w:type="dxa"/>
        </w:tblCellMar>
      </w:tblPr>
      <w:tblGrid>
        <w:gridCol w:w="1789"/>
        <w:gridCol w:w="1577"/>
        <w:gridCol w:w="1583"/>
        <w:gridCol w:w="211"/>
        <w:gridCol w:w="631"/>
        <w:gridCol w:w="301"/>
        <w:gridCol w:w="109"/>
        <w:gridCol w:w="109"/>
        <w:gridCol w:w="109"/>
        <w:gridCol w:w="211"/>
        <w:gridCol w:w="631"/>
        <w:gridCol w:w="301"/>
        <w:gridCol w:w="109"/>
        <w:gridCol w:w="109"/>
        <w:gridCol w:w="109"/>
        <w:gridCol w:w="154"/>
      </w:tblGrid>
      <w:tr>
        <w:trPr/>
        <w:tc>
          <w:tcPr>
            <w:tcW w:w="178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(440)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3,369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cloud-based software implementation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Showroom pre-opening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Other (income) expense, net </w:t>
            </w:r>
            <w:r>
              <w:rPr>
                <w:rFonts w:ascii="Times New Roman;sans-serif" w:hAnsi="Times New Roman;sans-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Transaction costs and other expense </w:t>
            </w:r>
            <w:r>
              <w:rPr>
                <w:rFonts w:ascii="Times New Roman;sans-serif" w:hAnsi="Times New Roman;sans-serif"/>
                <w:b w:val="false"/>
                <w:color w:val="000000"/>
                <w:sz w:val="13"/>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5,547</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8,374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margin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5.7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Other (income) expense, net consists primarily of interest and other miscellaneous income, partially offset by expenses such as losses on exchange rates on consumer payments.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These expenses are those that we did not incur in the normal course of business.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Overview</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primary requirements for liquidity and capital are for purchases of inventory, payment of operating expenses, tax distributions to LLC members, debt service, and capital expenditures. Historically, these cash requirements have been met through cash provided by operating activities,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cash equivalents, and borrowings under the Runway Term Loan Facility and the SVB Term Loan Facility. We have historically had negative working capital driven by our high inventory turns and typical collection of payment from customers prior to payment of suppliers. As of March 31, 2023, we had a cash balance, excluding restricted cash, of $146.0 million, and working capital, excluding non-restricted cash, of ($19.0) million.</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we have the SVB Term Loan Facility with a principal balance of $62.6 million, excluding unamortized debt issuance costs of $0.6 million, of which $59.3 million is classified as long-term.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three months ended March 31, 2023, the Company declared and paid $1.5 million of distributions to, or on behalf of, members associated with their estimated income tax obligations. We are committed to continue to make quarterly distributions in connection with member estimated income tax obligations which we expect to fund with cash flow from operations.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our current sources of liquidity, which include cash, and net cash provided by operating activities, will be sufficient to meet our projected operating, debt service, and tax distribution requirements for at least the next 12 months following the filing of this Quarterly Report on Form 10-Q.</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Additional future liquidity needs may include public company costs, payments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2"/>
        </w:rPr>
      </w:pPr>
      <w:r>
        <w:rPr>
          <w:rFonts w:ascii="Times New Roman;sans-serif" w:hAnsi="Times New Roman;sans-serif"/>
          <w:b/>
          <w:i/>
          <w:color w:val="000000"/>
          <w:sz w:val="22"/>
        </w:rPr>
        <w:t xml:space="preserve">Cash Flow Analysis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our cash flows for the three months ended March 31, 2023 and 2022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tbl>
      <w:tblPr>
        <w:tblW w:w="8141" w:type="dxa"/>
        <w:jc w:val="left"/>
        <w:tblInd w:w="0" w:type="dxa"/>
        <w:tblLayout w:type="fixed"/>
        <w:tblCellMar>
          <w:top w:w="28" w:type="dxa"/>
          <w:left w:w="28" w:type="dxa"/>
          <w:bottom w:w="28" w:type="dxa"/>
          <w:right w:w="28" w:type="dxa"/>
        </w:tblCellMar>
      </w:tblPr>
      <w:tblGrid>
        <w:gridCol w:w="1943"/>
        <w:gridCol w:w="1710"/>
        <w:gridCol w:w="1716"/>
        <w:gridCol w:w="217"/>
        <w:gridCol w:w="866"/>
        <w:gridCol w:w="112"/>
        <w:gridCol w:w="112"/>
        <w:gridCol w:w="112"/>
        <w:gridCol w:w="112"/>
        <w:gridCol w:w="217"/>
        <w:gridCol w:w="866"/>
        <w:gridCol w:w="158"/>
      </w:tblGrid>
      <w:tr>
        <w:trPr/>
        <w:tc>
          <w:tcPr>
            <w:tcW w:w="194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(8,677)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(7,975)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146,177</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165,095</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Net Cash (Used in) Provided by Operating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2023, net cash used in operating activities was $2.0 million compared to net cash provided by operating activities of $0.2 million for the three months ended March 31, 2022, a decrease of $2.2 million. This decrease was primarily driven by a decrease in net income of $3.8 million, partially offset by an increase of $0.9 million in non-cash expense addbacks, and an increase of $0.8 million from changes in assets and liabilities related to operating activities. The increase in non-cash expenses addbacks is primarily due to an increase of $1.2 million in equity-based compensation resulting from growth in the business, depreciation and non-cash operating lease cost, and offset by a $0.4 million decrease in amortization of debt issuance costs resulting from lower costs associated with the SVB credit facility and deferred tax benefit. The increase from change in assets and liabilities related to operating activities is primarily due to an increase of $6.8 million in inventories, prepaid expenses and other current assets and other assets, offset by $6.0 million decrease in deferred revenue, accounts payable, accrued expenses and other current liabilities and operating lease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Net Cash Used In Investing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2023, net cash used in investing activities was $4.4 million compared to $1.3 million for the three months ended March 31, 2022. The increase of $3.1 million was principally due to an increase in purchases of purchases of property and equipment related to new facilities leased during the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Net Cash Used In Financing Activities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2023, net cash used in financing activities was $2.3 million compared to $6.9 million for the three months ended March 31, 2023. The decrease of $4.6 million was primarily due to lower tax distributions paid to members pursuant to the LLC Agreement of $5.4 million, partially offset by $0.8 million paid on the SVB Term Loan Facility.</w:t>
      </w:r>
    </w:p>
    <w:p>
      <w:pPr>
        <w:pStyle w:val="TextBody"/>
        <w:bidi w:val="0"/>
        <w:spacing w:before="0" w:after="2"/>
        <w:jc w:val="both"/>
        <w:rPr/>
      </w:pPr>
      <w:r>
        <w:rPr/>
      </w:r>
    </w:p>
    <w:p>
      <w:pPr>
        <w:pStyle w:val="TextBody"/>
        <w:bidi w:val="0"/>
        <w:spacing w:lineRule="auto" w:line="300" w:before="0" w:after="2"/>
        <w:jc w:val="left"/>
        <w:rPr>
          <w:rFonts w:ascii="Times New Roman;sans-serif" w:hAnsi="Times New Roman;sans-serif"/>
          <w:b/>
          <w:i/>
          <w:color w:val="000000"/>
          <w:sz w:val="22"/>
        </w:rPr>
      </w:pPr>
      <w:r>
        <w:rPr>
          <w:rFonts w:ascii="Times New Roman;sans-serif" w:hAnsi="Times New Roman;sans-serif"/>
          <w:b/>
          <w:i/>
          <w:color w:val="000000"/>
          <w:sz w:val="22"/>
        </w:rPr>
        <w:t>Silicon Valley Bank Credit Facilities</w:t>
      </w:r>
    </w:p>
    <w:p>
      <w:pPr>
        <w:pStyle w:val="TextBody"/>
        <w:bidi w:val="0"/>
        <w:spacing w:before="0" w:after="0"/>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May 24, 2022, Brilliant Earth, LLC, as borrower, and Silicon Valley Bank, as administrative agent and collateral agent for the lenders, entered into a SVB Credit Agreement, which provides for a secured SVB Term Facility of $65.0 million and a secured SVB Revolving Credit Facility in an amount of up to $40.0 million. See Note 7. "Debt" to our unaudited condensed consolidated financial statements included elsewhere in this Quarterly Report on Form 10-Q. As of March 31, 2023, there are no amounts outstanding under the SVB Revolving Credit Facility.</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March 10, 2023, SVB was closed by the California Department of Financial Protection and Innovation, and the Federal Deposit Insurance Corporation ("FDIC") was appointed as receiver. On March 14, 2023, the FDIC announced the establishment of Silicon Valley Bridge Bank, N.A., which assumed the deposits and obligations of SVB. On March 26, 2023, the FDIC announced that it had entered into a purchase and assumption agreement with First-Citizens Bank &amp; Trust Company, Raleigh, North Carolina ("First Citizens") under which all deposits and loans of SVB were assumed by First Citizens. Based on this announcement, we expect that First Citizens will continue to service the SVB Credit Facilities going forward.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i/>
          <w:color w:val="000000"/>
          <w:sz w:val="22"/>
        </w:rPr>
      </w:pPr>
      <w:r>
        <w:rPr>
          <w:rFonts w:ascii="Times New Roman;sans-serif" w:hAnsi="Times New Roman;sans-serif"/>
          <w:b/>
          <w:i/>
          <w:color w:val="000000"/>
          <w:sz w:val="22"/>
        </w:rPr>
        <w:t>Additional Liquidity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a holding company and have no material assets other than our ownership of LLC Interests. We have no independent means of generating revenue. The Brilliant Earth LLC Agreement in effect since the time of the IPO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Regarding the ability of Brilliant Earth, LLC to make distributions to us, the terms of their financing arrangements, including the SVB Credit Facilities,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In addition, under the TRA, we are required to make cash payments to the Continuing Equity Owners equal to </w:t>
      </w:r>
      <w:r>
        <w:rPr>
          <w:rFonts w:ascii="Times New Roman;sans-serif" w:hAnsi="Times New Roman;sans-serif"/>
          <w:b w:val="false"/>
          <w:color w:val="000000"/>
          <w:sz w:val="22"/>
          <w:shd w:fill="FFFFFF" w:val="clear"/>
        </w:rPr>
        <w:t>85%</w:t>
      </w:r>
      <w:r>
        <w:rPr>
          <w:color w:val="000000"/>
        </w:rPr>
        <w:t xml:space="preserve"> </w:t>
      </w:r>
      <w:r>
        <w:rPr>
          <w:rFonts w:ascii="Times New Roman;sans-serif" w:hAnsi="Times New Roman;sans-serif"/>
          <w:b w:val="false"/>
          <w:color w:val="000000"/>
          <w:sz w:val="22"/>
        </w:rPr>
        <w:t>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the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before="0" w:after="2"/>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changes to the Company's critical accounting policies and estimates from those described under "Critical Accounting Policies and Estimates" in the Management's Discussion and Analysis of Financial Condition and Results of Operations of our 2022 Form 10-K.</w:t>
      </w:r>
    </w:p>
    <w:p>
      <w:pPr>
        <w:pStyle w:val="TextBody"/>
        <w:bidi w:val="0"/>
        <w:spacing w:before="0" w:after="2"/>
        <w:jc w:val="left"/>
        <w:rPr/>
      </w:pPr>
      <w:r>
        <w:rPr/>
      </w:r>
    </w:p>
    <w:p>
      <w:pPr>
        <w:pStyle w:val="TextBody"/>
        <w:bidi w:val="0"/>
        <w:spacing w:lineRule="auto" w:line="300" w:before="0" w:after="2"/>
        <w:jc w:val="both"/>
        <w:rPr>
          <w:rFonts w:ascii="Times New Roman;sans-serif" w:hAnsi="Times New Roman;sans-serif"/>
          <w:b/>
          <w:color w:val="000000"/>
          <w:sz w:val="22"/>
        </w:rPr>
      </w:pPr>
      <w:r>
        <w:rPr>
          <w:rFonts w:ascii="Times New Roman;sans-serif" w:hAnsi="Times New Roman;sans-serif"/>
          <w:b/>
          <w:color w:val="000000"/>
          <w:sz w:val="22"/>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For information regarding recent accounting pronouncements, see Note 1</w:t>
      </w:r>
      <w:r>
        <w:rPr>
          <w:color w:val="000000"/>
        </w:rPr>
        <w:t xml:space="preserve"> </w:t>
      </w:r>
      <w:r>
        <w:rPr>
          <w:rFonts w:ascii="Times New Roman;sans-serif" w:hAnsi="Times New Roman;sans-serif"/>
          <w:b w:val="false"/>
          <w:color w:val="000000"/>
          <w:sz w:val="22"/>
        </w:rPr>
        <w:t>to our unaudited condensed consolidated financial statements and related notes thereto included elsewhere in this Quarterly Report on Form 10-Q.</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JOBS 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consolidated financial statements may not be comparable to companies that comply with new or revised accounting pronouncements as of public company effective dates.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$1.235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$1.07 billion in non-convertible debt during the prior three-year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a smaller reporting company as defined by Rule 12b-2 of the Securities Exchange Act of 1934 and are not required to provide the information under this item.</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before="0" w:after="2"/>
        <w:jc w:val="left"/>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Limitations on effectiveness of control and procedures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relative to their costs. </w:t>
      </w:r>
    </w:p>
    <w:p>
      <w:pPr>
        <w:pStyle w:val="TextBody"/>
        <w:bidi w:val="0"/>
        <w:spacing w:before="0" w:after="2"/>
        <w:jc w:val="both"/>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Evaluation of disclosure controls and procedures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March 31, 2023, our disclosure controls and procedures were effective at the reasonable assurance level. </w:t>
      </w:r>
    </w:p>
    <w:p>
      <w:pPr>
        <w:pStyle w:val="TextBody"/>
        <w:bidi w:val="0"/>
        <w:spacing w:before="0" w:after="2"/>
        <w:jc w:val="both"/>
        <w:rPr/>
      </w:pPr>
      <w:r>
        <w:rPr/>
      </w:r>
    </w:p>
    <w:p>
      <w:pPr>
        <w:pStyle w:val="TextBody"/>
        <w:bidi w:val="0"/>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were no changes in our internal control over financial reporting (as defined in Rules 13a-15(f) and 15d-15(f) under the Exchange Act) during the quarter ended March 31, 2023 that have materially affected, or are reasonably likely to materially affect, our internal control over financial reporting.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Part II - Other Information</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before="0" w:after="0"/>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pStyle w:val="TextBody"/>
        <w:bidi w:val="0"/>
        <w:spacing w:before="0" w:after="0"/>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17, 2023, Plaintiff Tanisha Roberson filed a complaint against the Company in the United States District Court for Northern District of Illinois. The complaint alleged, on behalf of a putative class, that the Company's "Virtual Try On" feature violated the Illinois Biometric Information Privacy Act. The plaintiff sought statutory damages, injunctive relief, attorneys' fees and costs, and other unspecified damages. On April 21, 2023, following the plaintiff's filing of a voluntary motion for dismissal, the court dismissed the case. </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At this time, any liability related to the alleged claims is not currently probable or reasonably estimable.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risk factors are described in Part I, Item 1A, "Risk Factors" of our 2022 Form 10-K.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There have been no material changes to our risk factors as previously disclosed in our 2022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3. Defaults Upon Senior Securities</w:t>
      </w:r>
    </w:p>
    <w:p>
      <w:pPr>
        <w:pStyle w:val="TextBody"/>
        <w:bidi w:val="0"/>
        <w:spacing w:before="0" w:after="2"/>
        <w:jc w:val="left"/>
        <w:rPr/>
      </w:pPr>
      <w:r>
        <w:rPr/>
      </w:r>
    </w:p>
    <w:p>
      <w:pPr>
        <w:pStyle w:val="TextBody"/>
        <w:bidi w:val="0"/>
        <w:spacing w:lineRule="auto" w:line="288"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before="0" w:after="2"/>
        <w:jc w:val="left"/>
        <w:rPr/>
      </w:pPr>
      <w:r>
        <w:rPr/>
      </w:r>
    </w:p>
    <w:p>
      <w:pPr>
        <w:pStyle w:val="TextBody"/>
        <w:bidi w:val="0"/>
        <w:spacing w:lineRule="auto" w:line="288"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before="0" w:after="2"/>
        <w:jc w:val="left"/>
        <w:rPr/>
      </w:pPr>
      <w:r>
        <w:rPr/>
      </w:r>
    </w:p>
    <w:p>
      <w:pPr>
        <w:pStyle w:val="TextBody"/>
        <w:bidi w:val="0"/>
        <w:spacing w:lineRule="auto" w:line="288"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lineRule="auto" w:line="300" w:before="0" w:after="0"/>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329"/>
        <w:gridCol w:w="290"/>
        <w:gridCol w:w="291"/>
        <w:gridCol w:w="1898"/>
        <w:gridCol w:w="1790"/>
        <w:gridCol w:w="1798"/>
        <w:gridCol w:w="165"/>
        <w:gridCol w:w="165"/>
        <w:gridCol w:w="160"/>
        <w:gridCol w:w="249"/>
        <w:gridCol w:w="249"/>
        <w:gridCol w:w="187"/>
        <w:gridCol w:w="205"/>
        <w:gridCol w:w="205"/>
        <w:gridCol w:w="206"/>
        <w:gridCol w:w="217"/>
        <w:gridCol w:w="217"/>
        <w:gridCol w:w="218"/>
        <w:gridCol w:w="396"/>
        <w:gridCol w:w="396"/>
        <w:gridCol w:w="574"/>
      </w:tblGrid>
      <w:tr>
        <w:trPr/>
        <w:tc>
          <w:tcPr>
            <w:tcW w:w="3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12"/>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Incorporated by Reference</w:t>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 Furnished Herewith</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Number</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Description</w:t>
            </w:r>
          </w:p>
        </w:tc>
        <w:tc>
          <w:tcPr>
            <w:tcW w:w="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w:t>
            </w:r>
          </w:p>
        </w:tc>
        <w:tc>
          <w:tcPr>
            <w:tcW w:w="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 No.</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w:t>
            </w:r>
          </w:p>
        </w:tc>
        <w:tc>
          <w:tcPr>
            <w:tcW w:w="6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Filing Date</w:t>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54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ans-serif" w:hAnsi="Times New Roman;sans-serif"/>
                  <w:b w:val="false"/>
                  <w:color w:val="0000FF"/>
                  <w:sz w:val="16"/>
                  <w:u w:val="single"/>
                </w:rPr>
                <w:t>Amended and Restated Certificate of Incorporation of Brilliant Earth Group, Inc.</w:t>
              </w:r>
            </w:hyperlink>
          </w:p>
        </w:tc>
        <w:tc>
          <w:tcPr>
            <w:tcW w:w="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6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ans-serif" w:hAnsi="Times New Roman;sans-serif"/>
                  <w:b w:val="false"/>
                  <w:color w:val="0000FF"/>
                  <w:sz w:val="16"/>
                  <w:u w:val="single"/>
                </w:rPr>
                <w:t>Amended and Restated Bylaws of Brilliant Earth Group, Inc.</w:t>
              </w:r>
            </w:hyperlink>
          </w:p>
        </w:tc>
        <w:tc>
          <w:tcPr>
            <w:tcW w:w="49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6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ans-serif" w:hAnsi="Times New Roman;sans-serif"/>
                  <w:b w:val="false"/>
                  <w:color w:val="0000FF"/>
                  <w:sz w:val="16"/>
                  <w:u w:val="single"/>
                </w:rPr>
                <w:t>Specimen Stock Certificate evidencing shares of Class A Common Stock</w:t>
              </w:r>
            </w:hyperlink>
          </w:p>
        </w:tc>
        <w:tc>
          <w:tcPr>
            <w:tcW w:w="49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6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6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ans-serif" w:hAnsi="Times New Roman;sans-serif"/>
                <w:b w:val="false"/>
                <w:color w:val="000000"/>
                <w:sz w:val="16"/>
              </w:rPr>
              <w:t>10.1</w:t>
            </w:r>
            <w:r>
              <w:rPr>
                <w:rFonts w:ascii="Times New Roman;sans-serif" w:hAnsi="Times New Roman;sans-serif"/>
                <w:b w:val="false"/>
                <w:color w:val="000000"/>
                <w:sz w:val="10"/>
              </w:rPr>
              <w:t>#</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101conformed510exec.htm">
              <w:r>
                <w:rPr>
                  <w:rStyle w:val="InternetLink"/>
                  <w:rFonts w:ascii="Times New Roman;sans-serif" w:hAnsi="Times New Roman;sans-serif"/>
                  <w:b w:val="false"/>
                  <w:color w:val="0000FF"/>
                  <w:sz w:val="16"/>
                  <w:u w:val="single"/>
                </w:rPr>
                <w:t xml:space="preserve">Employment Agreement dated as of May 10, 2023 by and between Beth Gerstein and Brilliant Earth Group, Inc. </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ans-serif" w:hAnsi="Times New Roman;sans-serif"/>
                <w:b w:val="false"/>
                <w:color w:val="000000"/>
                <w:sz w:val="16"/>
              </w:rPr>
              <w:t>10.2</w:t>
            </w:r>
            <w:r>
              <w:rPr>
                <w:rFonts w:ascii="Times New Roman;sans-serif" w:hAnsi="Times New Roman;sans-serif"/>
                <w:b w:val="false"/>
                <w:color w:val="000000"/>
                <w:sz w:val="10"/>
              </w:rPr>
              <w:t>#</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102conformedesgexec.htm">
              <w:r>
                <w:rPr>
                  <w:rStyle w:val="InternetLink"/>
                  <w:rFonts w:ascii="Times New Roman;sans-serif" w:hAnsi="Times New Roman;sans-serif"/>
                  <w:b w:val="false"/>
                  <w:color w:val="0000FF"/>
                  <w:sz w:val="16"/>
                  <w:u w:val="single"/>
                </w:rPr>
                <w:t>Employment Agreement dated as of May 10, 2023 by and between Eric Grossberg and Brilliant Earth Group, Inc.</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ans-serif" w:hAnsi="Times New Roman;sans-serif"/>
                <w:b w:val="false"/>
                <w:color w:val="000000"/>
                <w:sz w:val="16"/>
              </w:rPr>
              <w:t>10.3</w:t>
            </w:r>
            <w:r>
              <w:rPr>
                <w:rFonts w:ascii="Times New Roman;sans-serif" w:hAnsi="Times New Roman;sans-serif"/>
                <w:b w:val="false"/>
                <w:color w:val="000000"/>
                <w:sz w:val="10"/>
              </w:rPr>
              <w:t>#</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103conformedkuoexec.htm">
              <w:r>
                <w:rPr>
                  <w:rStyle w:val="InternetLink"/>
                  <w:rFonts w:ascii="Times New Roman;sans-serif" w:hAnsi="Times New Roman;sans-serif"/>
                  <w:b w:val="false"/>
                  <w:color w:val="0000FF"/>
                  <w:sz w:val="16"/>
                  <w:u w:val="single"/>
                </w:rPr>
                <w:t>Employment Agreement dated as of May 10, 2023 by and between Jeffrey Kuo and Brilliant Earth Group, Inc.</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11brlt-certifi.htm">
              <w:r>
                <w:rPr>
                  <w:rStyle w:val="InternetLink"/>
                  <w:rFonts w:ascii="Times New Roman;sans-serif" w:hAnsi="Times New Roman;sans-serif"/>
                  <w:b w:val="false"/>
                  <w:color w:val="0000FF"/>
                  <w:sz w:val="16"/>
                  <w:u w:val="single"/>
                </w:rPr>
                <w:t>Certification of Chief Executive Officer pursuant to Rule 13a-14(a)/15d-14(a).</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12brlt-certifi.htm">
              <w:r>
                <w:rPr>
                  <w:rStyle w:val="InternetLink"/>
                  <w:rFonts w:ascii="Times New Roman;sans-serif" w:hAnsi="Times New Roman;sans-serif"/>
                  <w:b w:val="false"/>
                  <w:color w:val="0000FF"/>
                  <w:sz w:val="16"/>
                  <w:u w:val="single"/>
                </w:rPr>
                <w:t>Certification of Chief Financial Officer pursuant to Rule 13a-14(a)/15d-14(a).</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21brlt-certifi.htm">
              <w:r>
                <w:rPr>
                  <w:rStyle w:val="InternetLink"/>
                  <w:rFonts w:ascii="Times New Roman;sans-serif" w:hAnsi="Times New Roman;sans-serif"/>
                  <w:b w:val="false"/>
                  <w:color w:val="000080"/>
                  <w:sz w:val="16"/>
                  <w:u w:val="single"/>
                </w:rPr>
                <w:t>Certificati</w:t>
              </w:r>
            </w:hyperlink>
            <w:hyperlink w:anchor="conformedex321brlt-certifi.htm">
              <w:r>
                <w:rPr>
                  <w:rStyle w:val="InternetLink"/>
                  <w:rFonts w:ascii="Times New Roman;sans-serif" w:hAnsi="Times New Roman;sans-serif"/>
                  <w:b w:val="false"/>
                  <w:color w:val="000080"/>
                  <w:sz w:val="16"/>
                  <w:u w:val="single"/>
                </w:rPr>
                <w:t>on of Chief Executive Officer pursuant to 18 U.S.C. Section 1350.</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22brlt-certifi.htm">
              <w:r>
                <w:rPr>
                  <w:rStyle w:val="InternetLink"/>
                  <w:rFonts w:ascii="Times New Roman;sans-serif" w:hAnsi="Times New Roman;sans-serif"/>
                  <w:b w:val="false"/>
                  <w:color w:val="0000FF"/>
                  <w:sz w:val="16"/>
                  <w:u w:val="single"/>
                </w:rPr>
                <w:t>Certification of Chief Financial Officer pursuant to 18 U.S.C. Section 1350.</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Furnished herewith.</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Indicates a management or compensatory plan.</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lineRule="auto" w:line="300" w:before="0" w:after="2"/>
        <w:jc w:val="left"/>
        <w:rPr/>
      </w:pPr>
      <w:hyperlink w:anchor="if104746ca9724bbaae972662b739fad6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Act of 1934, the registrant has duly caused this report to be signed on its behalf by the undersigned, thereunto duly authorized.</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Brilliant Earth Group, Inc.</w:t>
      </w:r>
    </w:p>
    <w:p>
      <w:pPr>
        <w:pStyle w:val="TextBody"/>
        <w:bidi w:val="0"/>
        <w:spacing w:before="0" w:after="2"/>
        <w:jc w:val="left"/>
        <w:rPr/>
      </w:pPr>
      <w:r>
        <w:rPr/>
      </w:r>
    </w:p>
    <w:p>
      <w:pPr>
        <w:pStyle w:val="TextBody"/>
        <w:bidi w:val="0"/>
        <w:spacing w:lineRule="auto" w:line="276" w:before="0" w:after="2"/>
        <w:ind w:left="0" w:right="0" w:hanging="1440"/>
        <w:jc w:val="left"/>
        <w:rPr/>
      </w:pPr>
      <w:r>
        <w:rPr>
          <w:color w:val="000000"/>
        </w:rPr>
        <w:t>                </w:t>
      </w:r>
      <w:r>
        <w:rPr>
          <w:rFonts w:ascii="Times New Roman;sans-serif" w:hAnsi="Times New Roman;sans-serif"/>
          <w:b w:val="false"/>
          <w:color w:val="000000"/>
          <w:sz w:val="22"/>
          <w:u w:val="single"/>
        </w:rPr>
        <w:t xml:space="preserve">By: /s/ Jeffrey Kuo </w:t>
      </w:r>
    </w:p>
    <w:p>
      <w:pPr>
        <w:pStyle w:val="TextBody"/>
        <w:bidi w:val="0"/>
        <w:spacing w:lineRule="auto" w:line="276"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Jeffrey Kuo </w:t>
      </w:r>
    </w:p>
    <w:p>
      <w:pPr>
        <w:pStyle w:val="TextBody"/>
        <w:bidi w:val="0"/>
        <w:spacing w:lineRule="auto" w:line="276"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Date: May 11, 2023</w:t>
      </w:r>
    </w:p>
    <w:p>
      <w:pPr>
        <w:pStyle w:val="TextBody"/>
        <w:bidi w:val="0"/>
        <w:spacing w:lineRule="auto" w:line="300" w:before="0" w:after="2"/>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(Principal Financial Officer and </w:t>
      </w:r>
    </w:p>
    <w:p>
      <w:pPr>
        <w:pStyle w:val="TextBody"/>
        <w:bidi w:val="0"/>
        <w:spacing w:lineRule="auto" w:line="300" w:before="0" w:after="2"/>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Principal Accounting Officer) </w:t>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BRILLIANT EARTH GROUP,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EMPLOYMENT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Employment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entered into effective as of May 10,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is between Beth Gerstein (“</w:t>
      </w:r>
      <w:r>
        <w:rPr>
          <w:rFonts w:ascii="Times New Roman;sans-serif" w:hAnsi="Times New Roman;sans-serif"/>
          <w:b/>
          <w:i/>
          <w:color w:val="000000"/>
          <w:sz w:val="24"/>
        </w:rPr>
        <w:t>Executive</w:t>
      </w:r>
      <w:r>
        <w:rPr>
          <w:color w:val="000000"/>
        </w:rPr>
        <w:t>”</w:t>
      </w:r>
      <w:r>
        <w:rPr>
          <w:rFonts w:ascii="Times New Roman;sans-serif" w:hAnsi="Times New Roman;sans-serif"/>
          <w:b w:val="false"/>
          <w:color w:val="000000"/>
          <w:sz w:val="24"/>
        </w:rPr>
        <w:t>) and Brilliant Earth Group, Inc., a Delaware corporation (“</w:t>
      </w:r>
      <w:r>
        <w:rPr>
          <w:rFonts w:ascii="Times New Roman;sans-serif" w:hAnsi="Times New Roman;sans-serif"/>
          <w:b/>
          <w:i/>
          <w:color w:val="000000"/>
          <w:sz w:val="24"/>
        </w:rPr>
        <w:t>Group</w:t>
      </w:r>
      <w:r>
        <w:rPr>
          <w:color w:val="000000"/>
        </w:rPr>
        <w:t xml:space="preserve">” </w:t>
      </w:r>
      <w:r>
        <w:rPr>
          <w:rFonts w:ascii="Times New Roman;sans-serif" w:hAnsi="Times New Roman;sans-serif"/>
          <w:b w:val="false"/>
          <w:color w:val="000000"/>
          <w:sz w:val="24"/>
        </w:rPr>
        <w:t>and, together with any subsidiary or affiliate of Group that employs Executive,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This Agreement supersedes in its entirety that certain offer letter between Executive and the Company dated as of September 22, 2021 (“</w:t>
      </w:r>
      <w:r>
        <w:rPr>
          <w:rFonts w:ascii="Times New Roman;sans-serif" w:hAnsi="Times New Roman;sans-serif"/>
          <w:b/>
          <w:i/>
          <w:color w:val="000000"/>
          <w:sz w:val="24"/>
        </w:rPr>
        <w:t>Offer Letter</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the Company desires to assure itself of the continued services of Executive by continuing to engage Executive to perform services as an employee of the Company under the terms hereof; </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Executive desires to provide continued services to the Company on the terms herein provided; and</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the Company and Executive desire to execute this Agreement to supersede the Offer Letter in its entirety and reflect certain changes to Executive’s employment with the Company effective as of the Effective Date. </w:t>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and for other good and valuable consideration, including the respective covenants and agreements set forth below, the receipt and sufficiency of which are hereby acknowledged, the Company and Executive hereto agree as follows:</w:t>
      </w:r>
    </w:p>
    <w:p>
      <w:pPr>
        <w:pStyle w:val="TextBody"/>
        <w:bidi w:val="0"/>
        <w:spacing w:lineRule="auto" w:line="240" w:before="0" w:after="240"/>
        <w:ind w:left="0" w:right="0" w:firstLine="720"/>
        <w:jc w:val="left"/>
        <w:rPr/>
      </w:pPr>
      <w:r>
        <w:rPr>
          <w:rFonts w:ascii="Times New Roman;sans-serif" w:hAnsi="Times New Roman;sans-serif"/>
          <w:b/>
          <w:color w:val="000000"/>
          <w:sz w:val="24"/>
        </w:rPr>
        <w:t>1.</w:t>
      </w:r>
      <w:r>
        <w:rPr>
          <w:rFonts w:ascii="Times New Roman;sans-serif" w:hAnsi="Times New Roman;sans-serif"/>
          <w:b/>
          <w:color w:val="000000"/>
          <w:sz w:val="24"/>
        </w:rPr>
        <w:t>Employment.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The Company shall employ Executive upon the terms and conditions provided herein effective as of the Effective Date.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Position and Duties</w:t>
      </w:r>
      <w:r>
        <w:rPr>
          <w:rFonts w:ascii="Times New Roman;sans-serif" w:hAnsi="Times New Roman;sans-serif"/>
          <w:b w:val="false"/>
          <w:color w:val="000000"/>
          <w:sz w:val="24"/>
        </w:rPr>
        <w:t>. Effective as of the Effective Date, Executive: (i) shall continue to serve as the Company’s Chief Executive Officer, with responsibilities, duties, and authority usual and customary for such position, subject to direction by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xml:space="preserve">); (ii) shall continue to report directly to the Board; and (iii) agrees promptly and faithfully to comply with all present and future policies, requirements, rules and regulations, and reasonable directions and requests, of the Company in connection with the Company’s business. At the Company’s request, Executive shall serve the Company and/or its subsidiaries and affiliates in such other capacities in addition to the foregoing as the Company shall designate, provided that such additional capacities are consistent with Executive’s position as the Company’s Chief Executive Officer. As of the Effective Date, Executive shall continue to serve as a member of the Board. In the event that Executive serves in any one or more of such additional capacities, Executive’s compensation shall not automatically be increased on account of such additional service. </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Principal Office</w:t>
      </w:r>
      <w:r>
        <w:rPr>
          <w:rFonts w:ascii="Times New Roman;sans-serif" w:hAnsi="Times New Roman;sans-serif"/>
          <w:b w:val="false"/>
          <w:color w:val="000000"/>
          <w:sz w:val="24"/>
        </w:rPr>
        <w:t>. Executive shall continue to perform services for the Company at the Company’s offices located in San Francisco, California, or, with the Company’s consent, at any other place in connection with the fulfillment of Executive’s role with the Company; provided, however, that the Company may from time to time require Executive to travel temporarily to other locations in connection with the Company’s business.</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Exclusivity</w:t>
      </w:r>
      <w:r>
        <w:rPr>
          <w:rFonts w:ascii="Times New Roman;sans-serif" w:hAnsi="Times New Roman;sans-serif"/>
          <w:b w:val="false"/>
          <w:color w:val="000000"/>
          <w:sz w:val="24"/>
        </w:rPr>
        <w:t xml:space="preserve">. Except with the prior written approval of the Board (which the Board may grant or withhold in the Board’s sole and absolute discretion), Executive shall </w:t>
      </w:r>
    </w:p>
    <w:p>
      <w:pPr>
        <w:pStyle w:val="TextBody"/>
        <w:bidi w:val="0"/>
        <w:spacing w:before="0" w:after="24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44500"/>
                <wp:effectExtent l="0" t="0" r="0" b="0"/>
                <wp:wrapNone/>
                <wp:docPr id="42" name="Frame42"/>
                <a:graphic xmlns:a="http://schemas.openxmlformats.org/drawingml/2006/main">
                  <a:graphicData uri="http://schemas.microsoft.com/office/word/2010/wordprocessingShape">
                    <wps:wsp>
                      <wps:cNvSpPr txBox="1"/>
                      <wps:spPr>
                        <a:xfrm>
                          <a:off x="0" y="0"/>
                          <a:ext cx="6480175" cy="444500"/>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devote Executive’s best efforts and full working time, attention, and energies to the business of the Company, except during any paid vacation or other excused absence periods. Notwithstanding the foregoing, Executive may, without violating this Section 1(d), (i) as a passive investment, own publicly traded securities in such form or manner as will not require any services by Executive in the operation of the entities in which such securities are owned; (ii) engage in charitable and civic activities; or (iii) engage in other personal passive investment activities, in each case, so long as such interests or activities do not materially interfere to the extent such activities do not, individually or in the aggregate, interfere with or otherwise prevent the performance of Executive’s duties and responsibilities hereunder. Executive may also serve as a member of the board of directors or board of advisors of another organization provided (i) such organization is not a competitor of the Company; (ii) Executive receives prior written approval from the Board; and (iii) such activities do not individually or in the aggregate interfere with the performance of Executive’s duties under this Agreement, violate the Company’s standards of conduct then in effect, or raise a conflict under the Company’s conflict of interest policies. For the avoidance of doubt, the Board has approved Executive’s continued service with those organizations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such approval to continue until the earlier to occur of (a) the Board’s revocation of such approval in the Board’s sole and absolute discretion, or (b) such time as such service interferes with the performance of Executive’s duties under this Agreement, violates the Company’s standards of conflict or raises a conflict under the Company’s conflict of interest policies. </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Term</w:t>
      </w:r>
      <w:r>
        <w:rPr>
          <w:rFonts w:ascii="Times New Roman;sans-serif" w:hAnsi="Times New Roman;sans-serif"/>
          <w:b w:val="false"/>
          <w:color w:val="000000"/>
          <w:sz w:val="24"/>
        </w:rPr>
        <w:t>. The period of Executive’s employment under this Agreement shall commence on the Effective Date and shall continue until Executive’s employment with the Company is terminated pursuant to Section 5. The phrase “</w:t>
      </w:r>
      <w:r>
        <w:rPr>
          <w:rFonts w:ascii="Times New Roman;sans-serif" w:hAnsi="Times New Roman;sans-serif"/>
          <w:b/>
          <w:i/>
          <w:color w:val="000000"/>
          <w:sz w:val="24"/>
        </w:rPr>
        <w:t>Term</w:t>
      </w:r>
      <w:r>
        <w:rPr>
          <w:color w:val="000000"/>
        </w:rPr>
        <w:t xml:space="preserve">” </w:t>
      </w:r>
      <w:r>
        <w:rPr>
          <w:rFonts w:ascii="Times New Roman;sans-serif" w:hAnsi="Times New Roman;sans-serif"/>
          <w:b w:val="false"/>
          <w:color w:val="000000"/>
          <w:sz w:val="24"/>
        </w:rPr>
        <w:t>as used in this Agreement shall refer to the entire period of employment of Executive by the Company.</w:t>
      </w:r>
    </w:p>
    <w:p>
      <w:pPr>
        <w:pStyle w:val="TextBody"/>
        <w:bidi w:val="0"/>
        <w:spacing w:lineRule="auto" w:line="240" w:before="0" w:after="240"/>
        <w:ind w:left="0" w:right="0" w:hanging="720"/>
        <w:jc w:val="both"/>
        <w:rPr/>
      </w:pPr>
      <w:r>
        <w:rPr>
          <w:rFonts w:ascii="Times New Roman;sans-serif" w:hAnsi="Times New Roman;sans-serif"/>
          <w:b/>
          <w:color w:val="000000"/>
          <w:sz w:val="24"/>
        </w:rPr>
        <w:t>3.Compensation and Related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Annual Base Salary</w:t>
      </w:r>
      <w:r>
        <w:rPr>
          <w:rFonts w:ascii="Times New Roman;sans-serif" w:hAnsi="Times New Roman;sans-serif"/>
          <w:b w:val="false"/>
          <w:color w:val="000000"/>
          <w:sz w:val="24"/>
        </w:rPr>
        <w:t>. During the Term, Executive shall receive a base salary at the rate of $600,000</w:t>
      </w:r>
      <w:r>
        <w:rPr>
          <w:color w:val="000000"/>
        </w:rPr>
        <w:t xml:space="preserve"> </w:t>
      </w:r>
      <w:r>
        <w:rPr>
          <w:rFonts w:ascii="Times New Roman;sans-serif" w:hAnsi="Times New Roman;sans-serif"/>
          <w:b w:val="false"/>
          <w:color w:val="000000"/>
          <w:sz w:val="24"/>
        </w:rPr>
        <w:t>per year (as may be increased from time to time, the “</w:t>
      </w:r>
      <w:r>
        <w:rPr>
          <w:rFonts w:ascii="Times New Roman;sans-serif" w:hAnsi="Times New Roman;sans-serif"/>
          <w:b/>
          <w:i/>
          <w:color w:val="000000"/>
          <w:sz w:val="24"/>
        </w:rPr>
        <w:t>Annual Base Salary</w:t>
      </w:r>
      <w:r>
        <w:rPr>
          <w:color w:val="000000"/>
        </w:rPr>
        <w:t>”</w:t>
      </w:r>
      <w:r>
        <w:rPr>
          <w:rFonts w:ascii="Times New Roman;sans-serif" w:hAnsi="Times New Roman;sans-serif"/>
          <w:b w:val="false"/>
          <w:color w:val="000000"/>
          <w:sz w:val="24"/>
        </w:rPr>
        <w:t xml:space="preserve">). The Annual Base Salary shall be subject to withholdings and deductions and paid to Executive in accordance with the customary payroll practices and procedures of the Company. Such Annual Base Salary shall be reviewed by the Board and/or the Compensation Committee of the Board, not less than annually.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Annual Bonus</w:t>
      </w:r>
      <w:r>
        <w:rPr>
          <w:rFonts w:ascii="Times New Roman;sans-serif" w:hAnsi="Times New Roman;sans-serif"/>
          <w:b w:val="false"/>
          <w:color w:val="000000"/>
          <w:sz w:val="24"/>
        </w:rPr>
        <w:t>. Executive shall be eligible to receive a discretionary annual bonus based on Executive’s achievement of performance objectives established by the Board and/or its Compensation Committee, such bonus to be targeted at a percentage of the Executive’s Annual Base Salary (the “</w:t>
      </w:r>
      <w:r>
        <w:rPr>
          <w:rFonts w:ascii="Times New Roman;sans-serif" w:hAnsi="Times New Roman;sans-serif"/>
          <w:b/>
          <w:i/>
          <w:color w:val="000000"/>
          <w:sz w:val="24"/>
        </w:rPr>
        <w:t>Annual Bonus</w:t>
      </w:r>
      <w:r>
        <w:rPr>
          <w:color w:val="000000"/>
        </w:rPr>
        <w:t>”</w:t>
      </w:r>
      <w:r>
        <w:rPr>
          <w:rFonts w:ascii="Times New Roman;sans-serif" w:hAnsi="Times New Roman;sans-serif"/>
          <w:b w:val="false"/>
          <w:color w:val="000000"/>
          <w:sz w:val="24"/>
        </w:rPr>
        <w:t>) as determined annually by the Board and/or the Compensation Committee. Any Annual Bonus approved by the Board and/or the Compensation Committee of the Board shall be paid in the year following the year to which such Annual Bonus relates at the same time annual bonuses are paid to other executives of the Company generally, subject to Executive’s continued employment through the payment date. </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Benefits</w:t>
      </w:r>
      <w:r>
        <w:rPr>
          <w:rFonts w:ascii="Times New Roman;sans-serif" w:hAnsi="Times New Roman;sans-serif"/>
          <w:b w:val="false"/>
          <w:color w:val="000000"/>
          <w:sz w:val="24"/>
        </w:rPr>
        <w:t>. Executive shall be entitled to participate in such employee and executive benefit plans and programs as the Company may from time to time offer to provide to its executives, subject to the terms and conditions of such plans. Notwithstanding the foregoing, nothing herein is intended, or shall be construed, to require the Company to institute or continue any particular plan or benefit.</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Business Expenses</w:t>
      </w:r>
      <w:r>
        <w:rPr>
          <w:rFonts w:ascii="Times New Roman;sans-serif" w:hAnsi="Times New Roman;sans-serif"/>
          <w:b w:val="false"/>
          <w:color w:val="000000"/>
          <w:sz w:val="24"/>
        </w:rPr>
        <w:t xml:space="preserve">.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 </w:t>
      </w:r>
    </w:p>
    <w:p>
      <w:pPr>
        <w:pStyle w:val="TextBody"/>
        <w:bidi w:val="0"/>
        <w:spacing w:before="0" w:after="24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u w:val="single"/>
        </w:rPr>
        <w:t>Vacation</w:t>
      </w:r>
      <w:r>
        <w:rPr>
          <w:rFonts w:ascii="Times New Roman;sans-serif" w:hAnsi="Times New Roman;sans-serif"/>
          <w:b w:val="false"/>
          <w:color w:val="000000"/>
          <w:sz w:val="24"/>
        </w:rPr>
        <w:t>. Executive will be entitled to paid vacation in accordance with the Company’s vacation policy, as in effect from time to time.</w:t>
      </w:r>
    </w:p>
    <w:p>
      <w:pPr>
        <w:pStyle w:val="TextBody"/>
        <w:bidi w:val="0"/>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rPr>
        <w:t xml:space="preserve">Equity Awards. </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Eligibility</w:t>
      </w:r>
      <w:r>
        <w:rPr>
          <w:rFonts w:ascii="Times New Roman;sans-serif" w:hAnsi="Times New Roman;sans-serif"/>
          <w:b w:val="false"/>
          <w:color w:val="000000"/>
          <w:sz w:val="24"/>
        </w:rPr>
        <w:t>. Executive shall be eligible for the discretionary grant of stock options, restricted stock units and other equity awards following the Effective Date as may be determined by the Board or its Compensation Committee.</w:t>
      </w:r>
    </w:p>
    <w:p>
      <w:pPr>
        <w:pStyle w:val="TextBody"/>
        <w:bidi w:val="0"/>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Termination.</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xml:space="preserve">. The Company and Executive acknowledge that Executive’s employment is and shall continue to be at-will, as defined under applicable law. This means that it is not for any specified period of time and, subject to any ramifications under Section 6 of this Agreement,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a duly-authorized officer of the Company. If Executive’s employment terminates for any lawful reason, Executive shall not be entitled to any payments, benefits, damages, award, or compensation other than as provided in this Agreement.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During the Term, any termination of Executive’s employment by the Company or by Executive (other than by reason of death) shall be communicated by written notice (a “</w:t>
      </w:r>
      <w:r>
        <w:rPr>
          <w:rFonts w:ascii="Times New Roman;sans-serif" w:hAnsi="Times New Roman;sans-serif"/>
          <w:b/>
          <w:i/>
          <w:color w:val="000000"/>
          <w:sz w:val="24"/>
        </w:rPr>
        <w:t>Notice of Termination</w:t>
      </w:r>
      <w:r>
        <w:rPr>
          <w:color w:val="000000"/>
        </w:rPr>
        <w:t>”</w:t>
      </w:r>
      <w:r>
        <w:rPr>
          <w:rFonts w:ascii="Times New Roman;sans-serif" w:hAnsi="Times New Roman;sans-serif"/>
          <w:b w:val="false"/>
          <w:color w:val="000000"/>
          <w:sz w:val="24"/>
        </w:rPr>
        <w:t xml:space="preserve">) from one Party hereto to the other Party hereto (i) 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Termination (as defined below). The failure by the Company to set forth in the Notice of Termination all of the facts and circumstances which contribute to a showing of Cause (as defined below) shall not waive any right of the Company hereunder or preclude the Company from asserting such fact or circumstance in enforcing its rights hereunder. </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Date of Termination</w:t>
      </w:r>
      <w:r>
        <w:rPr>
          <w:rFonts w:ascii="Times New Roman;sans-serif" w:hAnsi="Times New Roman;sans-serif"/>
          <w:b w:val="false"/>
          <w:color w:val="000000"/>
          <w:sz w:val="24"/>
        </w:rPr>
        <w:t>. For purposes of this Agreement, “</w:t>
      </w:r>
      <w:r>
        <w:rPr>
          <w:rFonts w:ascii="Times New Roman;sans-serif" w:hAnsi="Times New Roman;sans-serif"/>
          <w:b/>
          <w:i/>
          <w:color w:val="000000"/>
          <w:sz w:val="24"/>
        </w:rPr>
        <w:t>Date of Termination</w:t>
      </w:r>
      <w:r>
        <w:rPr>
          <w:color w:val="000000"/>
        </w:rPr>
        <w:t xml:space="preserve">” </w:t>
      </w:r>
      <w:r>
        <w:rPr>
          <w:rFonts w:ascii="Times New Roman;sans-serif" w:hAnsi="Times New Roman;sans-serif"/>
          <w:b w:val="false"/>
          <w:color w:val="000000"/>
          <w:sz w:val="24"/>
        </w:rPr>
        <w:t>shall mean the date of the termination of Executive’s employment with the Company specified in a Notice of Termination.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Deemed Resignation</w:t>
      </w:r>
      <w:r>
        <w:rPr>
          <w:rFonts w:ascii="Times New Roman;sans-serif" w:hAnsi="Times New Roman;sans-serif"/>
          <w:b w:val="false"/>
          <w:color w:val="000000"/>
          <w:sz w:val="24"/>
        </w:rPr>
        <w:t>. Upon termination of Executive’s employment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pStyle w:val="TextBody"/>
        <w:bidi w:val="0"/>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Consequences of Termination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Payments of Accrued Obligations upon all Terminations of Employment</w:t>
      </w:r>
      <w:r>
        <w:rPr>
          <w:rFonts w:ascii="Times New Roman;sans-serif" w:hAnsi="Times New Roman;sans-serif"/>
          <w:b w:val="false"/>
          <w:color w:val="000000"/>
          <w:sz w:val="24"/>
        </w:rPr>
        <w:t xml:space="preserve">. Upon a termination of Executive’s employment for any reason, Executive (or Executive’s estate or legal representative, as applicable) shall be entitled to receive, within thirty (30) days after Executive’s Date of Termination (or such earlier date as may be required by applicable law): (i) any portion of Executive’s Annual Base Salary earned through Executive’s Date of Termination </w:t>
      </w:r>
    </w:p>
    <w:p>
      <w:pPr>
        <w:pStyle w:val="TextBody"/>
        <w:bidi w:val="0"/>
        <w:spacing w:before="0" w:after="24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 theretofore paid, (ii) any expenses owed to Executive under Section 3, (iii) any accrued but unused paid time-off owed to Executive, (iv) any Annual Bonus earned but unpaid as of the Date of Termination, and (v) any amount arising from Executive’s participation in, or benefits under, any employee benefit plans, programs, or arrangements under Section 3, which amounts shall be payable in accordance with the terms and conditions of such employee benefit plans, programs, or arrangements. Except as otherwise set forth in Sections 6(b) and (c), the payments and benefits described in this Section 6(a) shall be the only payments and benefits payable in the event of Executive’s termination of employment for any reason.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Severance Payments upon Covered Termination Outside a Change in Control Period</w:t>
      </w:r>
      <w:r>
        <w:rPr>
          <w:rFonts w:ascii="Times New Roman;sans-serif" w:hAnsi="Times New Roman;sans-serif"/>
          <w:b w:val="false"/>
          <w:color w:val="000000"/>
          <w:sz w:val="24"/>
        </w:rPr>
        <w:t>. If, during the Term, Executive experiences a Covered Termination outside of a Change in Control Period (each as defined below), then in addition to the payments and benefits described in Section 6(a), the Company shall, subject to Executive’s delivery to the Company of a waiver and release of claims agreement in a form acceptable to the Company (the “</w:t>
      </w:r>
      <w:r>
        <w:rPr>
          <w:rFonts w:ascii="Times New Roman;sans-serif" w:hAnsi="Times New Roman;sans-serif"/>
          <w:b/>
          <w:i/>
          <w:color w:val="000000"/>
          <w:sz w:val="24"/>
        </w:rPr>
        <w:t>Release</w:t>
      </w:r>
      <w:r>
        <w:rPr>
          <w:color w:val="000000"/>
        </w:rPr>
        <w:t>”</w:t>
      </w:r>
      <w:r>
        <w:rPr>
          <w:rFonts w:ascii="Times New Roman;sans-serif" w:hAnsi="Times New Roman;sans-serif"/>
          <w:b w:val="false"/>
          <w:color w:val="000000"/>
          <w:sz w:val="24"/>
        </w:rPr>
        <w:t>) that becomes effective and irrevocable in accordance with Section 10(d), provide Executive with the following:</w:t>
      </w:r>
    </w:p>
    <w:p>
      <w:pPr>
        <w:pStyle w:val="TextBody"/>
        <w:bidi w:val="0"/>
        <w:spacing w:lineRule="auto" w:line="240" w:before="0" w:after="240"/>
        <w:ind w:left="0" w:right="0" w:firstLine="1440"/>
        <w:jc w:val="both"/>
        <w:rPr/>
      </w:pPr>
      <w:r>
        <w:rPr>
          <w:rFonts w:ascii="Times New Roman;sans-serif" w:hAnsi="Times New Roman;sans-serif"/>
          <w:b/>
          <w:color w:val="000000"/>
          <w:sz w:val="24"/>
        </w:rPr>
        <w:t>(i)</w:t>
      </w:r>
      <w:r>
        <w:rPr>
          <w:rFonts w:ascii="Times New Roman;sans-serif" w:hAnsi="Times New Roman;sans-serif"/>
          <w:b w:val="false"/>
          <w:color w:val="000000"/>
          <w:sz w:val="24"/>
        </w:rPr>
        <w:t>The Company shall pay to Executive an amount equal to one (1) multiplied by Executive’s Annual Base Salary. Such amount will be subject to applicable withholdings and payable in a single lump sum cash payment on the first regular payroll date following the date the Release becomes effective and irrevocable in accordance with Section 10(d).</w:t>
      </w:r>
    </w:p>
    <w:p>
      <w:pPr>
        <w:pStyle w:val="TextBody"/>
        <w:bidi w:val="0"/>
        <w:spacing w:lineRule="auto" w:line="240" w:before="0" w:after="240"/>
        <w:ind w:left="0" w:right="0" w:firstLine="1440"/>
        <w:jc w:val="both"/>
        <w:rPr/>
      </w:pPr>
      <w:r>
        <w:rPr>
          <w:rFonts w:ascii="Times New Roman;sans-serif" w:hAnsi="Times New Roman;sans-serif"/>
          <w:b/>
          <w:color w:val="000000"/>
          <w:sz w:val="24"/>
        </w:rPr>
        <w:t>(ii)</w:t>
      </w:r>
      <w:r>
        <w:rPr>
          <w:rFonts w:ascii="Times New Roman;sans-serif" w:hAnsi="Times New Roman;sans-serif"/>
          <w:b w:val="false"/>
          <w:color w:val="000000"/>
          <w:sz w:val="24"/>
        </w:rPr>
        <w:t>During the period commencing on the Date of Termination and ending on the 12 month anniversary thereof or, if earlier, the date on which Executive becomes eligible for comparable replacement coverage under a subsequent employer’s group health plan (in any case, the “</w:t>
      </w:r>
      <w:r>
        <w:rPr>
          <w:rFonts w:ascii="Times New Roman;sans-serif" w:hAnsi="Times New Roman;sans-serif"/>
          <w:b/>
          <w:i/>
          <w:color w:val="000000"/>
          <w:sz w:val="24"/>
        </w:rPr>
        <w:t>Non-CIC COBRA Period</w:t>
      </w:r>
      <w:r>
        <w:rPr>
          <w:color w:val="000000"/>
        </w:rPr>
        <w:t>”</w:t>
      </w:r>
      <w:r>
        <w:rPr>
          <w:rFonts w:ascii="Times New Roman;sans-serif" w:hAnsi="Times New Roman;sans-serif"/>
          <w:b w:val="false"/>
          <w:color w:val="000000"/>
          <w:sz w:val="24"/>
        </w:rPr>
        <w:t>), subject to Executive’s valid election to continue healthcare coverage under Section 4980B of the Internal Revenue Code of 1986, as amended (the “</w:t>
      </w:r>
      <w:r>
        <w:rPr>
          <w:rFonts w:ascii="Times New Roman;sans-serif" w:hAnsi="Times New Roman;sans-serif"/>
          <w:b/>
          <w:i/>
          <w:color w:val="000000"/>
          <w:sz w:val="24"/>
        </w:rPr>
        <w:t>Code</w:t>
      </w:r>
      <w:r>
        <w:rPr>
          <w:color w:val="000000"/>
        </w:rPr>
        <w:t>”</w:t>
      </w:r>
      <w:r>
        <w:rPr>
          <w:rFonts w:ascii="Times New Roman;sans-serif" w:hAnsi="Times New Roman;sans-serif"/>
          <w:b w:val="false"/>
          <w:color w:val="000000"/>
          <w:sz w:val="24"/>
        </w:rPr>
        <w:t xml:space="preserve">) and the regulations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of Termination;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Non-CIC COBRA Period (or remaining portion thereof).</w:t>
      </w:r>
    </w:p>
    <w:p>
      <w:pPr>
        <w:pStyle w:val="TextBody"/>
        <w:bidi w:val="0"/>
        <w:spacing w:lineRule="auto" w:line="240" w:before="0" w:after="240"/>
        <w:ind w:left="0" w:right="0" w:firstLine="72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Severance Payments upon Covered Termination During a Change in Control Period</w:t>
      </w:r>
      <w:r>
        <w:rPr>
          <w:rFonts w:ascii="Times New Roman;sans-serif" w:hAnsi="Times New Roman;sans-serif"/>
          <w:b w:val="false"/>
          <w:color w:val="000000"/>
          <w:sz w:val="24"/>
        </w:rPr>
        <w:t>. If, during the Term, Executive experiences a Covered Termination during a Change in Control Period, then, in addition to the payments and benefits described in Section 6(a), the Company shall, subject to Executive’s delivery to the Company of a Release that becomes effective and irrevocable in accordance with Section 10(d), provide Executive with the following:</w:t>
      </w:r>
    </w:p>
    <w:p>
      <w:pPr>
        <w:pStyle w:val="TextBody"/>
        <w:bidi w:val="0"/>
        <w:spacing w:lineRule="auto" w:line="240" w:before="0" w:after="240"/>
        <w:ind w:left="0" w:right="0" w:firstLine="720"/>
        <w:jc w:val="both"/>
        <w:rPr/>
      </w:pPr>
      <w:r>
        <w:rPr>
          <w:rFonts w:ascii="Times New Roman;sans-serif" w:hAnsi="Times New Roman;sans-serif"/>
          <w:b/>
          <w:color w:val="000000"/>
          <w:sz w:val="24"/>
        </w:rPr>
        <w:t>(i)</w:t>
      </w:r>
      <w:r>
        <w:rPr>
          <w:rFonts w:ascii="Times New Roman;sans-serif" w:hAnsi="Times New Roman;sans-serif"/>
          <w:b w:val="false"/>
          <w:color w:val="000000"/>
          <w:sz w:val="24"/>
        </w:rPr>
        <w:t xml:space="preserve">The Company shall pay to Executive an amount equal to 1.5 multiplied by the sum of Executive’s Annual Base Salary and Executive’s target Annual Bonus. Such amount will be subject to applicable withholdings and payable in a single lump sum cash payment on the first regular payroll date following the date the Release becomes effective and irrevocable in accordance with Section 10(d). </w:t>
      </w:r>
    </w:p>
    <w:p>
      <w:pPr>
        <w:pStyle w:val="TextBody"/>
        <w:bidi w:val="0"/>
        <w:spacing w:before="0" w:after="24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(ii)</w:t>
      </w:r>
      <w:r>
        <w:rPr>
          <w:rFonts w:ascii="Times New Roman;sans-serif" w:hAnsi="Times New Roman;sans-serif"/>
          <w:b w:val="false"/>
          <w:color w:val="000000"/>
          <w:sz w:val="24"/>
        </w:rPr>
        <w:t>During the period commencing on the Date of Termination and ending on the eighteen (18) month anniversary thereof or, if earlier, the date on which Executive becomes eligible for comparable replacement coverage under a subsequent employer’s group health plan (in any case, the “</w:t>
      </w:r>
      <w:r>
        <w:rPr>
          <w:rFonts w:ascii="Times New Roman;sans-serif" w:hAnsi="Times New Roman;sans-serif"/>
          <w:b/>
          <w:i/>
          <w:color w:val="000000"/>
          <w:sz w:val="24"/>
        </w:rPr>
        <w:t>CIC COBRA Period</w:t>
      </w:r>
      <w:r>
        <w:rPr>
          <w:color w:val="000000"/>
        </w:rPr>
        <w:t>”</w:t>
      </w:r>
      <w:r>
        <w:rPr>
          <w:rFonts w:ascii="Times New Roman;sans-serif" w:hAnsi="Times New Roman;sans-serif"/>
          <w:b w:val="false"/>
          <w:color w:val="000000"/>
          <w:sz w:val="24"/>
        </w:rPr>
        <w:t xml:space="preserve">), subject to Executive’s valid election to continue healthcare coverage under Section 4980B of the Code and the regulations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of Termination;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CIC COBRA Period (or remaining portion thereof).</w:t>
      </w:r>
    </w:p>
    <w:p>
      <w:pPr>
        <w:pStyle w:val="TextBody"/>
        <w:bidi w:val="0"/>
        <w:spacing w:lineRule="auto" w:line="240" w:before="0" w:after="240"/>
        <w:ind w:left="0" w:right="0" w:firstLine="720"/>
        <w:jc w:val="both"/>
        <w:rPr/>
      </w:pPr>
      <w:r>
        <w:rPr>
          <w:rFonts w:ascii="Times New Roman;sans-serif" w:hAnsi="Times New Roman;sans-serif"/>
          <w:b/>
          <w:color w:val="000000"/>
          <w:sz w:val="24"/>
        </w:rPr>
        <w:t>(iii)</w:t>
      </w:r>
      <w:r>
        <w:rPr>
          <w:rFonts w:ascii="Times New Roman;sans-serif" w:hAnsi="Times New Roman;sans-serif"/>
          <w:b w:val="false"/>
          <w:color w:val="000000"/>
          <w:sz w:val="24"/>
        </w:rPr>
        <w:t xml:space="preserve">Cause any unvested equity awards, including any stock options, restricted stock awards and any such awards subject to performance-based vesting, held by Executive as of the Date of Termination, to become fully vested and, if applicable, exercisable, and cause all restrictions and rights of repurchase on such awards to lapse with respect to all of the shares of the Company’s Common Stock subject thereto. </w:t>
      </w:r>
    </w:p>
    <w:p>
      <w:pPr>
        <w:pStyle w:val="TextBody"/>
        <w:bidi w:val="0"/>
        <w:spacing w:lineRule="auto" w:line="240" w:before="0" w:after="240"/>
        <w:ind w:left="0" w:right="0" w:firstLine="72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No Other Severance</w:t>
      </w:r>
      <w:r>
        <w:rPr>
          <w:rFonts w:ascii="Times New Roman;sans-serif" w:hAnsi="Times New Roman;sans-serif"/>
          <w:b w:val="false"/>
          <w:color w:val="000000"/>
          <w:sz w:val="24"/>
        </w:rPr>
        <w:t>. Except as otherwise approved by the Board, the provisions of this Section 6 shall supersede in their entirety any severance payment provisions in any severance plan, policy, program, or other arrangement maintained by the Company.</w:t>
      </w:r>
    </w:p>
    <w:p>
      <w:pPr>
        <w:pStyle w:val="TextBody"/>
        <w:bidi w:val="0"/>
        <w:spacing w:lineRule="auto" w:line="240" w:before="0" w:after="240"/>
        <w:ind w:left="0" w:right="0" w:firstLine="720"/>
        <w:jc w:val="both"/>
        <w:rPr/>
      </w:pPr>
      <w:r>
        <w:rPr>
          <w:rFonts w:ascii="Times New Roman;sans-serif" w:hAnsi="Times New Roman;sans-serif"/>
          <w:b/>
          <w:color w:val="000000"/>
          <w:sz w:val="24"/>
        </w:rPr>
        <w:t>(e)</w:t>
      </w:r>
      <w:r>
        <w:rPr>
          <w:rFonts w:ascii="Times New Roman;sans-serif" w:hAnsi="Times New Roman;sans-serif"/>
          <w:b w:val="false"/>
          <w:color w:val="000000"/>
          <w:sz w:val="24"/>
          <w:u w:val="single"/>
        </w:rPr>
        <w:t>No Requirement to Mitigate; Survival</w:t>
      </w:r>
      <w:r>
        <w:rPr>
          <w:rFonts w:ascii="Times New Roman;sans-serif" w:hAnsi="Times New Roman;sans-serif"/>
          <w:b w:val="false"/>
          <w:color w:val="000000"/>
          <w:sz w:val="24"/>
        </w:rPr>
        <w:t xml:space="preserve">.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 </w:t>
      </w:r>
    </w:p>
    <w:p>
      <w:pPr>
        <w:pStyle w:val="TextBody"/>
        <w:bidi w:val="0"/>
        <w:spacing w:lineRule="auto" w:line="240" w:before="0" w:after="240"/>
        <w:ind w:left="0" w:right="0" w:firstLine="720"/>
        <w:jc w:val="both"/>
        <w:rPr/>
      </w:pPr>
      <w:r>
        <w:rPr>
          <w:rFonts w:ascii="Times New Roman;sans-serif" w:hAnsi="Times New Roman;sans-serif"/>
          <w:b/>
          <w:color w:val="000000"/>
          <w:sz w:val="24"/>
        </w:rPr>
        <w:t>(f)</w:t>
      </w:r>
      <w:r>
        <w:rPr>
          <w:rFonts w:ascii="Times New Roman;sans-serif" w:hAnsi="Times New Roman;sans-serif"/>
          <w:b w:val="false"/>
          <w:color w:val="000000"/>
          <w:sz w:val="24"/>
          <w:u w:val="single"/>
        </w:rPr>
        <w:t>Definition of Cause</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 xml:space="preserve">shall mean any one of the following: (i) any willful, material violation by Executive of any law or regulation applicable to the business of the Company or a subsidiary or other affiliate of the Company, (ii) Executive’s conviction for, or guilty plea to, a felony (or crime of similar magnitude under applicable law outside the United States) or a crime involving moral turpitude, or any willful perpetration by Executive of a common law fraud, act of material dishonesty or misappropriation or similar conduct against the Company, (iii) Executive’s commission of an act of personal dishonesty which involves personal profit in connection with the Company or any other entity having a business relationship with the Company, (iv) any material breach or violation by Executive of any provision of any agreement or understanding between the Company or any Subsidiary or other affiliate of the Company and Executive regarding the terms of Executive’s service as an employee, officer, director or consultant to the Company or a subsidiary or other affiliate of the Company, including without limitation, the willful and continued failure or refusal of Executive to perform the material duties required of Executive as an employee, officer, director or consultant of the Company or a subsidiary or other affiliate of the Company, other than as a result of having a permanent disability, or a breach of any applicable invention assignment and confidentiality agreement or similar agreement between the Company or a subsidiary or other affiliate of the Company and Executive, (v) Executive’s violation of the Company’s code of ethics, (vi) Executive’s disregard of the policies of the Company or any subsidiary or other affiliate of the Company so as to cause loss, harm, damage or injury to the property, reputation or employees of the Company or a subsidiary or other affiliate of the Company, or (vii) any other </w:t>
      </w:r>
    </w:p>
    <w:p>
      <w:pPr>
        <w:pStyle w:val="TextBody"/>
        <w:bidi w:val="0"/>
        <w:spacing w:before="0" w:after="24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misconduct by Executive which is injurious to the financial condition or business reputation of, or is otherwise injurious to, the Company or a subsidiary or other affiliate of the Company.</w:t>
      </w:r>
    </w:p>
    <w:p>
      <w:pPr>
        <w:pStyle w:val="TextBody"/>
        <w:bidi w:val="0"/>
        <w:spacing w:lineRule="auto" w:line="240" w:before="0" w:after="240"/>
        <w:ind w:left="0" w:right="0" w:firstLine="1440"/>
        <w:jc w:val="both"/>
        <w:rPr/>
      </w:pPr>
      <w:r>
        <w:rPr>
          <w:rFonts w:ascii="Times New Roman;sans-serif" w:hAnsi="Times New Roman;sans-serif"/>
          <w:b/>
          <w:color w:val="000000"/>
          <w:sz w:val="24"/>
        </w:rPr>
        <w:t>(g)</w:t>
      </w:r>
      <w:r>
        <w:rPr>
          <w:rFonts w:ascii="Times New Roman;sans-serif" w:hAnsi="Times New Roman;sans-serif"/>
          <w:b w:val="false"/>
          <w:color w:val="000000"/>
          <w:sz w:val="24"/>
          <w:u w:val="single"/>
        </w:rPr>
        <w:t>Definition of Change in Control</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Change in Control</w:t>
      </w:r>
      <w:r>
        <w:rPr>
          <w:color w:val="000000"/>
        </w:rPr>
        <w:t xml:space="preserve">” </w:t>
      </w:r>
      <w:r>
        <w:rPr>
          <w:rFonts w:ascii="Times New Roman;sans-serif" w:hAnsi="Times New Roman;sans-serif"/>
          <w:b w:val="false"/>
          <w:color w:val="000000"/>
          <w:sz w:val="24"/>
        </w:rPr>
        <w:t>shall have the meaning ascribed such term in Group’s 2021 Incentive Award Plan.</w:t>
      </w:r>
    </w:p>
    <w:p>
      <w:pPr>
        <w:pStyle w:val="TextBody"/>
        <w:bidi w:val="0"/>
        <w:spacing w:lineRule="auto" w:line="240" w:before="0" w:after="240"/>
        <w:ind w:left="0" w:right="0" w:firstLine="1440"/>
        <w:jc w:val="both"/>
        <w:rPr/>
      </w:pPr>
      <w:r>
        <w:rPr>
          <w:rFonts w:ascii="Times New Roman;sans-serif" w:hAnsi="Times New Roman;sans-serif"/>
          <w:b/>
          <w:color w:val="000000"/>
          <w:sz w:val="24"/>
        </w:rPr>
        <w:t>(h)</w:t>
      </w:r>
      <w:r>
        <w:rPr>
          <w:rFonts w:ascii="Times New Roman;sans-serif" w:hAnsi="Times New Roman;sans-serif"/>
          <w:b w:val="false"/>
          <w:color w:val="000000"/>
          <w:sz w:val="24"/>
          <w:u w:val="single"/>
        </w:rPr>
        <w:t>Definition of Change in Control Period</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Change in Control Period</w:t>
      </w:r>
      <w:r>
        <w:rPr>
          <w:color w:val="000000"/>
        </w:rPr>
        <w:t xml:space="preserve">” </w:t>
      </w:r>
      <w:r>
        <w:rPr>
          <w:rFonts w:ascii="Times New Roman;sans-serif" w:hAnsi="Times New Roman;sans-serif"/>
          <w:b w:val="false"/>
          <w:color w:val="000000"/>
          <w:sz w:val="24"/>
        </w:rPr>
        <w:t>shall mean the period commencing 3 months prior to a Change in Control and ending 12 months after such Change in Control.</w:t>
      </w:r>
    </w:p>
    <w:p>
      <w:pPr>
        <w:pStyle w:val="TextBody"/>
        <w:bidi w:val="0"/>
        <w:spacing w:lineRule="auto" w:line="240" w:before="0" w:after="240"/>
        <w:ind w:left="0" w:right="0" w:firstLine="1440"/>
        <w:jc w:val="both"/>
        <w:rPr/>
      </w:pPr>
      <w:r>
        <w:rPr>
          <w:rFonts w:ascii="Times New Roman;sans-serif" w:hAnsi="Times New Roman;sans-serif"/>
          <w:b/>
          <w:color w:val="000000"/>
          <w:sz w:val="24"/>
        </w:rPr>
        <w:t>(i)</w:t>
      </w:r>
      <w:r>
        <w:rPr>
          <w:rFonts w:ascii="Times New Roman;sans-serif" w:hAnsi="Times New Roman;sans-serif"/>
          <w:b w:val="false"/>
          <w:color w:val="000000"/>
          <w:sz w:val="24"/>
          <w:u w:val="single"/>
        </w:rPr>
        <w:t>Definition of Covered Termination</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Covered Termination</w:t>
      </w:r>
      <w:r>
        <w:rPr>
          <w:color w:val="000000"/>
        </w:rPr>
        <w:t xml:space="preserve">” </w:t>
      </w:r>
      <w:r>
        <w:rPr>
          <w:rFonts w:ascii="Times New Roman;sans-serif" w:hAnsi="Times New Roman;sans-serif"/>
          <w:b w:val="false"/>
          <w:color w:val="000000"/>
          <w:sz w:val="24"/>
        </w:rPr>
        <w:t>shall mean the termination of Executive’s employment by the Company without Cause or by Executive for Good Reason, and shall not include a termination due to Executive’s death or disability.</w:t>
      </w:r>
    </w:p>
    <w:p>
      <w:pPr>
        <w:pStyle w:val="TextBody"/>
        <w:bidi w:val="0"/>
        <w:spacing w:lineRule="auto" w:line="240" w:before="0" w:after="240"/>
        <w:ind w:left="0" w:right="0" w:firstLine="1440"/>
        <w:jc w:val="both"/>
        <w:rPr/>
      </w:pPr>
      <w:r>
        <w:rPr>
          <w:rFonts w:ascii="Times New Roman;sans-serif" w:hAnsi="Times New Roman;sans-serif"/>
          <w:b/>
          <w:color w:val="000000"/>
          <w:sz w:val="24"/>
        </w:rPr>
        <w:t>(j)</w:t>
      </w:r>
      <w:r>
        <w:rPr>
          <w:rFonts w:ascii="Times New Roman;sans-serif" w:hAnsi="Times New Roman;sans-serif"/>
          <w:b w:val="false"/>
          <w:color w:val="000000"/>
          <w:sz w:val="24"/>
          <w:u w:val="single"/>
        </w:rPr>
        <w:t>Definition of Good Reason</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 xml:space="preserve">means the occurrence of any of the following events or circumstances, without Executive’s prior written consent: (i) a material reduction in Executive’s Annual Base Salary, (ii) a material diminution in Executive’s duties or responsibilities, or level of authority, (iii) a relocation of Executive’s principal place of employment that increases Executive’s one-way commute by at least thirty-five (35) miles, or (iv) material breach of this Agreement by the Company. Notwithstanding the foregoing, in no event shall Executive be deemed to have Good Reason unless (A) Executive provides written notice to the Company of the condition giving rise to Good Reason within sixty (60) days of its initial occurrence, (B) the Company fails to cure such condition within thirty (30) days after the Company receives Executive’s written notice of such condition and (C) Executive’s resignation is effective within thirty (30) days following the end of such cure period. </w:t>
      </w:r>
    </w:p>
    <w:p>
      <w:pPr>
        <w:pStyle w:val="TextBody"/>
        <w:bidi w:val="0"/>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Assignment and Successors</w:t>
      </w:r>
      <w:r>
        <w:rPr>
          <w:rFonts w:ascii="Times New Roman;sans-serif" w:hAnsi="Times New Roman;sans-serif"/>
          <w:b w:val="false"/>
          <w:color w:val="000000"/>
          <w:sz w:val="24"/>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Miscellaneous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Proprietary Information and Inventions Agreement</w:t>
      </w:r>
      <w:r>
        <w:rPr>
          <w:rFonts w:ascii="Times New Roman;sans-serif" w:hAnsi="Times New Roman;sans-serif"/>
          <w:b w:val="false"/>
          <w:color w:val="000000"/>
          <w:sz w:val="24"/>
        </w:rPr>
        <w:t>. Executive hereby affirms Executive’s obligations under that certain Proprietary Information and Inventions Agreement with the Company (or its predecessor in interest, as applicable</w:t>
      </w:r>
      <w:r>
        <w:rPr>
          <w:rFonts w:ascii="Times New Roman;sans-serif" w:hAnsi="Times New Roman;sans-serif"/>
          <w:b w:val="false"/>
          <w:color w:val="000000"/>
          <w:sz w:val="22"/>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Proprietary Information Agreement</w:t>
      </w:r>
      <w:r>
        <w:rPr>
          <w:color w:val="000000"/>
        </w:rPr>
        <w:t>”</w:t>
      </w:r>
      <w:r>
        <w:rPr>
          <w:rFonts w:ascii="Times New Roman;sans-serif" w:hAnsi="Times New Roman;sans-serif"/>
          <w:b w:val="false"/>
          <w:color w:val="000000"/>
          <w:sz w:val="24"/>
        </w:rPr>
        <w:t>). The Proprietary Information Agreement shall survive the termination of this Agreement and Executive’s employment with the Company for the applicable period(s) set forth therein. Notwithstanding the foregoing, in the event of any conflict between the terms of the Proprietary Information Agreement and the terms of this Agreement, the terms of this Agreement shall prevail.</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Non-Solicitation of Employees</w:t>
      </w:r>
      <w:r>
        <w:rPr>
          <w:rFonts w:ascii="Times New Roman;sans-serif" w:hAnsi="Times New Roman;sans-serif"/>
          <w:b w:val="false"/>
          <w:color w:val="000000"/>
          <w:sz w:val="24"/>
        </w:rPr>
        <w:t xml:space="preserve">. For a period of one year following Executive’s Date of Termination, Executive shall not, either directly or indirectly (i) solicit for employment by any individual, corporation, firm, or other business, any employees, consultants, independent contractors, or other service providers of the Company or any of its affiliates, or (ii) solicit any employee or consultant of the Company or any of its affiliates to leave the employment or consulting of or cease providing services to the Company or any of its affiliates;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the foregoing clauses (i) and (ii) shall not apply to a general </w:t>
      </w:r>
    </w:p>
    <w:p>
      <w:pPr>
        <w:pStyle w:val="TextBody"/>
        <w:bidi w:val="0"/>
        <w:spacing w:before="0" w:after="24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advertisement or solicitation (or any hiring pursuant to such advertisement or solicitation) that is not specifically targeted to such employees or consultants.</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Validity</w:t>
      </w:r>
      <w:r>
        <w:rPr>
          <w:rFonts w:ascii="Times New Roman;sans-serif" w:hAnsi="Times New Roman;sans-serif"/>
          <w:b w:val="false"/>
          <w:color w:val="000000"/>
          <w:sz w:val="24"/>
        </w:rPr>
        <w:t xml:space="preserve">. The invalidity or unenforceability of any provision or provisions of this Agreement shall not affect the validity or enforceability of any other provision of this Agreement, which shall remain in full force and effect. </w:t>
      </w:r>
    </w:p>
    <w:p>
      <w:pPr>
        <w:pStyle w:val="TextBody"/>
        <w:bidi w:val="0"/>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several counterparts, each of which shall be deemed to be an original, but all of which together will constitute one and the same Agreement. Signatures delivered by facsimile shall be deemed effective for all purposes.</w:t>
      </w:r>
    </w:p>
    <w:p>
      <w:pPr>
        <w:pStyle w:val="TextBody"/>
        <w:bidi w:val="0"/>
        <w:spacing w:lineRule="auto" w:line="240" w:before="0" w:after="240"/>
        <w:ind w:left="0" w:right="0" w:firstLine="1440"/>
        <w:jc w:val="both"/>
        <w:rPr/>
      </w:pPr>
      <w:r>
        <w:rPr>
          <w:rFonts w:ascii="Times New Roman;sans-serif" w:hAnsi="Times New Roman;sans-serif"/>
          <w:b/>
          <w:color w:val="000000"/>
          <w:sz w:val="24"/>
        </w:rPr>
        <w:t>(f)</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The terms of this Agreement, together with the Proprietary Information Agreement and that certain Indemnification and Advancement Agreement between the Company and Executive (the “</w:t>
      </w:r>
      <w:r>
        <w:rPr>
          <w:rFonts w:ascii="Times New Roman;sans-serif" w:hAnsi="Times New Roman;sans-serif"/>
          <w:b/>
          <w:i/>
          <w:color w:val="000000"/>
          <w:sz w:val="24"/>
        </w:rPr>
        <w:t>Indemnification Agreement</w:t>
      </w:r>
      <w:r>
        <w:rPr>
          <w:color w:val="000000"/>
        </w:rPr>
        <w:t>”</w:t>
      </w:r>
      <w:r>
        <w:rPr>
          <w:rFonts w:ascii="Times New Roman;sans-serif" w:hAnsi="Times New Roman;sans-serif"/>
          <w:b w:val="false"/>
          <w:color w:val="000000"/>
          <w:sz w:val="24"/>
        </w:rPr>
        <w:t xml:space="preserve">), are intended by the Company and Executive to be the final expression of their agreement with respect to the employment of Executive by the Company and supersede all prior understandings and agreements, whether written or oral, regarding Executive’s service to the Company, including without limitation, the Offer Letter. The Company and Executive further intend that this Agreement, together with the Proprietary Information Agreement and the Indemnification Agreement, shall constitute the complete and exclusive statement of their terms and that no extrinsic evidence whatsoever may be introduced in any judicial, administrative, or other legal proceeding to vary the terms of this Agreement, the Proprietary Information Agreement, or the Indemnification Agreement. Notwithstanding the foregoing, in the event of any conflict between the terms of the Proprietary Information Agreement and the terms of this Agreement, the terms of this Agreement shall prevail. </w:t>
      </w:r>
    </w:p>
    <w:p>
      <w:pPr>
        <w:pStyle w:val="TextBody"/>
        <w:bidi w:val="0"/>
        <w:spacing w:lineRule="auto" w:line="240" w:before="0" w:after="240"/>
        <w:ind w:left="0" w:right="0" w:firstLine="1440"/>
        <w:jc w:val="both"/>
        <w:rPr/>
      </w:pPr>
      <w:r>
        <w:rPr>
          <w:rFonts w:ascii="Times New Roman;sans-serif" w:hAnsi="Times New Roman;sans-serif"/>
          <w:b/>
          <w:color w:val="000000"/>
          <w:sz w:val="24"/>
        </w:rPr>
        <w:t>(g)</w:t>
      </w:r>
      <w:r>
        <w:rPr>
          <w:rFonts w:ascii="Times New Roman;sans-serif" w:hAnsi="Times New Roman;sans-serif"/>
          <w:b w:val="false"/>
          <w:color w:val="000000"/>
          <w:sz w:val="24"/>
          <w:u w:val="single"/>
        </w:rPr>
        <w:t>Amendments; Waivers</w:t>
      </w:r>
      <w:r>
        <w:rPr>
          <w:rFonts w:ascii="Times New Roman;sans-serif" w:hAnsi="Times New Roman;sans-serif"/>
          <w:b w:val="false"/>
          <w:color w:val="000000"/>
          <w:sz w:val="24"/>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 </w:t>
      </w:r>
    </w:p>
    <w:p>
      <w:pPr>
        <w:pStyle w:val="TextBody"/>
        <w:bidi w:val="0"/>
        <w:spacing w:lineRule="auto" w:line="240" w:before="0" w:after="240"/>
        <w:ind w:left="0" w:right="0" w:firstLine="1440"/>
        <w:jc w:val="both"/>
        <w:rPr/>
      </w:pPr>
      <w:r>
        <w:rPr>
          <w:rFonts w:ascii="Times New Roman;sans-serif" w:hAnsi="Times New Roman;sans-serif"/>
          <w:b/>
          <w:color w:val="000000"/>
          <w:sz w:val="24"/>
        </w:rPr>
        <w:t>(h)</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 xml:space="preserve">. To ensure the timely and economical resolution of disputes that arise in connection with this Agreement, Executive and the Company agree that, except as excluded herein, any and all controversies, claims and disputes arising out of or relating to this Agreement, including without limitation any alleged violation of its terms or otherwise arising out of relationship of the Company and Executive, shall be resolved solely and exclusively by final and binding arbitration held in San Francisco County, California through JAMS in conformity with California law and the then-existing JAMS employment arbitration rules, which can be found at </w:t>
      </w:r>
      <w:r>
        <w:rPr>
          <w:rFonts w:ascii="Times New Roman;sans-serif" w:hAnsi="Times New Roman;sans-serif"/>
          <w:b w:val="false"/>
          <w:color w:val="0563C1"/>
          <w:sz w:val="24"/>
          <w:u w:val="single"/>
        </w:rPr>
        <w:t>https://www.jamsadr.com/rules-employment-arbitration/</w:t>
      </w:r>
      <w:r>
        <w:rPr>
          <w:rFonts w:ascii="Times New Roman;sans-serif" w:hAnsi="Times New Roman;sans-serif"/>
          <w:b w:val="false"/>
          <w:color w:val="000000"/>
          <w:sz w:val="24"/>
        </w:rPr>
        <w:t xml:space="preserve">. The Federal Arbitration Act, 9 U.S.C. §§ 1 et seq. shall govern the interpretation and enforcement of this arbitration clause. All remedies available from a court of competent jurisdiction shall be </w:t>
      </w:r>
    </w:p>
    <w:p>
      <w:pPr>
        <w:pStyle w:val="TextBody"/>
        <w:bidi w:val="0"/>
        <w:spacing w:before="0" w:after="24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available in the arbitration; provided, however, in the event of a breach of Sections 8(a) or 8(b), the Company may request relief from a court of competent jurisdiction if such relief is not available or not available in a timely fashion through arbitration as determined by the Company. The arbitrator shall: (a) provide adequate discovery for the resolution of the dispute; and (b) issue a written arbitration decision, to include the arbitrator’s essential findings and conclusions and a statement of the award. The arbitrator shall award the prevailing Party attorneys’ fees and expert fees, if any. Notwithstanding the foregoing, it is acknowledged that it will be impossible to measure in money the damages that would be suffered if the Company or Executive fail to comply with any of the obligations imposed on them under Sections 8(a) and 8(b),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Sections 8(a) and 8(b), none of the parties shall raise the defense, without a good faith basis for raising such defense, that there is an adequate remedy at law. Executive and the Company understand that by agreement to arbitrate any claim pursuant to this Section 8(h),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collective action or representative proceeding. Nothing herein shall limit Executive’s ability to pursue claims for workers compensation or unemployment benefits or pursue other claims which by law cannot be subject to mandatory arbitration.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(i)</w:t>
      </w:r>
      <w:r>
        <w:rPr>
          <w:rFonts w:ascii="Times New Roman;sans-serif" w:hAnsi="Times New Roman;sans-serif"/>
          <w:b w:val="false"/>
          <w:color w:val="000000"/>
          <w:sz w:val="24"/>
          <w:u w:val="single"/>
        </w:rPr>
        <w:t>Enforcement</w:t>
      </w:r>
      <w:r>
        <w:rPr>
          <w:rFonts w:ascii="Times New Roman;sans-serif" w:hAnsi="Times New Roman;sans-serif"/>
          <w:b w:val="false"/>
          <w:color w:val="000000"/>
          <w:sz w:val="24"/>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bidi w:val="0"/>
        <w:spacing w:lineRule="auto" w:line="240" w:before="0" w:after="240"/>
        <w:ind w:left="0" w:right="0" w:firstLine="1440"/>
        <w:jc w:val="both"/>
        <w:rPr/>
      </w:pPr>
      <w:r>
        <w:rPr>
          <w:rFonts w:ascii="Times New Roman;sans-serif" w:hAnsi="Times New Roman;sans-serif"/>
          <w:b/>
          <w:color w:val="000000"/>
          <w:sz w:val="24"/>
        </w:rPr>
        <w:t>(j)</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pStyle w:val="TextBody"/>
        <w:bidi w:val="0"/>
        <w:spacing w:lineRule="auto" w:line="240" w:before="0" w:after="240"/>
        <w:ind w:left="0" w:right="0" w:firstLine="1440"/>
        <w:jc w:val="both"/>
        <w:rPr/>
      </w:pPr>
      <w:r>
        <w:rPr>
          <w:rFonts w:ascii="Times New Roman;sans-serif" w:hAnsi="Times New Roman;sans-serif"/>
          <w:b/>
          <w:color w:val="000000"/>
          <w:sz w:val="24"/>
        </w:rPr>
        <w:t>(k)</w:t>
      </w:r>
      <w:r>
        <w:rPr>
          <w:rFonts w:ascii="Times New Roman;sans-serif" w:hAnsi="Times New Roman;sans-serif"/>
          <w:b w:val="false"/>
          <w:color w:val="000000"/>
          <w:sz w:val="24"/>
          <w:u w:val="single"/>
        </w:rPr>
        <w:t>Whistleblower Protections and Trade Secrets</w:t>
      </w:r>
      <w:r>
        <w:rPr>
          <w:rFonts w:ascii="Times New Roman;sans-serif" w:hAnsi="Times New Roman;sans-serif"/>
          <w:b w:val="false"/>
          <w:color w:val="000000"/>
          <w:sz w:val="24"/>
        </w:rPr>
        <w:t xml:space="preserve">.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w:t>
      </w:r>
    </w:p>
    <w:p>
      <w:pPr>
        <w:pStyle w:val="TextBody"/>
        <w:bidi w:val="0"/>
        <w:spacing w:before="0" w:after="24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pStyle w:val="TextBody"/>
        <w:bidi w:val="0"/>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Golden Parachute Excise Tax</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Best Pay</w:t>
      </w:r>
      <w:r>
        <w:rPr>
          <w:rFonts w:ascii="Times New Roman;sans-serif" w:hAnsi="Times New Roman;sans-serif"/>
          <w:b w:val="false"/>
          <w:color w:val="000000"/>
          <w:sz w:val="24"/>
        </w:rPr>
        <w:t>. Any provision of this Agreement to the contrary notwithstanding, if any payment or benefit Executive would receive from the Company pursuant to this Agreement or otherwise (“</w:t>
      </w:r>
      <w:r>
        <w:rPr>
          <w:rFonts w:ascii="Times New Roman;sans-serif" w:hAnsi="Times New Roman;sans-serif"/>
          <w:b/>
          <w:i/>
          <w:color w:val="000000"/>
          <w:sz w:val="24"/>
        </w:rPr>
        <w:t>Payment</w:t>
      </w:r>
      <w:r>
        <w:rPr>
          <w:color w:val="000000"/>
        </w:rPr>
        <w:t>”</w:t>
      </w:r>
      <w:r>
        <w:rPr>
          <w:rFonts w:ascii="Times New Roman;sans-serif" w:hAnsi="Times New Roman;sans-serif"/>
          <w:b w:val="false"/>
          <w:color w:val="000000"/>
          <w:sz w:val="24"/>
        </w:rPr>
        <w:t>) would (i) constitute a “parachute payment” within the meaning of Section 280G of the Code and (ii) but for this sentence, be subject to the excise tax imposed by Section 4999 of the Code (the “</w:t>
      </w:r>
      <w:r>
        <w:rPr>
          <w:rFonts w:ascii="Times New Roman;sans-serif" w:hAnsi="Times New Roman;sans-serif"/>
          <w:b/>
          <w:i/>
          <w:color w:val="000000"/>
          <w:sz w:val="24"/>
        </w:rPr>
        <w:t>Excise Tax</w:t>
      </w:r>
      <w:r>
        <w:rPr>
          <w:color w:val="000000"/>
        </w:rPr>
        <w:t>”</w:t>
      </w:r>
      <w:r>
        <w:rPr>
          <w:rFonts w:ascii="Times New Roman;sans-serif" w:hAnsi="Times New Roman;sans-serif"/>
          <w:b w:val="false"/>
          <w:color w:val="000000"/>
          <w:sz w:val="24"/>
        </w:rPr>
        <w:t>), then such Payment will be equal to the Reduced Amount (as defined below). The “</w:t>
      </w:r>
      <w:r>
        <w:rPr>
          <w:rFonts w:ascii="Times New Roman;sans-serif" w:hAnsi="Times New Roman;sans-serif"/>
          <w:b/>
          <w:i/>
          <w:color w:val="000000"/>
          <w:sz w:val="24"/>
        </w:rPr>
        <w:t>Reduced Amount</w:t>
      </w:r>
      <w:r>
        <w:rPr>
          <w:color w:val="000000"/>
        </w:rPr>
        <w:t xml:space="preserve">” </w:t>
      </w:r>
      <w:r>
        <w:rPr>
          <w:rFonts w:ascii="Times New Roman;sans-serif" w:hAnsi="Times New Roman;sans-serif"/>
          <w:b w:val="false"/>
          <w:color w:val="000000"/>
          <w:sz w:val="24"/>
        </w:rPr>
        <w:t>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Times New Roman;sans-serif" w:hAnsi="Times New Roman;sans-serif"/>
          <w:b/>
          <w:i/>
          <w:color w:val="000000"/>
          <w:sz w:val="24"/>
        </w:rPr>
        <w:t>Reduction Method</w:t>
      </w:r>
      <w:r>
        <w:rPr>
          <w:color w:val="000000"/>
        </w:rPr>
        <w:t>”</w:t>
      </w:r>
      <w:r>
        <w:rPr>
          <w:rFonts w:ascii="Times New Roman;sans-serif" w:hAnsi="Times New Roman;sans-serif"/>
          <w:b w:val="false"/>
          <w:color w:val="000000"/>
          <w:sz w:val="24"/>
        </w:rPr>
        <w:t>) that results in the greatest economic benefit for Executive. If more than one method of reduction will result in the same economic benefit, the items so reduced will be reduced pro rata (the “</w:t>
      </w:r>
      <w:r>
        <w:rPr>
          <w:rFonts w:ascii="Times New Roman;sans-serif" w:hAnsi="Times New Roman;sans-serif"/>
          <w:b/>
          <w:i/>
          <w:color w:val="000000"/>
          <w:sz w:val="24"/>
        </w:rPr>
        <w:t>Pro Rata Reduction Method</w:t>
      </w:r>
      <w:r>
        <w:rPr>
          <w:color w:val="000000"/>
        </w:rPr>
        <w:t>”</w:t>
      </w:r>
      <w:r>
        <w:rPr>
          <w:rFonts w:ascii="Times New Roman;sans-serif" w:hAnsi="Times New Roman;sans-serif"/>
          <w:b w:val="false"/>
          <w:color w:val="000000"/>
          <w:sz w:val="24"/>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 (1) as a first priority, the modification shall preserve to the greatest extent possible, the greatest economic benefit for Executive as determined on an after-tax basis; (2) as a second priority, Payments that are contingent on future events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Accounting Firm</w:t>
      </w:r>
      <w:r>
        <w:rPr>
          <w:rFonts w:ascii="Times New Roman;sans-serif" w:hAnsi="Times New Roman;sans-serif"/>
          <w:b w:val="false"/>
          <w:color w:val="000000"/>
          <w:sz w:val="24"/>
        </w:rPr>
        <w:t>. The accounting firm engaged by the Company for general tax purposes as of the day prior to the Change in Control will perform the calculations set forth in Section 9(a).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pStyle w:val="TextBody"/>
        <w:bidi w:val="0"/>
        <w:spacing w:before="0" w:after="24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Section 409A</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The intent of the Company and Executive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4"/>
        </w:rPr>
        <w:t>) and, accordingly, to the maximum extent permitted, this Agreement shall be interpreted to be in compliance therewith. Notwithstanding any provision of this Agreement to the contrary, if the Company determines that any compensation or benefits payable under this Agreement may be subject to Section 409A, the Company shall work in good faith with Executive to adopt such amendments to this Agreement or adopt other policies and procedures (including amendments, policies and procedures with retroactive effect), or take any other actions, that the Company determines are necessary or appropriate to avoid the imposition of taxes under Section 409A, including, without limitation, actions intended to (i) exempt the compensation and benefits payable under this Agreement from Section 409A, and/or (ii) comply with the requirements of Section 409A; however, this Section 10(a) shall not create an obligation on the part of the Company to adopt any such amendment, policy or procedure or take any such other action, nor shall the Company (A) have any liability for failing to do so, or (B) incur or indemnify Executive for any taxes, interest or other liabilities arising under or by operation of Section 409A.</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Separation from Service, Installments and Reimbursements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Notwithstanding any provision to the contrary in this Agreement: (i) no amount that constitutes “deferred compensation” under Section 409A shall be payable pursuant to Section 6 unless the termination of Executive’s employment constitutes a “separation from service” within the meaning of Section 1.409A-1(h) of the Department of Treasury Regulations (“</w:t>
      </w:r>
      <w:r>
        <w:rPr>
          <w:rFonts w:ascii="Times New Roman;sans-serif" w:hAnsi="Times New Roman;sans-serif"/>
          <w:b/>
          <w:i/>
          <w:color w:val="000000"/>
          <w:sz w:val="24"/>
        </w:rPr>
        <w:t>Separation from Service</w:t>
      </w:r>
      <w:r>
        <w:rPr>
          <w:color w:val="000000"/>
        </w:rPr>
        <w:t>”</w:t>
      </w:r>
      <w:r>
        <w:rPr>
          <w:rFonts w:ascii="Times New Roman;sans-serif" w:hAnsi="Times New Roman;sans-serif"/>
          <w:b w:val="false"/>
          <w:color w:val="000000"/>
          <w:sz w:val="24"/>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Specified Employee</w:t>
      </w:r>
      <w:r>
        <w:rPr>
          <w:rFonts w:ascii="Times New Roman;sans-serif" w:hAnsi="Times New Roman;sans-serif"/>
          <w:b w:val="false"/>
          <w:color w:val="000000"/>
          <w:sz w:val="24"/>
        </w:rPr>
        <w:t xml:space="preserve">.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xml:space="preserve">. Notwithstanding anything to the contrary in this Agreement, to the extent that any payments due under this Agreement as a result of Executive’s termination of employment are subject to Executive’s execution and delivery of the Release, (i)  if Executive fails to execute the Release on or prior to the Release Expiration Date (as defined below) or timely revokes Executive’s acceptance of the Release thereafter, Executive shall not be entitled to any payments or benefits otherwise conditioned on the Release, and (ii) in any case where </w:t>
      </w:r>
    </w:p>
    <w:p>
      <w:pPr>
        <w:pStyle w:val="TextBody"/>
        <w:bidi w:val="0"/>
        <w:spacing w:before="0" w:after="24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Executive’s Date of Termination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Section 10(d), “</w:t>
      </w:r>
      <w:r>
        <w:rPr>
          <w:rFonts w:ascii="Times New Roman;sans-serif" w:hAnsi="Times New Roman;sans-serif"/>
          <w:b/>
          <w:i/>
          <w:color w:val="000000"/>
          <w:sz w:val="24"/>
        </w:rPr>
        <w:t>Release Expiration Date</w:t>
      </w:r>
      <w:r>
        <w:rPr>
          <w:color w:val="000000"/>
        </w:rPr>
        <w:t xml:space="preserve">” </w:t>
      </w:r>
      <w:r>
        <w:rPr>
          <w:rFonts w:ascii="Times New Roman;sans-serif" w:hAnsi="Times New Roman;sans-serif"/>
          <w:b w:val="false"/>
          <w:color w:val="000000"/>
          <w:sz w:val="24"/>
        </w:rPr>
        <w:t>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w:t>
      </w:r>
      <w:r>
        <w:rPr>
          <w:color w:val="000000"/>
        </w:rPr>
        <w:t xml:space="preserve"> </w:t>
      </w:r>
      <w:r>
        <w:rPr>
          <w:rFonts w:ascii="Times New Roman;sans-serif" w:hAnsi="Times New Roman;sans-serif"/>
          <w:b w:val="false"/>
          <w:color w:val="000000"/>
          <w:sz w:val="24"/>
        </w:rPr>
        <w:t>days following such delivery date. To the extent that any payments of nonqualified deferred compensation (within the meaning of Section 409A) due under this Agreement as a result of Executive’s termination of employment are delayed pursuant to this Section 10(d), such amounts shall be paid in a lump sum on the first payroll date following the date that Executive executes and does not revoke the Release (and the applicable revocation period has expired) or, in the case of any payments subject to Section 10(d)(ii), on the first payroll period to occur in the subsequent taxable year, if later.</w:t>
      </w:r>
    </w:p>
    <w:p>
      <w:pPr>
        <w:pStyle w:val="TextBody"/>
        <w:bidi w:val="0"/>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Employee Acknowledgement</w:t>
      </w:r>
      <w:r>
        <w:rPr>
          <w:rFonts w:ascii="Times New Roman;sans-serif" w:hAnsi="Times New Roman;sans-serif"/>
          <w:b w:val="false"/>
          <w:color w:val="000000"/>
          <w:sz w:val="24"/>
        </w:rPr>
        <w:t xml:space="preserve">.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 </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Executive have executed this Agreement as of the Effective Date.</w:t>
      </w:r>
    </w:p>
    <w:p>
      <w:pPr>
        <w:pStyle w:val="TextBody"/>
        <w:bidi w:val="0"/>
        <w:spacing w:lineRule="auto" w:line="240" w:before="0" w:after="240"/>
        <w:jc w:val="both"/>
        <w:rPr>
          <w:color w:val="000000"/>
        </w:rPr>
      </w:pPr>
      <w:r>
        <w:rPr>
          <w:color w:val="000000"/>
        </w:rPr>
        <w:t>            </w:t>
      </w:r>
    </w:p>
    <w:p>
      <w:pPr>
        <w:pStyle w:val="TextBody"/>
        <w:bidi w:val="0"/>
        <w:spacing w:lineRule="auto" w:line="240" w:before="240" w:after="240"/>
        <w:jc w:val="both"/>
        <w:rPr>
          <w:rFonts w:ascii="Times New Roman;sans-serif" w:hAnsi="Times New Roman;sans-serif"/>
          <w:b/>
          <w:color w:val="000000"/>
          <w:sz w:val="24"/>
        </w:rPr>
      </w:pPr>
      <w:r>
        <w:rPr>
          <w:rFonts w:ascii="Times New Roman;sans-serif" w:hAnsi="Times New Roman;sans-serif"/>
          <w:b/>
          <w:color w:val="000000"/>
          <w:sz w:val="24"/>
        </w:rPr>
        <w:t>BRILLIANT GROUP EARTH, INC.</w:t>
      </w:r>
    </w:p>
    <w:p>
      <w:pPr>
        <w:pStyle w:val="TextBody"/>
        <w:bidi w:val="0"/>
        <w:spacing w:lineRule="auto" w:line="240" w:before="600" w:after="2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Eric Grossberg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Name: Eric Grossberg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Title: Executive Chairman</w:t>
      </w:r>
    </w:p>
    <w:p>
      <w:pPr>
        <w:pStyle w:val="TextBody"/>
        <w:bidi w:val="0"/>
        <w:spacing w:before="0" w:after="24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600" w:after="240"/>
        <w:jc w:val="both"/>
        <w:rPr>
          <w:rFonts w:ascii="Times New Roman;sans-serif" w:hAnsi="Times New Roman;sans-serif"/>
          <w:b/>
          <w:color w:val="000000"/>
          <w:sz w:val="24"/>
        </w:rPr>
      </w:pPr>
      <w:r>
        <w:rPr>
          <w:rFonts w:ascii="Times New Roman;sans-serif" w:hAnsi="Times New Roman;sans-serif"/>
          <w:b/>
          <w:color w:val="000000"/>
          <w:sz w:val="24"/>
        </w:rPr>
        <w:t>EXECUTIVE</w:t>
      </w:r>
    </w:p>
    <w:p>
      <w:pPr>
        <w:pStyle w:val="TextBody"/>
        <w:bidi w:val="0"/>
        <w:spacing w:lineRule="auto" w:line="240" w:before="600" w:after="2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Beth Gerstein    </w:t>
      </w:r>
    </w:p>
    <w:p>
      <w:pPr>
        <w:pStyle w:val="TextBody"/>
        <w:bidi w:val="0"/>
        <w:spacing w:lineRule="auto" w:line="240" w:before="0" w:after="240"/>
        <w:ind w:left="0" w:right="0" w:firstLine="3600"/>
        <w:jc w:val="both"/>
        <w:rPr>
          <w:rFonts w:ascii="Times New Roman;sans-serif" w:hAnsi="Times New Roman;sans-serif"/>
          <w:b w:val="false"/>
          <w:color w:val="000000"/>
          <w:sz w:val="24"/>
        </w:rPr>
      </w:pPr>
      <w:r>
        <w:rPr>
          <w:rFonts w:ascii="Times New Roman;sans-serif" w:hAnsi="Times New Roman;sans-serif"/>
          <w:b w:val="false"/>
          <w:color w:val="000000"/>
          <w:sz w:val="24"/>
        </w:rPr>
        <w:t>Name: Beth Gerstein</w:t>
      </w:r>
    </w:p>
    <w:p>
      <w:pPr>
        <w:pStyle w:val="TextBody"/>
        <w:bidi w:val="0"/>
        <w:spacing w:before="0" w:after="283"/>
        <w:jc w:val="left"/>
        <w:rPr/>
      </w:pPr>
      <w:r>
        <w:rPr/>
      </w:r>
    </w:p>
    <w:p>
      <w:pPr>
        <w:pStyle w:val="TextBody"/>
        <w:bidi w:val="0"/>
        <w:spacing w:before="0" w:after="24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PERMITTED OUTSIDE ACTIVITIES</w:t>
      </w:r>
    </w:p>
    <w:p>
      <w:pPr>
        <w:pStyle w:val="TextBody"/>
        <w:bidi w:val="0"/>
        <w:spacing w:before="0" w:after="240"/>
        <w:jc w:val="left"/>
        <w:rPr/>
      </w:pPr>
      <w:r>
        <w:rPr/>
      </w:r>
    </w:p>
    <w:p>
      <w:pPr>
        <w:pStyle w:val="TextBody"/>
        <w:bidi w:val="0"/>
        <w:spacing w:before="240" w:after="240"/>
        <w:jc w:val="both"/>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BRILLIANT EARTH GROUP,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EMPLOYMENT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Employment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entered into effective as of May 10,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is between Eric Grossberg (“</w:t>
      </w:r>
      <w:r>
        <w:rPr>
          <w:rFonts w:ascii="Times New Roman;sans-serif" w:hAnsi="Times New Roman;sans-serif"/>
          <w:b/>
          <w:i/>
          <w:color w:val="000000"/>
          <w:sz w:val="24"/>
        </w:rPr>
        <w:t>Executive</w:t>
      </w:r>
      <w:r>
        <w:rPr>
          <w:color w:val="000000"/>
        </w:rPr>
        <w:t>”</w:t>
      </w:r>
      <w:r>
        <w:rPr>
          <w:rFonts w:ascii="Times New Roman;sans-serif" w:hAnsi="Times New Roman;sans-serif"/>
          <w:b w:val="false"/>
          <w:color w:val="000000"/>
          <w:sz w:val="24"/>
        </w:rPr>
        <w:t>) and Brilliant Earth Group, Inc., a Delaware corporation (“</w:t>
      </w:r>
      <w:r>
        <w:rPr>
          <w:rFonts w:ascii="Times New Roman;sans-serif" w:hAnsi="Times New Roman;sans-serif"/>
          <w:b/>
          <w:i/>
          <w:color w:val="000000"/>
          <w:sz w:val="24"/>
        </w:rPr>
        <w:t>Group</w:t>
      </w:r>
      <w:r>
        <w:rPr>
          <w:color w:val="000000"/>
        </w:rPr>
        <w:t xml:space="preserve">” </w:t>
      </w:r>
      <w:r>
        <w:rPr>
          <w:rFonts w:ascii="Times New Roman;sans-serif" w:hAnsi="Times New Roman;sans-serif"/>
          <w:b w:val="false"/>
          <w:color w:val="000000"/>
          <w:sz w:val="24"/>
        </w:rPr>
        <w:t>and, together with any subsidiary or affiliate of Group that employs Executive,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This Agreement supersedes in its entirety that certain offer letter between Executive and the Company dated as of September 22, 2021 (“</w:t>
      </w:r>
      <w:r>
        <w:rPr>
          <w:rFonts w:ascii="Times New Roman;sans-serif" w:hAnsi="Times New Roman;sans-serif"/>
          <w:b/>
          <w:i/>
          <w:color w:val="000000"/>
          <w:sz w:val="24"/>
        </w:rPr>
        <w:t>Offer Letter</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the Company desires to assure itself of the continued services of Executive by continuing to engage Executive to perform services as an employee of the Company under the terms hereof; </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Executive desires to provide continued services to the Company on the terms herein provided; and</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the Company and Executive desire to execute this Agreement to supersede the Offer Letter in its entirety and reflect certain changes to Executive’s employment with the Company effective as of the Effective Date. </w:t>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and for other good and valuable consideration, including the respective covenants and agreements set forth below, the receipt and sufficiency of which are hereby acknowledged, the Company and Executive hereto agree as follows:</w:t>
      </w:r>
    </w:p>
    <w:p>
      <w:pPr>
        <w:pStyle w:val="TextBody"/>
        <w:bidi w:val="0"/>
        <w:spacing w:lineRule="auto" w:line="240" w:before="0" w:after="240"/>
        <w:ind w:left="0" w:right="0" w:firstLine="720"/>
        <w:jc w:val="left"/>
        <w:rPr/>
      </w:pPr>
      <w:r>
        <w:rPr>
          <w:rFonts w:ascii="Times New Roman;sans-serif" w:hAnsi="Times New Roman;sans-serif"/>
          <w:b/>
          <w:color w:val="000000"/>
          <w:sz w:val="24"/>
        </w:rPr>
        <w:t>1.</w:t>
      </w:r>
      <w:r>
        <w:rPr>
          <w:rFonts w:ascii="Times New Roman;sans-serif" w:hAnsi="Times New Roman;sans-serif"/>
          <w:b/>
          <w:color w:val="000000"/>
          <w:sz w:val="24"/>
        </w:rPr>
        <w:t>Employment.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The Company shall employ Executive upon the terms and conditions provided herein effective as of the Effective Date.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Position and Duties</w:t>
      </w:r>
      <w:r>
        <w:rPr>
          <w:rFonts w:ascii="Times New Roman;sans-serif" w:hAnsi="Times New Roman;sans-serif"/>
          <w:b w:val="false"/>
          <w:color w:val="000000"/>
          <w:sz w:val="24"/>
        </w:rPr>
        <w:t>. Effective as of the Effective Date, Executive: (i) shall continue to serve as the Company’s Executive Chairman, with responsibilities, duties, and authority usual and customary for such position, subject to direction by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xml:space="preserve">); (ii) shall continue to report directly to the Board; and (iii) agrees promptly and faithfully to comply with all present and future policies, requirements, rules and regulations, and reasonable directions and requests, of the Company in connection with the Company’s business. At the Company’s request, Executive shall serve the Company and/or its subsidiaries and affiliates in such other capacities in addition to the foregoing as the Company shall designate, provided that such additional capacities are consistent with Executive’s position as the Company’s Executive Chairman. As of the Effective Date, Executive shall continue to serve as a member of the Board. In the event that Executive serves in any one or more of such additional capacities, Executive’s compensation shall not automatically be increased on account of such additional service. </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Principal Office</w:t>
      </w:r>
      <w:r>
        <w:rPr>
          <w:rFonts w:ascii="Times New Roman;sans-serif" w:hAnsi="Times New Roman;sans-serif"/>
          <w:b w:val="false"/>
          <w:color w:val="000000"/>
          <w:sz w:val="24"/>
        </w:rPr>
        <w:t>. Executive shall continue to perform services for the Company at the Company’s offices located in San Francisco, California, or, with the Company’s consent, at any other place in connection with the fulfillment of Executive’s role with the Company; provided, however, that the Company may from time to time require Executive to travel temporarily to other locations in connection with the Company’s business.</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72160"/>
                <wp:effectExtent l="0" t="0" r="0" b="0"/>
                <wp:wrapNone/>
                <wp:docPr id="55" name="Frame5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Exclusivity</w:t>
      </w:r>
      <w:r>
        <w:rPr>
          <w:rFonts w:ascii="Times New Roman;sans-serif" w:hAnsi="Times New Roman;sans-serif"/>
          <w:b w:val="false"/>
          <w:color w:val="000000"/>
          <w:sz w:val="24"/>
        </w:rPr>
        <w:t xml:space="preserve">. Except with the prior written approval of the Board (which the Board may grant or withhold in the Board’s sole and absolute discretion), Executive shall devote Executive’s best efforts and full working time, attention, and energies to the business of the Company, except during any paid vacation or other excused absence periods. Notwithstanding the foregoing, Executive may, without violating this Section 1(d), (i) as a passive investment, own publicly traded securities in such form or manner as will not require any services by Executive in the operation of the entities in which such securities are owned; (ii) engage in charitable and civic activities; or (iii) engage in other personal passive investment activities, in each case, so long as such interests or activities do not materially interfere to the extent such activities do not, individually or in the aggregate, interfere with or otherwise prevent the performance of Executive’s duties and responsibilities hereunder. Executive may also serve as a member of the board of directors or board of advisors of another organization provided (i) such organization is not a competitor of the Company; (ii) Executive receives prior written approval from the Board; and (iii) such activities do not individually or in the aggregate interfere with the performance of Executive’s duties under this Agreement, violate the Company’s standards of conduct then in effect, or raise a conflict under the Company’s conflict of interest policies. For the avoidance of doubt, the Board has approved Executive’s continued service with those organizations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such approval to continue until the earlier to occur of (a) the Board’s revocation of such approval in the Board’s sole and absolute discretion, or (b) such time as such service interferes with the performance of Executive’s duties under this Agreement, violates the Company’s standards of conflict or raises a conflict under the Company’s conflict of interest policies. </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Term</w:t>
      </w:r>
      <w:r>
        <w:rPr>
          <w:rFonts w:ascii="Times New Roman;sans-serif" w:hAnsi="Times New Roman;sans-serif"/>
          <w:b w:val="false"/>
          <w:color w:val="000000"/>
          <w:sz w:val="24"/>
        </w:rPr>
        <w:t>. The period of Executive’s employment under this Agreement shall commence on the Effective Date and shall continue until Executive’s employment with the Company is terminated pursuant to Section 5. The phrase “</w:t>
      </w:r>
      <w:r>
        <w:rPr>
          <w:rFonts w:ascii="Times New Roman;sans-serif" w:hAnsi="Times New Roman;sans-serif"/>
          <w:b/>
          <w:i/>
          <w:color w:val="000000"/>
          <w:sz w:val="24"/>
        </w:rPr>
        <w:t>Term</w:t>
      </w:r>
      <w:r>
        <w:rPr>
          <w:color w:val="000000"/>
        </w:rPr>
        <w:t xml:space="preserve">” </w:t>
      </w:r>
      <w:r>
        <w:rPr>
          <w:rFonts w:ascii="Times New Roman;sans-serif" w:hAnsi="Times New Roman;sans-serif"/>
          <w:b w:val="false"/>
          <w:color w:val="000000"/>
          <w:sz w:val="24"/>
        </w:rPr>
        <w:t>as used in this Agreement shall refer to the entire period of employment of Executive by the Company.</w:t>
      </w:r>
    </w:p>
    <w:p>
      <w:pPr>
        <w:pStyle w:val="TextBody"/>
        <w:bidi w:val="0"/>
        <w:spacing w:lineRule="auto" w:line="240" w:before="0" w:after="240"/>
        <w:ind w:left="0" w:right="0" w:hanging="720"/>
        <w:jc w:val="both"/>
        <w:rPr/>
      </w:pPr>
      <w:r>
        <w:rPr>
          <w:rFonts w:ascii="Times New Roman;sans-serif" w:hAnsi="Times New Roman;sans-serif"/>
          <w:b/>
          <w:color w:val="000000"/>
          <w:sz w:val="24"/>
        </w:rPr>
        <w:t>3.Compensation and Related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Annual Base Salary</w:t>
      </w:r>
      <w:r>
        <w:rPr>
          <w:rFonts w:ascii="Times New Roman;sans-serif" w:hAnsi="Times New Roman;sans-serif"/>
          <w:b w:val="false"/>
          <w:color w:val="000000"/>
          <w:sz w:val="24"/>
        </w:rPr>
        <w:t>. During the Term, Executive shall receive a base salary at the rate of $600,000</w:t>
      </w:r>
      <w:r>
        <w:rPr>
          <w:color w:val="000000"/>
        </w:rPr>
        <w:t xml:space="preserve"> </w:t>
      </w:r>
      <w:r>
        <w:rPr>
          <w:rFonts w:ascii="Times New Roman;sans-serif" w:hAnsi="Times New Roman;sans-serif"/>
          <w:b w:val="false"/>
          <w:color w:val="000000"/>
          <w:sz w:val="24"/>
        </w:rPr>
        <w:t>per year (as may be increased from time to time, the “</w:t>
      </w:r>
      <w:r>
        <w:rPr>
          <w:rFonts w:ascii="Times New Roman;sans-serif" w:hAnsi="Times New Roman;sans-serif"/>
          <w:b/>
          <w:i/>
          <w:color w:val="000000"/>
          <w:sz w:val="24"/>
        </w:rPr>
        <w:t>Annual Base Salary</w:t>
      </w:r>
      <w:r>
        <w:rPr>
          <w:color w:val="000000"/>
        </w:rPr>
        <w:t>”</w:t>
      </w:r>
      <w:r>
        <w:rPr>
          <w:rFonts w:ascii="Times New Roman;sans-serif" w:hAnsi="Times New Roman;sans-serif"/>
          <w:b w:val="false"/>
          <w:color w:val="000000"/>
          <w:sz w:val="24"/>
        </w:rPr>
        <w:t xml:space="preserve">). The Annual Base Salary shall be subject to withholdings and deductions and paid to Executive in accordance with the customary payroll practices and procedures of the Company. Such Annual Base Salary shall be reviewed by the Board and/or the Compensation Committee of the Board, not less than annually.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Annual Bonus</w:t>
      </w:r>
      <w:r>
        <w:rPr>
          <w:rFonts w:ascii="Times New Roman;sans-serif" w:hAnsi="Times New Roman;sans-serif"/>
          <w:b w:val="false"/>
          <w:color w:val="000000"/>
          <w:sz w:val="24"/>
        </w:rPr>
        <w:t>. Executive shall be eligible to receive a discretionary annual bonus based on Executive’s achievement of performance objectives established by the Board and/or its Compensation Committee, such bonus to be targeted at a percentage of the Executive’s Annual Base Salary (the “</w:t>
      </w:r>
      <w:r>
        <w:rPr>
          <w:rFonts w:ascii="Times New Roman;sans-serif" w:hAnsi="Times New Roman;sans-serif"/>
          <w:b/>
          <w:i/>
          <w:color w:val="000000"/>
          <w:sz w:val="24"/>
        </w:rPr>
        <w:t>Annual Bonus</w:t>
      </w:r>
      <w:r>
        <w:rPr>
          <w:color w:val="000000"/>
        </w:rPr>
        <w:t>”</w:t>
      </w:r>
      <w:r>
        <w:rPr>
          <w:rFonts w:ascii="Times New Roman;sans-serif" w:hAnsi="Times New Roman;sans-serif"/>
          <w:b w:val="false"/>
          <w:color w:val="000000"/>
          <w:sz w:val="24"/>
        </w:rPr>
        <w:t xml:space="preserve">) as determined annually by the Board and/or the Compensation Committee. Any Annual Bonus approved by the Board and/or the Compensation Committee of the Board shall be paid in the year following the year to which such Annual Bonus relates at the same time annual bonuses are paid to other executives of the Company generally, subject to Executive’s continued employment through the payment date. </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Benefits</w:t>
      </w:r>
      <w:r>
        <w:rPr>
          <w:rFonts w:ascii="Times New Roman;sans-serif" w:hAnsi="Times New Roman;sans-serif"/>
          <w:b w:val="false"/>
          <w:color w:val="000000"/>
          <w:sz w:val="24"/>
        </w:rPr>
        <w:t>. Executive shall be entitled to participate in such employee and executive benefit plans and programs as the Company may from time to time offer to provide to its executives, subject to the terms and conditions of such plans. Notwithstanding the foregoing, nothing herein is intended, or shall be construed, to require the Company to institute or continue any particular plan or benefit.</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72160"/>
                <wp:effectExtent l="0" t="0" r="0" b="0"/>
                <wp:wrapNone/>
                <wp:docPr id="56" name="Frame5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Business Expenses</w:t>
      </w:r>
      <w:r>
        <w:rPr>
          <w:rFonts w:ascii="Times New Roman;sans-serif" w:hAnsi="Times New Roman;sans-serif"/>
          <w:b w:val="false"/>
          <w:color w:val="000000"/>
          <w:sz w:val="24"/>
        </w:rPr>
        <w:t xml:space="preserve">.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 </w:t>
      </w:r>
    </w:p>
    <w:p>
      <w:pPr>
        <w:pStyle w:val="TextBody"/>
        <w:bidi w:val="0"/>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u w:val="single"/>
        </w:rPr>
        <w:t>Vacation</w:t>
      </w:r>
      <w:r>
        <w:rPr>
          <w:rFonts w:ascii="Times New Roman;sans-serif" w:hAnsi="Times New Roman;sans-serif"/>
          <w:b w:val="false"/>
          <w:color w:val="000000"/>
          <w:sz w:val="24"/>
        </w:rPr>
        <w:t>. Executive will be entitled to paid vacation in accordance with the Company’s vacation policy, as in effect from time to time.</w:t>
      </w:r>
    </w:p>
    <w:p>
      <w:pPr>
        <w:pStyle w:val="TextBody"/>
        <w:bidi w:val="0"/>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rPr>
        <w:t xml:space="preserve">Equity Awards. </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Eligibility</w:t>
      </w:r>
      <w:r>
        <w:rPr>
          <w:rFonts w:ascii="Times New Roman;sans-serif" w:hAnsi="Times New Roman;sans-serif"/>
          <w:b w:val="false"/>
          <w:color w:val="000000"/>
          <w:sz w:val="24"/>
        </w:rPr>
        <w:t>. Executive shall be eligible for the discretionary grant of stock options, restricted stock units and other equity awards following the Effective Date as may be determined by the Board or its Compensation Committee.</w:t>
      </w:r>
    </w:p>
    <w:p>
      <w:pPr>
        <w:pStyle w:val="TextBody"/>
        <w:bidi w:val="0"/>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Termination.</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xml:space="preserve">. The Company and Executive acknowledge that Executive’s employment is and shall continue to be at-will, as defined under applicable law. This means that it is not for any specified period of time and, subject to any ramifications under Section 6 of this Agreement,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a duly-authorized officer of the Company. If Executive’s employment terminates for any lawful reason, Executive shall not be entitled to any payments, benefits, damages, award, or compensation other than as provided in this Agreement.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During the Term, any termination of Executive’s employment by the Company or by Executive (other than by reason of death) shall be communicated by written notice (a “</w:t>
      </w:r>
      <w:r>
        <w:rPr>
          <w:rFonts w:ascii="Times New Roman;sans-serif" w:hAnsi="Times New Roman;sans-serif"/>
          <w:b/>
          <w:i/>
          <w:color w:val="000000"/>
          <w:sz w:val="24"/>
        </w:rPr>
        <w:t>Notice of Termination</w:t>
      </w:r>
      <w:r>
        <w:rPr>
          <w:color w:val="000000"/>
        </w:rPr>
        <w:t>”</w:t>
      </w:r>
      <w:r>
        <w:rPr>
          <w:rFonts w:ascii="Times New Roman;sans-serif" w:hAnsi="Times New Roman;sans-serif"/>
          <w:b w:val="false"/>
          <w:color w:val="000000"/>
          <w:sz w:val="24"/>
        </w:rPr>
        <w:t xml:space="preserve">) from one Party hereto to the other Party hereto (i) 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Termination (as defined below). The failure by the Company to set forth in the Notice of Termination all of the facts and circumstances which contribute to a showing of Cause (as defined below) shall not waive any right of the Company hereunder or preclude the Company from asserting such fact or circumstance in enforcing its rights hereunder. </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Date of Termination</w:t>
      </w:r>
      <w:r>
        <w:rPr>
          <w:rFonts w:ascii="Times New Roman;sans-serif" w:hAnsi="Times New Roman;sans-serif"/>
          <w:b w:val="false"/>
          <w:color w:val="000000"/>
          <w:sz w:val="24"/>
        </w:rPr>
        <w:t>. For purposes of this Agreement, “</w:t>
      </w:r>
      <w:r>
        <w:rPr>
          <w:rFonts w:ascii="Times New Roman;sans-serif" w:hAnsi="Times New Roman;sans-serif"/>
          <w:b/>
          <w:i/>
          <w:color w:val="000000"/>
          <w:sz w:val="24"/>
        </w:rPr>
        <w:t>Date of Termination</w:t>
      </w:r>
      <w:r>
        <w:rPr>
          <w:color w:val="000000"/>
        </w:rPr>
        <w:t xml:space="preserve">” </w:t>
      </w:r>
      <w:r>
        <w:rPr>
          <w:rFonts w:ascii="Times New Roman;sans-serif" w:hAnsi="Times New Roman;sans-serif"/>
          <w:b w:val="false"/>
          <w:color w:val="000000"/>
          <w:sz w:val="24"/>
        </w:rPr>
        <w:t>shall mean the date of the termination of Executive’s employment with the Company specified in a Notice of Termination.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Deemed Resignation</w:t>
      </w:r>
      <w:r>
        <w:rPr>
          <w:rFonts w:ascii="Times New Roman;sans-serif" w:hAnsi="Times New Roman;sans-serif"/>
          <w:b w:val="false"/>
          <w:color w:val="000000"/>
          <w:sz w:val="24"/>
        </w:rPr>
        <w:t>. Upon termination of Executive’s employment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pStyle w:val="TextBody"/>
        <w:bidi w:val="0"/>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Consequences of Termination</w:t>
      </w:r>
      <w:r>
        <w:rPr>
          <w:rFonts w:ascii="Times New Roman;sans-serif" w:hAnsi="Times New Roman;sans-serif"/>
          <w:b w:val="false"/>
          <w:color w:val="000000"/>
          <w:sz w:val="24"/>
        </w:rPr>
        <w:t>.</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72160"/>
                <wp:effectExtent l="0" t="0" r="0" b="0"/>
                <wp:wrapNone/>
                <wp:docPr id="57" name="Frame5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Payments of Accrued Obligations upon all Terminations of Employment</w:t>
      </w:r>
      <w:r>
        <w:rPr>
          <w:rFonts w:ascii="Times New Roman;sans-serif" w:hAnsi="Times New Roman;sans-serif"/>
          <w:b w:val="false"/>
          <w:color w:val="000000"/>
          <w:sz w:val="24"/>
        </w:rPr>
        <w:t xml:space="preserve">. Upon a termination of Executive’s employment for any reason, Executive (or Executive’s estate or legal representative, as applicable) shall be entitled to receive, within thirty (30) days after Executive’s Date of Termination (or such earlier date as may be required by applicable law): (i) any portion of Executive’s Annual Base Salary earned through Executive’s Date of Termination not theretofore paid, (ii) any expenses owed to Executive under Section 3, (iii) any accrued but unused paid time-off owed to Executive, (iv) any Annual Bonus earned but unpaid as of the Date of Termination, and (v) any amount arising from Executive’s participation in, or benefits under, any employee benefit plans, programs, or arrangements under Section 3, which amounts shall be payable in accordance with the terms and conditions of such employee benefit plans, programs, or arrangements. Except as otherwise set forth in Sections 6(b) and (c), the payments and benefits described in this Section 6(a) shall be the only payments and benefits payable in the event of Executive’s termination of employment for any reason.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Severance Payments upon Covered Termination Outside a Change in Control Period</w:t>
      </w:r>
      <w:r>
        <w:rPr>
          <w:rFonts w:ascii="Times New Roman;sans-serif" w:hAnsi="Times New Roman;sans-serif"/>
          <w:b w:val="false"/>
          <w:color w:val="000000"/>
          <w:sz w:val="24"/>
        </w:rPr>
        <w:t>. If, during the Term, Executive experiences a Covered Termination outside of a Change in Control Period (each as defined below), then in addition to the payments and benefits described in Section 6(a), the Company shall, subject to Executive’s delivery to the Company of a waiver and release of claims agreement in a form acceptable to the Company (the “</w:t>
      </w:r>
      <w:r>
        <w:rPr>
          <w:rFonts w:ascii="Times New Roman;sans-serif" w:hAnsi="Times New Roman;sans-serif"/>
          <w:b/>
          <w:i/>
          <w:color w:val="000000"/>
          <w:sz w:val="24"/>
        </w:rPr>
        <w:t>Release</w:t>
      </w:r>
      <w:r>
        <w:rPr>
          <w:color w:val="000000"/>
        </w:rPr>
        <w:t>”</w:t>
      </w:r>
      <w:r>
        <w:rPr>
          <w:rFonts w:ascii="Times New Roman;sans-serif" w:hAnsi="Times New Roman;sans-serif"/>
          <w:b w:val="false"/>
          <w:color w:val="000000"/>
          <w:sz w:val="24"/>
        </w:rPr>
        <w:t>) that becomes effective and irrevocable in accordance with Section 10(d), provide Executive with the following:</w:t>
      </w:r>
    </w:p>
    <w:p>
      <w:pPr>
        <w:pStyle w:val="TextBody"/>
        <w:bidi w:val="0"/>
        <w:spacing w:lineRule="auto" w:line="240" w:before="0" w:after="240"/>
        <w:ind w:left="0" w:right="0" w:firstLine="1440"/>
        <w:jc w:val="both"/>
        <w:rPr/>
      </w:pPr>
      <w:r>
        <w:rPr>
          <w:rFonts w:ascii="Times New Roman;sans-serif" w:hAnsi="Times New Roman;sans-serif"/>
          <w:b/>
          <w:color w:val="000000"/>
          <w:sz w:val="24"/>
        </w:rPr>
        <w:t>(i)</w:t>
      </w:r>
      <w:r>
        <w:rPr>
          <w:rFonts w:ascii="Times New Roman;sans-serif" w:hAnsi="Times New Roman;sans-serif"/>
          <w:b w:val="false"/>
          <w:color w:val="000000"/>
          <w:sz w:val="24"/>
        </w:rPr>
        <w:t>The Company shall pay to Executive an amount equal to one (1) multiplied by Executive’s Annual Base Salary. Such amount will be subject to applicable withholdings and payable in a single lump sum cash payment on the first regular payroll date following the date the Release becomes effective and irrevocable in accordance with Section 10(d).</w:t>
      </w:r>
    </w:p>
    <w:p>
      <w:pPr>
        <w:pStyle w:val="TextBody"/>
        <w:bidi w:val="0"/>
        <w:spacing w:lineRule="auto" w:line="240" w:before="0" w:after="240"/>
        <w:ind w:left="0" w:right="0" w:firstLine="1440"/>
        <w:jc w:val="both"/>
        <w:rPr/>
      </w:pPr>
      <w:r>
        <w:rPr>
          <w:rFonts w:ascii="Times New Roman;sans-serif" w:hAnsi="Times New Roman;sans-serif"/>
          <w:b/>
          <w:color w:val="000000"/>
          <w:sz w:val="24"/>
        </w:rPr>
        <w:t>(ii)</w:t>
      </w:r>
      <w:r>
        <w:rPr>
          <w:rFonts w:ascii="Times New Roman;sans-serif" w:hAnsi="Times New Roman;sans-serif"/>
          <w:b w:val="false"/>
          <w:color w:val="000000"/>
          <w:sz w:val="24"/>
        </w:rPr>
        <w:t>During the period commencing on the Date of Termination and ending on the 12 month anniversary thereof or, if earlier, the date on which Executive becomes eligible for comparable replacement coverage under a subsequent employer’s group health plan (in any case, the “</w:t>
      </w:r>
      <w:r>
        <w:rPr>
          <w:rFonts w:ascii="Times New Roman;sans-serif" w:hAnsi="Times New Roman;sans-serif"/>
          <w:b/>
          <w:i/>
          <w:color w:val="000000"/>
          <w:sz w:val="24"/>
        </w:rPr>
        <w:t>Non-CIC COBRA Period</w:t>
      </w:r>
      <w:r>
        <w:rPr>
          <w:color w:val="000000"/>
        </w:rPr>
        <w:t>”</w:t>
      </w:r>
      <w:r>
        <w:rPr>
          <w:rFonts w:ascii="Times New Roman;sans-serif" w:hAnsi="Times New Roman;sans-serif"/>
          <w:b w:val="false"/>
          <w:color w:val="000000"/>
          <w:sz w:val="24"/>
        </w:rPr>
        <w:t>), subject to Executive’s valid election to continue healthcare coverage under Section 4980B of the Internal Revenue Code of 1986, as amended (the “</w:t>
      </w:r>
      <w:r>
        <w:rPr>
          <w:rFonts w:ascii="Times New Roman;sans-serif" w:hAnsi="Times New Roman;sans-serif"/>
          <w:b/>
          <w:i/>
          <w:color w:val="000000"/>
          <w:sz w:val="24"/>
        </w:rPr>
        <w:t>Code</w:t>
      </w:r>
      <w:r>
        <w:rPr>
          <w:color w:val="000000"/>
        </w:rPr>
        <w:t>”</w:t>
      </w:r>
      <w:r>
        <w:rPr>
          <w:rFonts w:ascii="Times New Roman;sans-serif" w:hAnsi="Times New Roman;sans-serif"/>
          <w:b w:val="false"/>
          <w:color w:val="000000"/>
          <w:sz w:val="24"/>
        </w:rPr>
        <w:t xml:space="preserve">) and the regulations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of Termination;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Non-CIC COBRA Period (or remaining portion thereof).</w:t>
      </w:r>
    </w:p>
    <w:p>
      <w:pPr>
        <w:pStyle w:val="TextBody"/>
        <w:bidi w:val="0"/>
        <w:spacing w:lineRule="auto" w:line="240" w:before="0" w:after="240"/>
        <w:ind w:left="0" w:right="0" w:firstLine="72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Severance Payments upon Covered Termination During a Change in Control Period</w:t>
      </w:r>
      <w:r>
        <w:rPr>
          <w:rFonts w:ascii="Times New Roman;sans-serif" w:hAnsi="Times New Roman;sans-serif"/>
          <w:b w:val="false"/>
          <w:color w:val="000000"/>
          <w:sz w:val="24"/>
        </w:rPr>
        <w:t>. If, during the Term, Executive experiences a Covered Termination during a Change in Control Period, then, in addition to the payments and benefits described in Section 6(a), the Company shall, subject to Executive’s delivery to the Company of a Release that becomes effective and irrevocable in accordance with Section 10(d), provide Executive with the following:</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72160"/>
                <wp:effectExtent l="0" t="0" r="0" b="0"/>
                <wp:wrapNone/>
                <wp:docPr id="58" name="Frame5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(i)</w:t>
      </w:r>
      <w:r>
        <w:rPr>
          <w:rFonts w:ascii="Times New Roman;sans-serif" w:hAnsi="Times New Roman;sans-serif"/>
          <w:b w:val="false"/>
          <w:color w:val="000000"/>
          <w:sz w:val="24"/>
        </w:rPr>
        <w:t xml:space="preserve">The Company shall pay to Executive an amount equal to 1.5 multiplied by the sum of Executive’s Annual Base Salary and Executive’s target Annual Bonus. Such amount will be subject to applicable withholdings and payable in a single lump sum cash payment on the first regular payroll date following the date the Release becomes effective and irrevocable in accordance with Section 10(d). </w:t>
      </w:r>
    </w:p>
    <w:p>
      <w:pPr>
        <w:pStyle w:val="TextBody"/>
        <w:bidi w:val="0"/>
        <w:spacing w:lineRule="auto" w:line="240" w:before="0" w:after="240"/>
        <w:ind w:left="0" w:right="0" w:firstLine="720"/>
        <w:jc w:val="both"/>
        <w:rPr/>
      </w:pPr>
      <w:r>
        <w:rPr>
          <w:rFonts w:ascii="Times New Roman;sans-serif" w:hAnsi="Times New Roman;sans-serif"/>
          <w:b/>
          <w:color w:val="000000"/>
          <w:sz w:val="24"/>
        </w:rPr>
        <w:t>(ii)</w:t>
      </w:r>
      <w:r>
        <w:rPr>
          <w:rFonts w:ascii="Times New Roman;sans-serif" w:hAnsi="Times New Roman;sans-serif"/>
          <w:b w:val="false"/>
          <w:color w:val="000000"/>
          <w:sz w:val="24"/>
        </w:rPr>
        <w:t>During the period commencing on the Date of Termination and ending on the eighteen (18) month anniversary thereof or, if earlier, the date on which Executive becomes eligible for comparable replacement coverage under a subsequent employer’s group health plan (in any case, the “</w:t>
      </w:r>
      <w:r>
        <w:rPr>
          <w:rFonts w:ascii="Times New Roman;sans-serif" w:hAnsi="Times New Roman;sans-serif"/>
          <w:b/>
          <w:i/>
          <w:color w:val="000000"/>
          <w:sz w:val="24"/>
        </w:rPr>
        <w:t>CIC COBRA Period</w:t>
      </w:r>
      <w:r>
        <w:rPr>
          <w:color w:val="000000"/>
        </w:rPr>
        <w:t>”</w:t>
      </w:r>
      <w:r>
        <w:rPr>
          <w:rFonts w:ascii="Times New Roman;sans-serif" w:hAnsi="Times New Roman;sans-serif"/>
          <w:b w:val="false"/>
          <w:color w:val="000000"/>
          <w:sz w:val="24"/>
        </w:rPr>
        <w:t xml:space="preserve">), subject to Executive’s valid election to continue healthcare coverage under Section 4980B of the Code and the regulations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of Termination;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CIC COBRA Period (or remaining portion thereof).</w:t>
      </w:r>
    </w:p>
    <w:p>
      <w:pPr>
        <w:pStyle w:val="TextBody"/>
        <w:bidi w:val="0"/>
        <w:spacing w:lineRule="auto" w:line="240" w:before="0" w:after="240"/>
        <w:ind w:left="0" w:right="0" w:firstLine="720"/>
        <w:jc w:val="both"/>
        <w:rPr/>
      </w:pPr>
      <w:r>
        <w:rPr>
          <w:rFonts w:ascii="Times New Roman;sans-serif" w:hAnsi="Times New Roman;sans-serif"/>
          <w:b/>
          <w:color w:val="000000"/>
          <w:sz w:val="24"/>
        </w:rPr>
        <w:t>(iii)</w:t>
      </w:r>
      <w:r>
        <w:rPr>
          <w:rFonts w:ascii="Times New Roman;sans-serif" w:hAnsi="Times New Roman;sans-serif"/>
          <w:b w:val="false"/>
          <w:color w:val="000000"/>
          <w:sz w:val="24"/>
        </w:rPr>
        <w:t xml:space="preserve">Cause any unvested equity awards, including any stock options, restricted stock awards and any such awards subject to performance-based vesting, held by Executive as of the Date of Termination, to become fully vested and, if applicable, exercisable, and cause all restrictions and rights of repurchase on such awards to lapse with respect to all of the shares of the Company’s Common Stock subject thereto. </w:t>
      </w:r>
    </w:p>
    <w:p>
      <w:pPr>
        <w:pStyle w:val="TextBody"/>
        <w:bidi w:val="0"/>
        <w:spacing w:lineRule="auto" w:line="240" w:before="0" w:after="240"/>
        <w:ind w:left="0" w:right="0" w:firstLine="72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No Other Severance</w:t>
      </w:r>
      <w:r>
        <w:rPr>
          <w:rFonts w:ascii="Times New Roman;sans-serif" w:hAnsi="Times New Roman;sans-serif"/>
          <w:b w:val="false"/>
          <w:color w:val="000000"/>
          <w:sz w:val="24"/>
        </w:rPr>
        <w:t>. Except as otherwise approved by the Board, the provisions of this Section 6 shall supersede in their entirety any severance payment provisions in any severance plan, policy, program, or other arrangement maintained by the Company.</w:t>
      </w:r>
    </w:p>
    <w:p>
      <w:pPr>
        <w:pStyle w:val="TextBody"/>
        <w:bidi w:val="0"/>
        <w:spacing w:lineRule="auto" w:line="240" w:before="0" w:after="240"/>
        <w:ind w:left="0" w:right="0" w:firstLine="720"/>
        <w:jc w:val="both"/>
        <w:rPr/>
      </w:pPr>
      <w:r>
        <w:rPr>
          <w:rFonts w:ascii="Times New Roman;sans-serif" w:hAnsi="Times New Roman;sans-serif"/>
          <w:b/>
          <w:color w:val="000000"/>
          <w:sz w:val="24"/>
        </w:rPr>
        <w:t>(e)</w:t>
      </w:r>
      <w:r>
        <w:rPr>
          <w:rFonts w:ascii="Times New Roman;sans-serif" w:hAnsi="Times New Roman;sans-serif"/>
          <w:b w:val="false"/>
          <w:color w:val="000000"/>
          <w:sz w:val="24"/>
          <w:u w:val="single"/>
        </w:rPr>
        <w:t>No Requirement to Mitigate; Survival</w:t>
      </w:r>
      <w:r>
        <w:rPr>
          <w:rFonts w:ascii="Times New Roman;sans-serif" w:hAnsi="Times New Roman;sans-serif"/>
          <w:b w:val="false"/>
          <w:color w:val="000000"/>
          <w:sz w:val="24"/>
        </w:rPr>
        <w:t xml:space="preserve">.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 </w:t>
      </w:r>
    </w:p>
    <w:p>
      <w:pPr>
        <w:pStyle w:val="TextBody"/>
        <w:bidi w:val="0"/>
        <w:spacing w:lineRule="auto" w:line="240" w:before="0" w:after="240"/>
        <w:ind w:left="0" w:right="0" w:firstLine="720"/>
        <w:jc w:val="both"/>
        <w:rPr/>
      </w:pPr>
      <w:r>
        <w:rPr>
          <w:rFonts w:ascii="Times New Roman;sans-serif" w:hAnsi="Times New Roman;sans-serif"/>
          <w:b/>
          <w:color w:val="000000"/>
          <w:sz w:val="24"/>
        </w:rPr>
        <w:t>(f)</w:t>
      </w:r>
      <w:r>
        <w:rPr>
          <w:rFonts w:ascii="Times New Roman;sans-serif" w:hAnsi="Times New Roman;sans-serif"/>
          <w:b w:val="false"/>
          <w:color w:val="000000"/>
          <w:sz w:val="24"/>
          <w:u w:val="single"/>
        </w:rPr>
        <w:t>Definition of Cause</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 xml:space="preserve">shall mean any one of the following: (i) any willful, material violation by Executive of any law or regulation applicable to the business of the Company or a subsidiary or other affiliate of the Company, (ii) Executive’s conviction for, or guilty plea to, a felony (or crime of similar magnitude under applicable law outside the United States) or a crime involving moral turpitude, or any willful perpetration by Executive of a common law fraud, act of material dishonesty or misappropriation or similar conduct against the Company, (iii) Executive’s commission of an act of personal dishonesty which involves personal profit in connection with the Company or any other entity having a business relationship with the Company, (iv) any material breach or violation by Executive of any provision of any agreement or understanding between the Company or any Subsidiary or other affiliate of the Company and Executive regarding the terms of Executive’s service as an employee, officer, director or consultant to the Company or a subsidiary or other affiliate of the Company, including without limitation, the willful and continued failure or refusal of Executive to perform the material duties required of Executive as an employee, officer, director or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72160"/>
                <wp:effectExtent l="0" t="0" r="0" b="0"/>
                <wp:wrapNone/>
                <wp:docPr id="59" name="Frame5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consultant of the Company or a subsidiary or other affiliate of the Company, other than as a result of having a permanent disability, or a breach of any applicable invention assignment and confidentiality agreement or similar agreement between the Company or a subsidiary or other affiliate of the Company and Executive, (v) Executive’s violation of the Company’s code of ethics, (vi) Executive’s disregard of the policies of the Company or any subsidiary or other affiliate of the Company so as to cause loss, harm, damage or injury to the property, reputation or employees of the Company or a subsidiary or other affiliate of the Company, or (vii) any other misconduct by Executive which is injurious to the financial condition or business reputation of, or is otherwise injurious to, the Company or a subsidiary or other affiliate of the Company.</w:t>
      </w:r>
    </w:p>
    <w:p>
      <w:pPr>
        <w:pStyle w:val="TextBody"/>
        <w:bidi w:val="0"/>
        <w:spacing w:lineRule="auto" w:line="240" w:before="0" w:after="240"/>
        <w:ind w:left="0" w:right="0" w:firstLine="1440"/>
        <w:jc w:val="both"/>
        <w:rPr/>
      </w:pPr>
      <w:r>
        <w:rPr>
          <w:rFonts w:ascii="Times New Roman;sans-serif" w:hAnsi="Times New Roman;sans-serif"/>
          <w:b/>
          <w:color w:val="000000"/>
          <w:sz w:val="24"/>
        </w:rPr>
        <w:t>(g)</w:t>
      </w:r>
      <w:r>
        <w:rPr>
          <w:rFonts w:ascii="Times New Roman;sans-serif" w:hAnsi="Times New Roman;sans-serif"/>
          <w:b w:val="false"/>
          <w:color w:val="000000"/>
          <w:sz w:val="24"/>
          <w:u w:val="single"/>
        </w:rPr>
        <w:t>Definition of Change in Control</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Change in Control</w:t>
      </w:r>
      <w:r>
        <w:rPr>
          <w:color w:val="000000"/>
        </w:rPr>
        <w:t xml:space="preserve">” </w:t>
      </w:r>
      <w:r>
        <w:rPr>
          <w:rFonts w:ascii="Times New Roman;sans-serif" w:hAnsi="Times New Roman;sans-serif"/>
          <w:b w:val="false"/>
          <w:color w:val="000000"/>
          <w:sz w:val="24"/>
        </w:rPr>
        <w:t>shall have the meaning ascribed such term in Group’s 2021 Incentive Award Plan.</w:t>
      </w:r>
    </w:p>
    <w:p>
      <w:pPr>
        <w:pStyle w:val="TextBody"/>
        <w:bidi w:val="0"/>
        <w:spacing w:lineRule="auto" w:line="240" w:before="0" w:after="240"/>
        <w:ind w:left="0" w:right="0" w:firstLine="1440"/>
        <w:jc w:val="both"/>
        <w:rPr/>
      </w:pPr>
      <w:r>
        <w:rPr>
          <w:rFonts w:ascii="Times New Roman;sans-serif" w:hAnsi="Times New Roman;sans-serif"/>
          <w:b/>
          <w:color w:val="000000"/>
          <w:sz w:val="24"/>
        </w:rPr>
        <w:t>(h)</w:t>
      </w:r>
      <w:r>
        <w:rPr>
          <w:rFonts w:ascii="Times New Roman;sans-serif" w:hAnsi="Times New Roman;sans-serif"/>
          <w:b w:val="false"/>
          <w:color w:val="000000"/>
          <w:sz w:val="24"/>
          <w:u w:val="single"/>
        </w:rPr>
        <w:t>Definition of Change in Control Period</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Change in Control Period</w:t>
      </w:r>
      <w:r>
        <w:rPr>
          <w:color w:val="000000"/>
        </w:rPr>
        <w:t xml:space="preserve">” </w:t>
      </w:r>
      <w:r>
        <w:rPr>
          <w:rFonts w:ascii="Times New Roman;sans-serif" w:hAnsi="Times New Roman;sans-serif"/>
          <w:b w:val="false"/>
          <w:color w:val="000000"/>
          <w:sz w:val="24"/>
        </w:rPr>
        <w:t>shall mean the period commencing 3 months prior to a Change in Control and ending 12 months after such Change in Control.</w:t>
      </w:r>
    </w:p>
    <w:p>
      <w:pPr>
        <w:pStyle w:val="TextBody"/>
        <w:bidi w:val="0"/>
        <w:spacing w:lineRule="auto" w:line="240" w:before="0" w:after="240"/>
        <w:ind w:left="0" w:right="0" w:firstLine="1440"/>
        <w:jc w:val="both"/>
        <w:rPr/>
      </w:pPr>
      <w:r>
        <w:rPr>
          <w:rFonts w:ascii="Times New Roman;sans-serif" w:hAnsi="Times New Roman;sans-serif"/>
          <w:b/>
          <w:color w:val="000000"/>
          <w:sz w:val="24"/>
        </w:rPr>
        <w:t>(i)</w:t>
      </w:r>
      <w:r>
        <w:rPr>
          <w:rFonts w:ascii="Times New Roman;sans-serif" w:hAnsi="Times New Roman;sans-serif"/>
          <w:b w:val="false"/>
          <w:color w:val="000000"/>
          <w:sz w:val="24"/>
          <w:u w:val="single"/>
        </w:rPr>
        <w:t>Definition of Covered Termination</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Covered Termination</w:t>
      </w:r>
      <w:r>
        <w:rPr>
          <w:color w:val="000000"/>
        </w:rPr>
        <w:t xml:space="preserve">” </w:t>
      </w:r>
      <w:r>
        <w:rPr>
          <w:rFonts w:ascii="Times New Roman;sans-serif" w:hAnsi="Times New Roman;sans-serif"/>
          <w:b w:val="false"/>
          <w:color w:val="000000"/>
          <w:sz w:val="24"/>
        </w:rPr>
        <w:t>shall mean the termination of Executive’s employment by the Company without Cause or by Executive for Good Reason, and shall not include a termination due to Executive’s death or disability.</w:t>
      </w:r>
    </w:p>
    <w:p>
      <w:pPr>
        <w:pStyle w:val="TextBody"/>
        <w:bidi w:val="0"/>
        <w:spacing w:lineRule="auto" w:line="240" w:before="0" w:after="240"/>
        <w:ind w:left="0" w:right="0" w:firstLine="1440"/>
        <w:jc w:val="both"/>
        <w:rPr/>
      </w:pPr>
      <w:r>
        <w:rPr>
          <w:rFonts w:ascii="Times New Roman;sans-serif" w:hAnsi="Times New Roman;sans-serif"/>
          <w:b/>
          <w:color w:val="000000"/>
          <w:sz w:val="24"/>
        </w:rPr>
        <w:t>(j)</w:t>
      </w:r>
      <w:r>
        <w:rPr>
          <w:rFonts w:ascii="Times New Roman;sans-serif" w:hAnsi="Times New Roman;sans-serif"/>
          <w:b w:val="false"/>
          <w:color w:val="000000"/>
          <w:sz w:val="24"/>
          <w:u w:val="single"/>
        </w:rPr>
        <w:t>Definition of Good Reason</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 xml:space="preserve">means the occurrence of any of the following events or circumstances, without Executive’s prior written consent: (i) a material reduction in Executive’s Annual Base Salary, (ii) a material diminution in Executive’s duties or responsibilities, or level of authority, (iii) a relocation of Executive’s principal place of employment that increases Executive’s one-way commute by at least thirty-five (35) miles, or (iv) material breach of this Agreement by the Company. Notwithstanding the foregoing, in no event shall Executive be deemed to have Good Reason unless (A) Executive provides written notice to the Company of the condition giving rise to Good Reason within sixty (60) days of its initial occurrence, (B) the Company fails to cure such condition within thirty (30) days after the Company receives Executive’s written notice of such condition and (C) Executive’s resignation is effective within thirty (30) days following the end of such cure period. </w:t>
      </w:r>
    </w:p>
    <w:p>
      <w:pPr>
        <w:pStyle w:val="TextBody"/>
        <w:bidi w:val="0"/>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Assignment and Successors</w:t>
      </w:r>
      <w:r>
        <w:rPr>
          <w:rFonts w:ascii="Times New Roman;sans-serif" w:hAnsi="Times New Roman;sans-serif"/>
          <w:b w:val="false"/>
          <w:color w:val="000000"/>
          <w:sz w:val="24"/>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Miscellaneous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Proprietary Information and Inventions Agreement</w:t>
      </w:r>
      <w:r>
        <w:rPr>
          <w:rFonts w:ascii="Times New Roman;sans-serif" w:hAnsi="Times New Roman;sans-serif"/>
          <w:b w:val="false"/>
          <w:color w:val="000000"/>
          <w:sz w:val="24"/>
        </w:rPr>
        <w:t>. Executive hereby affirms Executive’s obligations under that certain Proprietary Information and Inventions Agreement with the Company (or its predecessor in interest, as applicable</w:t>
      </w:r>
      <w:r>
        <w:rPr>
          <w:rFonts w:ascii="Times New Roman;sans-serif" w:hAnsi="Times New Roman;sans-serif"/>
          <w:b w:val="false"/>
          <w:color w:val="000000"/>
          <w:sz w:val="22"/>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Proprietary Information Agreement</w:t>
      </w:r>
      <w:r>
        <w:rPr>
          <w:color w:val="000000"/>
        </w:rPr>
        <w:t>”</w:t>
      </w:r>
      <w:r>
        <w:rPr>
          <w:rFonts w:ascii="Times New Roman;sans-serif" w:hAnsi="Times New Roman;sans-serif"/>
          <w:b w:val="false"/>
          <w:color w:val="000000"/>
          <w:sz w:val="24"/>
        </w:rPr>
        <w:t>). The Proprietary Information Agreement shall survive the termination of this Agreement and Executive’s employment with the Company for the applicable period(s) set forth therein. Notwithstanding the foregoing, in the event of any conflict between the terms of the Confidentiality Agreement and the terms of this Agreement, the terms of this Agreement shall prevail.</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72160"/>
                <wp:effectExtent l="0" t="0" r="0" b="0"/>
                <wp:wrapNone/>
                <wp:docPr id="60" name="Frame6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Non-Solicitation of Employees</w:t>
      </w:r>
      <w:r>
        <w:rPr>
          <w:rFonts w:ascii="Times New Roman;sans-serif" w:hAnsi="Times New Roman;sans-serif"/>
          <w:b w:val="false"/>
          <w:color w:val="000000"/>
          <w:sz w:val="24"/>
        </w:rPr>
        <w:t xml:space="preserve">. For a period of one year following Executive’s Date of Termination, Executive shall not, either directly or indirectly (i) solicit for employment by any individual, corporation, firm, or other business, any employees, consultants, independent contractors, or other service providers of the Company or any of its affiliates, or (ii) solicit any employee or consultant of the Company or any of its affiliates to leave the employment or consulting of or cease providing services to the Company or any of its affiliates;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the foregoing clauses (i) and (ii) shall not apply to a general advertisement or solicitation (or any hiring pursuant to such advertisement or solicitation) that is not specifically targeted to such employees or consultants.</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Validity</w:t>
      </w:r>
      <w:r>
        <w:rPr>
          <w:rFonts w:ascii="Times New Roman;sans-serif" w:hAnsi="Times New Roman;sans-serif"/>
          <w:b w:val="false"/>
          <w:color w:val="000000"/>
          <w:sz w:val="24"/>
        </w:rPr>
        <w:t xml:space="preserve">. The invalidity or unenforceability of any provision or provisions of this Agreement shall not affect the validity or enforceability of any other provision of this Agreement, which shall remain in full force and effect. </w:t>
      </w:r>
    </w:p>
    <w:p>
      <w:pPr>
        <w:pStyle w:val="TextBody"/>
        <w:bidi w:val="0"/>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several counterparts, each of which shall be deemed to be an original, but all of which together will constitute one and the same Agreement. Signatures delivered by facsimile shall be deemed effective for all purposes.</w:t>
      </w:r>
    </w:p>
    <w:p>
      <w:pPr>
        <w:pStyle w:val="TextBody"/>
        <w:bidi w:val="0"/>
        <w:spacing w:lineRule="auto" w:line="240" w:before="0" w:after="240"/>
        <w:ind w:left="0" w:right="0" w:firstLine="1440"/>
        <w:jc w:val="both"/>
        <w:rPr/>
      </w:pPr>
      <w:r>
        <w:rPr>
          <w:rFonts w:ascii="Times New Roman;sans-serif" w:hAnsi="Times New Roman;sans-serif"/>
          <w:b/>
          <w:color w:val="000000"/>
          <w:sz w:val="24"/>
        </w:rPr>
        <w:t>(f)</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The terms of this Agreement, together with the Proprietary Information Agreement and that certain Indemnification and Advancement Agreement between the Company and Executive (the “</w:t>
      </w:r>
      <w:r>
        <w:rPr>
          <w:rFonts w:ascii="Times New Roman;sans-serif" w:hAnsi="Times New Roman;sans-serif"/>
          <w:b/>
          <w:i/>
          <w:color w:val="000000"/>
          <w:sz w:val="24"/>
        </w:rPr>
        <w:t>Indemnification Agreement</w:t>
      </w:r>
      <w:r>
        <w:rPr>
          <w:color w:val="000000"/>
        </w:rPr>
        <w:t>”</w:t>
      </w:r>
      <w:r>
        <w:rPr>
          <w:rFonts w:ascii="Times New Roman;sans-serif" w:hAnsi="Times New Roman;sans-serif"/>
          <w:b w:val="false"/>
          <w:color w:val="000000"/>
          <w:sz w:val="24"/>
        </w:rPr>
        <w:t xml:space="preserve">), are intended by the Company and Executive to be the final expression of their agreement with respect to the employment of Executive by the Company and supersede all prior understandings and agreements, whether written or oral, regarding Executive’s service to the Company, including without limitation, the Offer Letter. The Company and Executive further intend that this Agreement, together with the Proprietary Information Agreement and the Indemnification Agreement, shall constitute the complete and exclusive statement of their terms and that no extrinsic evidence whatsoever may be introduced in any judicial, administrative, or other legal proceeding to vary the terms of this Agreement, the Proprietary Information Agreement, or the Indemnification Agreement. Notwithstanding the foregoing, in the event of any conflict between the terms of the Proprietary Information Agreement and the terms of this Agreement, the terms of this Agreement shall prevail. </w:t>
      </w:r>
    </w:p>
    <w:p>
      <w:pPr>
        <w:pStyle w:val="TextBody"/>
        <w:bidi w:val="0"/>
        <w:spacing w:lineRule="auto" w:line="240" w:before="0" w:after="240"/>
        <w:ind w:left="0" w:right="0" w:firstLine="1440"/>
        <w:jc w:val="both"/>
        <w:rPr/>
      </w:pPr>
      <w:r>
        <w:rPr>
          <w:rFonts w:ascii="Times New Roman;sans-serif" w:hAnsi="Times New Roman;sans-serif"/>
          <w:b/>
          <w:color w:val="000000"/>
          <w:sz w:val="24"/>
        </w:rPr>
        <w:t>(g)</w:t>
      </w:r>
      <w:r>
        <w:rPr>
          <w:rFonts w:ascii="Times New Roman;sans-serif" w:hAnsi="Times New Roman;sans-serif"/>
          <w:b w:val="false"/>
          <w:color w:val="000000"/>
          <w:sz w:val="24"/>
          <w:u w:val="single"/>
        </w:rPr>
        <w:t>Amendments; Waivers</w:t>
      </w:r>
      <w:r>
        <w:rPr>
          <w:rFonts w:ascii="Times New Roman;sans-serif" w:hAnsi="Times New Roman;sans-serif"/>
          <w:b w:val="false"/>
          <w:color w:val="000000"/>
          <w:sz w:val="24"/>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 </w:t>
      </w:r>
    </w:p>
    <w:p>
      <w:pPr>
        <w:pStyle w:val="TextBody"/>
        <w:bidi w:val="0"/>
        <w:spacing w:lineRule="auto" w:line="240" w:before="0" w:after="240"/>
        <w:ind w:left="0" w:right="0" w:firstLine="1440"/>
        <w:jc w:val="both"/>
        <w:rPr/>
      </w:pPr>
      <w:r>
        <w:rPr>
          <w:rFonts w:ascii="Times New Roman;sans-serif" w:hAnsi="Times New Roman;sans-serif"/>
          <w:b/>
          <w:color w:val="000000"/>
          <w:sz w:val="24"/>
        </w:rPr>
        <w:t>(h)</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 xml:space="preserve">. To ensure the timely and economical resolution of disputes that arise in connection with this Agreement, Executive and the Company agree that,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72160"/>
                <wp:effectExtent l="0" t="0" r="0" b="0"/>
                <wp:wrapNone/>
                <wp:docPr id="61" name="Frame6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except as excluded herein, any and all controversies, claims and disputes arising out of or relating to this Agreement, including without limitation any alleged violation of its terms or otherwise arising out of relationship of the Company and Executive, shall be resolved solely and exclusively by final and binding arbitration held in San Francisco County, California through JAMS in conformity with California law and the then-existing JAMS employment arbitration rules, which can be found at </w:t>
      </w:r>
      <w:r>
        <w:rPr>
          <w:rFonts w:ascii="Times New Roman;sans-serif" w:hAnsi="Times New Roman;sans-serif"/>
          <w:b w:val="false"/>
          <w:color w:val="0563C1"/>
          <w:sz w:val="24"/>
          <w:u w:val="single"/>
        </w:rPr>
        <w:t>https://www.jamsadr.com/rules-employment-arbitration/</w:t>
      </w:r>
      <w:r>
        <w:rPr>
          <w:rFonts w:ascii="Times New Roman;sans-serif" w:hAnsi="Times New Roman;sans-serif"/>
          <w:b w:val="false"/>
          <w:color w:val="000000"/>
          <w:sz w:val="24"/>
        </w:rPr>
        <w:t>. The Federal Arbitration Act, 9 U.S.C. §§ 1 et seq. shall govern the interpretation and enforcement of this arbitration clause. All remedies available from a court of competent jurisdiction shall be available in the arbitration; provided, however, in the event of a breach of Sections 8(a) or 8(b), the Company may request relief from a court of competent jurisdiction if such relief is not available or not available in a timely fashion through arbitration as determined by the Company. The arbitrator shall: (a) provide adequate discovery for the resolution of the dispute; and (b) issue a written arbitration decision, to include the arbitrator’s essential findings and conclusions and a statement of the award. The arbitrator shall award the prevailing Party attorneys’ fees and expert fees, if any. Notwithstanding the foregoing, it is acknowledged that it will be impossible to measure in money the damages that would be suffered if the Company or Executive fail to comply with any of the obligations imposed on them under Sections 8(a) and 8(b),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Sections 8(a) and 8(b), none of the parties shall raise the defense, without a good faith basis for raising such defense, that there is an adequate remedy at law. Executive and the Company understand that by agreement to arbitrate any claim pursuant to this Section 8(h),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collective action or representative proceeding. Nothing herein shall limit Executive’s ability to pursue claims for workers compensation or unemployment benefits or pursue other claims which by law cannot be subject to mandatory arbitration.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(i)</w:t>
      </w:r>
      <w:r>
        <w:rPr>
          <w:rFonts w:ascii="Times New Roman;sans-serif" w:hAnsi="Times New Roman;sans-serif"/>
          <w:b w:val="false"/>
          <w:color w:val="000000"/>
          <w:sz w:val="24"/>
          <w:u w:val="single"/>
        </w:rPr>
        <w:t>Enforcement</w:t>
      </w:r>
      <w:r>
        <w:rPr>
          <w:rFonts w:ascii="Times New Roman;sans-serif" w:hAnsi="Times New Roman;sans-serif"/>
          <w:b w:val="false"/>
          <w:color w:val="000000"/>
          <w:sz w:val="24"/>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bidi w:val="0"/>
        <w:spacing w:lineRule="auto" w:line="240" w:before="0" w:after="240"/>
        <w:ind w:left="0" w:right="0" w:firstLine="1440"/>
        <w:jc w:val="both"/>
        <w:rPr/>
      </w:pPr>
      <w:r>
        <w:rPr>
          <w:rFonts w:ascii="Times New Roman;sans-serif" w:hAnsi="Times New Roman;sans-serif"/>
          <w:b/>
          <w:color w:val="000000"/>
          <w:sz w:val="24"/>
        </w:rPr>
        <w:t>(j)</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pStyle w:val="TextBody"/>
        <w:bidi w:val="0"/>
        <w:spacing w:lineRule="auto" w:line="240" w:before="0" w:after="240"/>
        <w:ind w:left="0" w:right="0" w:firstLine="1440"/>
        <w:jc w:val="both"/>
        <w:rPr/>
      </w:pPr>
      <w:r>
        <w:rPr>
          <w:rFonts w:ascii="Times New Roman;sans-serif" w:hAnsi="Times New Roman;sans-serif"/>
          <w:b/>
          <w:color w:val="000000"/>
          <w:sz w:val="24"/>
        </w:rPr>
        <w:t>(k)</w:t>
      </w:r>
      <w:r>
        <w:rPr>
          <w:rFonts w:ascii="Times New Roman;sans-serif" w:hAnsi="Times New Roman;sans-serif"/>
          <w:b w:val="false"/>
          <w:color w:val="000000"/>
          <w:sz w:val="24"/>
          <w:u w:val="single"/>
        </w:rPr>
        <w:t>Whistleblower Protections and Trade Secrets</w:t>
      </w:r>
      <w:r>
        <w:rPr>
          <w:rFonts w:ascii="Times New Roman;sans-serif" w:hAnsi="Times New Roman;sans-serif"/>
          <w:b w:val="false"/>
          <w:color w:val="000000"/>
          <w:sz w:val="24"/>
        </w:rPr>
        <w:t xml:space="preserve">.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72160"/>
                <wp:effectExtent l="0" t="0" r="0" b="0"/>
                <wp:wrapNone/>
                <wp:docPr id="62" name="Frame6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pStyle w:val="TextBody"/>
        <w:bidi w:val="0"/>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Golden Parachute Excise Tax</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Best Pay</w:t>
      </w:r>
      <w:r>
        <w:rPr>
          <w:rFonts w:ascii="Times New Roman;sans-serif" w:hAnsi="Times New Roman;sans-serif"/>
          <w:b w:val="false"/>
          <w:color w:val="000000"/>
          <w:sz w:val="24"/>
        </w:rPr>
        <w:t>. Any provision of this Agreement to the contrary notwithstanding, if any payment or benefit Executive would receive from the Company pursuant to this Agreement or otherwise (“</w:t>
      </w:r>
      <w:r>
        <w:rPr>
          <w:rFonts w:ascii="Times New Roman;sans-serif" w:hAnsi="Times New Roman;sans-serif"/>
          <w:b/>
          <w:i/>
          <w:color w:val="000000"/>
          <w:sz w:val="24"/>
        </w:rPr>
        <w:t>Payment</w:t>
      </w:r>
      <w:r>
        <w:rPr>
          <w:color w:val="000000"/>
        </w:rPr>
        <w:t>”</w:t>
      </w:r>
      <w:r>
        <w:rPr>
          <w:rFonts w:ascii="Times New Roman;sans-serif" w:hAnsi="Times New Roman;sans-serif"/>
          <w:b w:val="false"/>
          <w:color w:val="000000"/>
          <w:sz w:val="24"/>
        </w:rPr>
        <w:t>) would (i) constitute a “parachute payment” within the meaning of Section 280G of the Code and (ii) but for this sentence, be subject to the excise tax imposed by Section 4999 of the Code (the “</w:t>
      </w:r>
      <w:r>
        <w:rPr>
          <w:rFonts w:ascii="Times New Roman;sans-serif" w:hAnsi="Times New Roman;sans-serif"/>
          <w:b/>
          <w:i/>
          <w:color w:val="000000"/>
          <w:sz w:val="24"/>
        </w:rPr>
        <w:t>Excise Tax</w:t>
      </w:r>
      <w:r>
        <w:rPr>
          <w:color w:val="000000"/>
        </w:rPr>
        <w:t>”</w:t>
      </w:r>
      <w:r>
        <w:rPr>
          <w:rFonts w:ascii="Times New Roman;sans-serif" w:hAnsi="Times New Roman;sans-serif"/>
          <w:b w:val="false"/>
          <w:color w:val="000000"/>
          <w:sz w:val="24"/>
        </w:rPr>
        <w:t>), then such Payment will be equal to the Reduced Amount (as defined below). The “</w:t>
      </w:r>
      <w:r>
        <w:rPr>
          <w:rFonts w:ascii="Times New Roman;sans-serif" w:hAnsi="Times New Roman;sans-serif"/>
          <w:b/>
          <w:i/>
          <w:color w:val="000000"/>
          <w:sz w:val="24"/>
        </w:rPr>
        <w:t>Reduced Amount</w:t>
      </w:r>
      <w:r>
        <w:rPr>
          <w:color w:val="000000"/>
        </w:rPr>
        <w:t xml:space="preserve">” </w:t>
      </w:r>
      <w:r>
        <w:rPr>
          <w:rFonts w:ascii="Times New Roman;sans-serif" w:hAnsi="Times New Roman;sans-serif"/>
          <w:b w:val="false"/>
          <w:color w:val="000000"/>
          <w:sz w:val="24"/>
        </w:rPr>
        <w:t>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Times New Roman;sans-serif" w:hAnsi="Times New Roman;sans-serif"/>
          <w:b/>
          <w:i/>
          <w:color w:val="000000"/>
          <w:sz w:val="24"/>
        </w:rPr>
        <w:t>Reduction Method</w:t>
      </w:r>
      <w:r>
        <w:rPr>
          <w:color w:val="000000"/>
        </w:rPr>
        <w:t>”</w:t>
      </w:r>
      <w:r>
        <w:rPr>
          <w:rFonts w:ascii="Times New Roman;sans-serif" w:hAnsi="Times New Roman;sans-serif"/>
          <w:b w:val="false"/>
          <w:color w:val="000000"/>
          <w:sz w:val="24"/>
        </w:rPr>
        <w:t>) that results in the greatest economic benefit for Executive. If more than one method of reduction will result in the same economic benefit, the items so reduced will be reduced pro rata (the “</w:t>
      </w:r>
      <w:r>
        <w:rPr>
          <w:rFonts w:ascii="Times New Roman;sans-serif" w:hAnsi="Times New Roman;sans-serif"/>
          <w:b/>
          <w:i/>
          <w:color w:val="000000"/>
          <w:sz w:val="24"/>
        </w:rPr>
        <w:t>Pro Rata Reduction Method</w:t>
      </w:r>
      <w:r>
        <w:rPr>
          <w:color w:val="000000"/>
        </w:rPr>
        <w:t>”</w:t>
      </w:r>
      <w:r>
        <w:rPr>
          <w:rFonts w:ascii="Times New Roman;sans-serif" w:hAnsi="Times New Roman;sans-serif"/>
          <w:b w:val="false"/>
          <w:color w:val="000000"/>
          <w:sz w:val="24"/>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 (1) as a first priority, the modification shall preserve to the greatest extent possible, the greatest economic benefit for Executive as determined on an after-tax basis; (2) as a second priority, Payments that are contingent on future events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Accounting Firm</w:t>
      </w:r>
      <w:r>
        <w:rPr>
          <w:rFonts w:ascii="Times New Roman;sans-serif" w:hAnsi="Times New Roman;sans-serif"/>
          <w:b w:val="false"/>
          <w:color w:val="000000"/>
          <w:sz w:val="24"/>
        </w:rPr>
        <w:t xml:space="preserve">. The accounting firm engaged by the Company for general tax purposes as of the day prior to the Change in Control will perform the calculations set forth in Section 9(a).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72160"/>
                <wp:effectExtent l="0" t="0" r="0" b="0"/>
                <wp:wrapNone/>
                <wp:docPr id="63" name="Frame6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pStyle w:val="TextBody"/>
        <w:bidi w:val="0"/>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Section 409A</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The intent of the Company and Executive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4"/>
        </w:rPr>
        <w:t>) and, accordingly, to the maximum extent permitted, this Agreement shall be interpreted to be in compliance therewith. Notwithstanding any provision of this Agreement to the contrary, if the Company determines that any compensation or benefits payable under this Agreement may be subject to Section 409A, the Company shall work in good faith with Executive to adopt such amendments to this Agreement or adopt other policies and procedures (including amendments, policies and procedures with retroactive effect), or take any other actions, that the Company determines are necessary or appropriate to avoid the imposition of taxes under Section 409A, including, without limitation, actions intended to (i) exempt the compensation and benefits payable under this Agreement from Section 409A, and/or (ii) comply with the requirements of Section 409A; however, this Section 10(a) shall not create an obligation on the part of the Company to adopt any such amendment, policy or procedure or take any such other action, nor shall the Company (A) have any liability for failing to do so, or (B) incur or indemnify Executive for any taxes, interest or other liabilities arising under or by operation of Section 409A.</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Separation from Service, Installments and Reimbursements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Notwithstanding any provision to the contrary in this Agreement: (i) no amount that constitutes “deferred compensation” under Section 409A shall be payable pursuant to Section 6 unless the termination of Executive’s employment constitutes a “separation from service” within the meaning of Section 1.409A-1(h) of the Department of Treasury Regulations (“</w:t>
      </w:r>
      <w:r>
        <w:rPr>
          <w:rFonts w:ascii="Times New Roman;sans-serif" w:hAnsi="Times New Roman;sans-serif"/>
          <w:b/>
          <w:i/>
          <w:color w:val="000000"/>
          <w:sz w:val="24"/>
        </w:rPr>
        <w:t>Separation from Service</w:t>
      </w:r>
      <w:r>
        <w:rPr>
          <w:color w:val="000000"/>
        </w:rPr>
        <w:t>”</w:t>
      </w:r>
      <w:r>
        <w:rPr>
          <w:rFonts w:ascii="Times New Roman;sans-serif" w:hAnsi="Times New Roman;sans-serif"/>
          <w:b w:val="false"/>
          <w:color w:val="000000"/>
          <w:sz w:val="24"/>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Specified Employee</w:t>
      </w:r>
      <w:r>
        <w:rPr>
          <w:rFonts w:ascii="Times New Roman;sans-serif" w:hAnsi="Times New Roman;sans-serif"/>
          <w:b w:val="false"/>
          <w:color w:val="000000"/>
          <w:sz w:val="24"/>
        </w:rPr>
        <w:t xml:space="preserve">.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72160"/>
                <wp:effectExtent l="0" t="0" r="0" b="0"/>
                <wp:wrapNone/>
                <wp:docPr id="64" name="Frame6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preceding sentence shall be paid in a lump sum to Executive (or Executive’s estate or beneficiaries), and any remaining payments due to Executive under this Agreement shall be paid as otherwise provided herein. </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Notwithstanding anything to the contrary in this Agreement, to the extent that any payments due under this Agreement as a result of Executive’s termination of employment are subject to Executive’s execution and delivery of the Release, (i)  if Executive fails to execute the Release on or prior to the Release Expiration Date (as defined below) or timely revokes Executive’s acceptance of the Release thereafter, Executive shall not be entitled to any payments or benefits otherwise conditioned on the Release, and (ii)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Section 10(d), “</w:t>
      </w:r>
      <w:r>
        <w:rPr>
          <w:rFonts w:ascii="Times New Roman;sans-serif" w:hAnsi="Times New Roman;sans-serif"/>
          <w:b/>
          <w:i/>
          <w:color w:val="000000"/>
          <w:sz w:val="24"/>
        </w:rPr>
        <w:t>Release Expiration Date</w:t>
      </w:r>
      <w:r>
        <w:rPr>
          <w:color w:val="000000"/>
        </w:rPr>
        <w:t xml:space="preserve">” </w:t>
      </w:r>
      <w:r>
        <w:rPr>
          <w:rFonts w:ascii="Times New Roman;sans-serif" w:hAnsi="Times New Roman;sans-serif"/>
          <w:b w:val="false"/>
          <w:color w:val="000000"/>
          <w:sz w:val="24"/>
        </w:rPr>
        <w:t>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w:t>
      </w:r>
      <w:r>
        <w:rPr>
          <w:color w:val="000000"/>
        </w:rPr>
        <w:t xml:space="preserve"> </w:t>
      </w:r>
      <w:r>
        <w:rPr>
          <w:rFonts w:ascii="Times New Roman;sans-serif" w:hAnsi="Times New Roman;sans-serif"/>
          <w:b w:val="false"/>
          <w:color w:val="000000"/>
          <w:sz w:val="24"/>
        </w:rPr>
        <w:t>days following such delivery date. To the extent that any payments of nonqualified deferred compensation (within the meaning of Section 409A) due under this Agreement as a result of Executive’s termination of employment are delayed pursuant to this Section 10(d), such amounts shall be paid in a lump sum on the first payroll date following the date that Executive executes and does not revoke the Release (and the applicable revocation period has expired) or, in the case of any payments subject to Section 10(d)(ii), on the first payroll period to occur in the subsequent taxable year, if later.</w:t>
      </w:r>
    </w:p>
    <w:p>
      <w:pPr>
        <w:pStyle w:val="TextBody"/>
        <w:bidi w:val="0"/>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Employee Acknowledgement</w:t>
      </w:r>
      <w:r>
        <w:rPr>
          <w:rFonts w:ascii="Times New Roman;sans-serif" w:hAnsi="Times New Roman;sans-serif"/>
          <w:b w:val="false"/>
          <w:color w:val="000000"/>
          <w:sz w:val="24"/>
        </w:rPr>
        <w:t xml:space="preserve">.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 </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72160"/>
                <wp:effectExtent l="0" t="0" r="0" b="0"/>
                <wp:wrapNone/>
                <wp:docPr id="65" name="Frame6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Executive have executed this Agreement as of the Effective Date.</w:t>
      </w:r>
    </w:p>
    <w:p>
      <w:pPr>
        <w:pStyle w:val="TextBody"/>
        <w:bidi w:val="0"/>
        <w:spacing w:lineRule="auto" w:line="240" w:before="0" w:after="240"/>
        <w:jc w:val="both"/>
        <w:rPr>
          <w:color w:val="000000"/>
        </w:rPr>
      </w:pPr>
      <w:r>
        <w:rPr>
          <w:color w:val="000000"/>
        </w:rPr>
        <w:t>            </w:t>
      </w:r>
    </w:p>
    <w:p>
      <w:pPr>
        <w:pStyle w:val="TextBody"/>
        <w:bidi w:val="0"/>
        <w:spacing w:lineRule="auto" w:line="240" w:before="240" w:after="240"/>
        <w:jc w:val="both"/>
        <w:rPr>
          <w:rFonts w:ascii="Times New Roman;sans-serif" w:hAnsi="Times New Roman;sans-serif"/>
          <w:b/>
          <w:color w:val="000000"/>
          <w:sz w:val="24"/>
        </w:rPr>
      </w:pPr>
      <w:r>
        <w:rPr>
          <w:rFonts w:ascii="Times New Roman;sans-serif" w:hAnsi="Times New Roman;sans-serif"/>
          <w:b/>
          <w:color w:val="000000"/>
          <w:sz w:val="24"/>
        </w:rPr>
        <w:t>BRILLIANT GROUP EARTH, INC.</w:t>
      </w:r>
    </w:p>
    <w:p>
      <w:pPr>
        <w:pStyle w:val="TextBody"/>
        <w:bidi w:val="0"/>
        <w:spacing w:lineRule="auto" w:line="240" w:before="600" w:after="2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Beth Gerstein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Name: Beth Gerstein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Title: Chief Executive Officer </w:t>
      </w:r>
    </w:p>
    <w:p>
      <w:pPr>
        <w:pStyle w:val="TextBody"/>
        <w:bidi w:val="0"/>
        <w:spacing w:lineRule="auto" w:line="240" w:before="600" w:after="240"/>
        <w:jc w:val="both"/>
        <w:rPr>
          <w:rFonts w:ascii="Times New Roman;sans-serif" w:hAnsi="Times New Roman;sans-serif"/>
          <w:b/>
          <w:color w:val="000000"/>
          <w:sz w:val="24"/>
        </w:rPr>
      </w:pPr>
      <w:r>
        <w:rPr>
          <w:rFonts w:ascii="Times New Roman;sans-serif" w:hAnsi="Times New Roman;sans-serif"/>
          <w:b/>
          <w:color w:val="000000"/>
          <w:sz w:val="24"/>
        </w:rPr>
        <w:t>EXECUTIVE</w:t>
      </w:r>
    </w:p>
    <w:p>
      <w:pPr>
        <w:pStyle w:val="TextBody"/>
        <w:bidi w:val="0"/>
        <w:spacing w:lineRule="auto" w:line="240" w:before="600" w:after="2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Eric Grossberg    </w:t>
      </w:r>
    </w:p>
    <w:p>
      <w:pPr>
        <w:pStyle w:val="TextBody"/>
        <w:bidi w:val="0"/>
        <w:spacing w:lineRule="auto" w:line="240" w:before="0" w:after="240"/>
        <w:ind w:left="0" w:right="0" w:firstLine="3600"/>
        <w:jc w:val="both"/>
        <w:rPr>
          <w:rFonts w:ascii="Times New Roman;sans-serif" w:hAnsi="Times New Roman;sans-serif"/>
          <w:b w:val="false"/>
          <w:color w:val="000000"/>
          <w:sz w:val="24"/>
        </w:rPr>
      </w:pPr>
      <w:r>
        <w:rPr>
          <w:rFonts w:ascii="Times New Roman;sans-serif" w:hAnsi="Times New Roman;sans-serif"/>
          <w:b w:val="false"/>
          <w:color w:val="000000"/>
          <w:sz w:val="24"/>
        </w:rPr>
        <w:t>Name: Eric Grossberg</w:t>
      </w:r>
    </w:p>
    <w:p>
      <w:pPr>
        <w:pStyle w:val="TextBody"/>
        <w:bidi w:val="0"/>
        <w:spacing w:before="0" w:after="240"/>
        <w:ind w:left="0" w:right="0" w:firstLine="3600"/>
        <w:jc w:val="both"/>
        <w:rPr/>
      </w:pPr>
      <w:r>
        <w:rPr/>
      </w:r>
    </w:p>
    <w:p>
      <w:pPr>
        <w:pStyle w:val="TextBody"/>
        <w:bidi w:val="0"/>
        <w:spacing w:before="0" w:after="240"/>
        <w:jc w:val="center"/>
        <w:rPr/>
      </w:pPr>
      <w:r>
        <w:rPr/>
      </w:r>
    </w:p>
    <w:p>
      <w:pPr>
        <w:pStyle w:val="TextBody"/>
        <w:bidi w:val="0"/>
        <w:spacing w:before="0" w:after="24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44500"/>
                <wp:effectExtent l="0" t="0" r="0" b="0"/>
                <wp:wrapNone/>
                <wp:docPr id="66" name="Frame66"/>
                <a:graphic xmlns:a="http://schemas.openxmlformats.org/drawingml/2006/main">
                  <a:graphicData uri="http://schemas.microsoft.com/office/word/2010/wordprocessingShape">
                    <wps:wsp>
                      <wps:cNvSpPr txBox="1"/>
                      <wps:spPr>
                        <a:xfrm>
                          <a:off x="0" y="0"/>
                          <a:ext cx="6480175" cy="444500"/>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PERMITTED OUTSIDE ACTIVITIES</w:t>
      </w:r>
    </w:p>
    <w:p>
      <w:pPr>
        <w:pStyle w:val="TextBody"/>
        <w:bidi w:val="0"/>
        <w:spacing w:before="0" w:after="240"/>
        <w:jc w:val="left"/>
        <w:rPr/>
      </w:pPr>
      <w:r>
        <w:rPr/>
      </w:r>
    </w:p>
    <w:p>
      <w:pPr>
        <w:pStyle w:val="TextBody"/>
        <w:bidi w:val="0"/>
        <w:spacing w:before="240" w:after="240"/>
        <w:jc w:val="both"/>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10.3</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72160"/>
                <wp:effectExtent l="0" t="0" r="0" b="0"/>
                <wp:wrapNone/>
                <wp:docPr id="67" name="Frame6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|US-DOCS\141174324.1||</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BRILLIANT EARTH GROUP,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EMPLOYMENT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Employment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entered into effective as of May 10,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is between Jeffrey Kuo (“</w:t>
      </w:r>
      <w:r>
        <w:rPr>
          <w:rFonts w:ascii="Times New Roman;sans-serif" w:hAnsi="Times New Roman;sans-serif"/>
          <w:b/>
          <w:i/>
          <w:color w:val="000000"/>
          <w:sz w:val="24"/>
        </w:rPr>
        <w:t>Executive</w:t>
      </w:r>
      <w:r>
        <w:rPr>
          <w:color w:val="000000"/>
        </w:rPr>
        <w:t>”</w:t>
      </w:r>
      <w:r>
        <w:rPr>
          <w:rFonts w:ascii="Times New Roman;sans-serif" w:hAnsi="Times New Roman;sans-serif"/>
          <w:b w:val="false"/>
          <w:color w:val="000000"/>
          <w:sz w:val="24"/>
        </w:rPr>
        <w:t>) and Brilliant Earth Group, Inc., a Delaware corporation (“</w:t>
      </w:r>
      <w:r>
        <w:rPr>
          <w:rFonts w:ascii="Times New Roman;sans-serif" w:hAnsi="Times New Roman;sans-serif"/>
          <w:b/>
          <w:i/>
          <w:color w:val="000000"/>
          <w:sz w:val="24"/>
        </w:rPr>
        <w:t>Group</w:t>
      </w:r>
      <w:r>
        <w:rPr>
          <w:color w:val="000000"/>
        </w:rPr>
        <w:t xml:space="preserve">” </w:t>
      </w:r>
      <w:r>
        <w:rPr>
          <w:rFonts w:ascii="Times New Roman;sans-serif" w:hAnsi="Times New Roman;sans-serif"/>
          <w:b w:val="false"/>
          <w:color w:val="000000"/>
          <w:sz w:val="24"/>
        </w:rPr>
        <w:t>and, together with any subsidiary or affiliate of Group that employs Executive,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This Agreement supersedes in its entirety that certain offer letter between Executive and the Company dated as of September 22, 2021 (“</w:t>
      </w:r>
      <w:r>
        <w:rPr>
          <w:rFonts w:ascii="Times New Roman;sans-serif" w:hAnsi="Times New Roman;sans-serif"/>
          <w:b/>
          <w:i/>
          <w:color w:val="000000"/>
          <w:sz w:val="24"/>
        </w:rPr>
        <w:t>Offer Letter</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the Company desires to assure itself of the continued services of Executive by continuing to engage Executive to perform services as an employee of the Company under the terms hereof; </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Executive desires to provide continued services to the Company on the terms herein provided; and</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the Company and Executive desire to execute this Agreement to supersede the Offer Letter in its entirety and reflect certain changes to Executive’s employment with the Company effective as of the Effective Date. </w:t>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and for other good and valuable consideration, including the respective covenants and agreements set forth below, the receipt and sufficiency of which are hereby acknowledged, the Company and Executive hereto agree as follows:</w:t>
      </w:r>
    </w:p>
    <w:p>
      <w:pPr>
        <w:pStyle w:val="TextBody"/>
        <w:bidi w:val="0"/>
        <w:spacing w:lineRule="auto" w:line="240" w:before="0" w:after="240"/>
        <w:ind w:left="0" w:right="0" w:firstLine="720"/>
        <w:jc w:val="left"/>
        <w:rPr/>
      </w:pPr>
      <w:r>
        <w:rPr>
          <w:rFonts w:ascii="Times New Roman;sans-serif" w:hAnsi="Times New Roman;sans-serif"/>
          <w:b/>
          <w:color w:val="000000"/>
          <w:sz w:val="24"/>
        </w:rPr>
        <w:t>1.</w:t>
      </w:r>
      <w:r>
        <w:rPr>
          <w:rFonts w:ascii="Times New Roman;sans-serif" w:hAnsi="Times New Roman;sans-serif"/>
          <w:b/>
          <w:color w:val="000000"/>
          <w:sz w:val="24"/>
        </w:rPr>
        <w:t>Employment.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The Company shall employ Executive upon the terms and conditions provided herein effective as of the Effective Date.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Position and Duties</w:t>
      </w:r>
      <w:r>
        <w:rPr>
          <w:rFonts w:ascii="Times New Roman;sans-serif" w:hAnsi="Times New Roman;sans-serif"/>
          <w:b w:val="false"/>
          <w:color w:val="000000"/>
          <w:sz w:val="24"/>
        </w:rPr>
        <w:t>. Effective as of the Effective Date, Executive: (i) shall continue to serve as the Company’s Chief Financial Officer, with responsibilities, duties, and authority usual and customary for such position, subject to direction by the Chief Executive Officer of the Company (the “</w:t>
      </w:r>
      <w:r>
        <w:rPr>
          <w:rFonts w:ascii="Times New Roman;sans-serif" w:hAnsi="Times New Roman;sans-serif"/>
          <w:b/>
          <w:i/>
          <w:color w:val="000000"/>
          <w:sz w:val="24"/>
        </w:rPr>
        <w:t>CEO</w:t>
      </w:r>
      <w:r>
        <w:rPr>
          <w:color w:val="000000"/>
        </w:rPr>
        <w:t>”</w:t>
      </w:r>
      <w:r>
        <w:rPr>
          <w:rFonts w:ascii="Times New Roman;sans-serif" w:hAnsi="Times New Roman;sans-serif"/>
          <w:b w:val="false"/>
          <w:color w:val="000000"/>
          <w:sz w:val="24"/>
        </w:rPr>
        <w:t xml:space="preserve">); (ii) shall continue to report directly to the CEO; and (iii) agrees promptly and faithfully to comply with all present and future policies, requirements, rules and regulations, and reasonable directions and requests, of the Company in connection with the Company’s business. At the Company’s request, Executive shall serve the Company and/or its subsidiaries and affiliates in such other capacities in addition to the foregoing as the Company shall designate, provided that such additional capacities are consistent with Executive’s position as the Company’s Chief Financial Officer. In the event that Executive serves in any one or more of such additional capacities, Executive’s compensation shall not automatically be increased on account of such additional service. </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Principal Office</w:t>
      </w:r>
      <w:r>
        <w:rPr>
          <w:rFonts w:ascii="Times New Roman;sans-serif" w:hAnsi="Times New Roman;sans-serif"/>
          <w:b w:val="false"/>
          <w:color w:val="000000"/>
          <w:sz w:val="24"/>
        </w:rPr>
        <w:t>. Executive shall continue to perform services for the Company at the Company’s offices located in San Francisco, California, or, with the Company’s consent, at any other place in connection with the fulfillment of Executive’s role with the Company; provided, however, that the Company may from time to time require Executive to travel temporarily to other locations in connection with the Company’s business.</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Exclusivity</w:t>
      </w:r>
      <w:r>
        <w:rPr>
          <w:rFonts w:ascii="Times New Roman;sans-serif" w:hAnsi="Times New Roman;sans-serif"/>
          <w:b w:val="false"/>
          <w:color w:val="000000"/>
          <w:sz w:val="24"/>
        </w:rPr>
        <w:t xml:space="preserve">. Except with the prior written approval of the CEO (which the CEO may grant or withhold in the CEO’s sole and absolute discretion), Executive shall devote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10.3</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72160"/>
                <wp:effectExtent l="0" t="0" r="0" b="0"/>
                <wp:wrapNone/>
                <wp:docPr id="68" name="Frame6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Executive’s best efforts and full working time, attention, and energies to the business of the Company, except during any paid vacation or other excused absence periods. Notwithstanding the foregoing, Executive may, without violating this Section 1(d), (i) as a passive investment, own publicly traded securities in such form or manner as will not require any services by Executive in the operation of the entities in which such securities are owned; (ii) engage in charitable and civic activities; or (iii) engage in other personal passive investment activities, in each case, so long as such interests or activities do not materially interfere to the extent such activities do not, individually or in the aggregate, interfere with or otherwise prevent the performance of Executive’s duties and responsibilities hereunder. Executive may also serve as a member of the board of directors or board of advisors of another organization provided (i) such organization is not a competitor of the Company; (ii) Executive receives prior written approval from the CEO; and (iii) such activities do not individually or in the aggregate interfere with the performance of Executive’s duties under this Agreement, violate the Company’s standards of conduct then in effect, or raise a conflict under the Company’s conflict of interest policies. For the avoidance of doubt, the CEO has approved Executive’s continued service with those organizations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such approval to continue until the earlier to occur of (a) the CEO’s revocation of such approval in the CEO’s sole and absolute discretion, or (b) such time as such service interferes with the performance of Executive’s duties under this Agreement, violates the Company’s standards of conflict or raises a conflict under the Company’s conflict of interest policies. </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Term</w:t>
      </w:r>
      <w:r>
        <w:rPr>
          <w:rFonts w:ascii="Times New Roman;sans-serif" w:hAnsi="Times New Roman;sans-serif"/>
          <w:b w:val="false"/>
          <w:color w:val="000000"/>
          <w:sz w:val="24"/>
        </w:rPr>
        <w:t>. The period of Executive’s employment under this Agreement shall commence on the Effective Date and shall continue until Executive’s employment with the Company is terminated pursuant to Section 5. The phrase “</w:t>
      </w:r>
      <w:r>
        <w:rPr>
          <w:rFonts w:ascii="Times New Roman;sans-serif" w:hAnsi="Times New Roman;sans-serif"/>
          <w:b/>
          <w:i/>
          <w:color w:val="000000"/>
          <w:sz w:val="24"/>
        </w:rPr>
        <w:t>Term</w:t>
      </w:r>
      <w:r>
        <w:rPr>
          <w:color w:val="000000"/>
        </w:rPr>
        <w:t xml:space="preserve">” </w:t>
      </w:r>
      <w:r>
        <w:rPr>
          <w:rFonts w:ascii="Times New Roman;sans-serif" w:hAnsi="Times New Roman;sans-serif"/>
          <w:b w:val="false"/>
          <w:color w:val="000000"/>
          <w:sz w:val="24"/>
        </w:rPr>
        <w:t>as used in this Agreement shall refer to the entire period of employment of Executive by the Company.</w:t>
      </w:r>
    </w:p>
    <w:p>
      <w:pPr>
        <w:pStyle w:val="TextBody"/>
        <w:bidi w:val="0"/>
        <w:spacing w:lineRule="auto" w:line="240" w:before="0" w:after="240"/>
        <w:ind w:left="0" w:right="0" w:hanging="720"/>
        <w:jc w:val="both"/>
        <w:rPr/>
      </w:pPr>
      <w:r>
        <w:rPr>
          <w:rFonts w:ascii="Times New Roman;sans-serif" w:hAnsi="Times New Roman;sans-serif"/>
          <w:b/>
          <w:color w:val="000000"/>
          <w:sz w:val="24"/>
        </w:rPr>
        <w:t>3.Compensation and Related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Annual Base Salary</w:t>
      </w:r>
      <w:r>
        <w:rPr>
          <w:rFonts w:ascii="Times New Roman;sans-serif" w:hAnsi="Times New Roman;sans-serif"/>
          <w:b w:val="false"/>
          <w:color w:val="000000"/>
          <w:sz w:val="24"/>
        </w:rPr>
        <w:t>. During the Term, Executive shall receive a base salary at the rate of $430,000</w:t>
      </w:r>
      <w:r>
        <w:rPr>
          <w:color w:val="000000"/>
        </w:rPr>
        <w:t xml:space="preserve"> </w:t>
      </w:r>
      <w:r>
        <w:rPr>
          <w:rFonts w:ascii="Times New Roman;sans-serif" w:hAnsi="Times New Roman;sans-serif"/>
          <w:b w:val="false"/>
          <w:color w:val="000000"/>
          <w:sz w:val="24"/>
        </w:rPr>
        <w:t>per year (as may be increased from time to time, the “</w:t>
      </w:r>
      <w:r>
        <w:rPr>
          <w:rFonts w:ascii="Times New Roman;sans-serif" w:hAnsi="Times New Roman;sans-serif"/>
          <w:b/>
          <w:i/>
          <w:color w:val="000000"/>
          <w:sz w:val="24"/>
        </w:rPr>
        <w:t>Annual Base Salary</w:t>
      </w:r>
      <w:r>
        <w:rPr>
          <w:color w:val="000000"/>
        </w:rPr>
        <w:t>”</w:t>
      </w:r>
      <w:r>
        <w:rPr>
          <w:rFonts w:ascii="Times New Roman;sans-serif" w:hAnsi="Times New Roman;sans-serif"/>
          <w:b w:val="false"/>
          <w:color w:val="000000"/>
          <w:sz w:val="24"/>
        </w:rPr>
        <w:t xml:space="preserve">). The Annual Base Salary shall be subject to withholdings and deductions and paid to Executive in accordance with the customary payroll practices and procedures of the Company. Such Annual Base Salary shall be reviewed by the Board and/or the Compensation Committee of the Board, not less than annually.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Annual Bonus</w:t>
      </w:r>
      <w:r>
        <w:rPr>
          <w:rFonts w:ascii="Times New Roman;sans-serif" w:hAnsi="Times New Roman;sans-serif"/>
          <w:b w:val="false"/>
          <w:color w:val="000000"/>
          <w:sz w:val="24"/>
        </w:rPr>
        <w:t>. Executive shall be eligible to receive a discretionary annual bonus based on Executive’s achievement of performance objectives established by the Board and/or its Compensation Committee, such bonus to be targeted at a percentage of the Executive’s Annual Base Salary (the “</w:t>
      </w:r>
      <w:r>
        <w:rPr>
          <w:rFonts w:ascii="Times New Roman;sans-serif" w:hAnsi="Times New Roman;sans-serif"/>
          <w:b/>
          <w:i/>
          <w:color w:val="000000"/>
          <w:sz w:val="24"/>
        </w:rPr>
        <w:t>Annual Bonus</w:t>
      </w:r>
      <w:r>
        <w:rPr>
          <w:color w:val="000000"/>
        </w:rPr>
        <w:t>”</w:t>
      </w:r>
      <w:r>
        <w:rPr>
          <w:rFonts w:ascii="Times New Roman;sans-serif" w:hAnsi="Times New Roman;sans-serif"/>
          <w:b w:val="false"/>
          <w:color w:val="000000"/>
          <w:sz w:val="24"/>
        </w:rPr>
        <w:t xml:space="preserve">) as determined annually by the Board and/or the Compensation Committee. Any Annual Bonus approved by the Board and/or the Compensation Committee of the Board shall be paid in the year following the year to which such Annual Bonus relates at the same time annual bonuses are paid to other executives of the Company generally, subject to Executive’s continued employment through the payment date. </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Benefits</w:t>
      </w:r>
      <w:r>
        <w:rPr>
          <w:rFonts w:ascii="Times New Roman;sans-serif" w:hAnsi="Times New Roman;sans-serif"/>
          <w:b w:val="false"/>
          <w:color w:val="000000"/>
          <w:sz w:val="24"/>
        </w:rPr>
        <w:t>. Executive shall be entitled to participate in such employee and executive benefit plans and programs as the Company may from time to time offer to provide to its executives, subject to the terms and conditions of such plans. Notwithstanding the foregoing, nothing herein is intended, or shall be construed, to require the Company to institute or continue any particular plan or benefit.</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Business Expenses</w:t>
      </w:r>
      <w:r>
        <w:rPr>
          <w:rFonts w:ascii="Times New Roman;sans-serif" w:hAnsi="Times New Roman;sans-serif"/>
          <w:b w:val="false"/>
          <w:color w:val="000000"/>
          <w:sz w:val="24"/>
        </w:rPr>
        <w:t xml:space="preserve">. The Company shall reimburse Executive for all reasonable, documented, out-of-pocket travel and other business expenses incurred by Executive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10.3</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72160"/>
                <wp:effectExtent l="0" t="0" r="0" b="0"/>
                <wp:wrapNone/>
                <wp:docPr id="69" name="Frame6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performance of Executive’s duties to the Company in accordance with the Company’s applicable expense reimbursement policies and procedures as are in effect from time to time. </w:t>
      </w:r>
    </w:p>
    <w:p>
      <w:pPr>
        <w:pStyle w:val="TextBody"/>
        <w:bidi w:val="0"/>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u w:val="single"/>
        </w:rPr>
        <w:t>Vacation</w:t>
      </w:r>
      <w:r>
        <w:rPr>
          <w:rFonts w:ascii="Times New Roman;sans-serif" w:hAnsi="Times New Roman;sans-serif"/>
          <w:b w:val="false"/>
          <w:color w:val="000000"/>
          <w:sz w:val="24"/>
        </w:rPr>
        <w:t>. Executive will be entitled to paid vacation in accordance with the Company’s vacation policy, as in effect from time to time.</w:t>
      </w:r>
    </w:p>
    <w:p>
      <w:pPr>
        <w:pStyle w:val="TextBody"/>
        <w:bidi w:val="0"/>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rPr>
        <w:t xml:space="preserve">Equity Awards. </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Existing Award</w:t>
      </w:r>
      <w:r>
        <w:rPr>
          <w:rFonts w:ascii="Times New Roman;sans-serif" w:hAnsi="Times New Roman;sans-serif"/>
          <w:b w:val="false"/>
          <w:color w:val="000000"/>
          <w:sz w:val="24"/>
        </w:rPr>
        <w:t>. Each of Executive’s outstanding equity awards, including, without limitation, any restricted units, stock options and restricted stock units, shall remain outstanding and eligible to vest in accordance with its terms and conditions as in effect on the Effective Date, except that such equity award shall be eligible for accelerated vesting to the extent set forth herein.</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Eligibility</w:t>
      </w:r>
      <w:r>
        <w:rPr>
          <w:rFonts w:ascii="Times New Roman;sans-serif" w:hAnsi="Times New Roman;sans-serif"/>
          <w:b w:val="false"/>
          <w:color w:val="000000"/>
          <w:sz w:val="24"/>
        </w:rPr>
        <w:t>. Executive shall be eligible for the discretionary grant of stock options, restricted stock units and other equity awards following the Effective Date as may be determined by the Board or its Compensation Committee.</w:t>
      </w:r>
    </w:p>
    <w:p>
      <w:pPr>
        <w:pStyle w:val="TextBody"/>
        <w:bidi w:val="0"/>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Termination.</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xml:space="preserve">. The Company and Executive acknowledge that Executive’s employment is and shall continue to be at-will, as defined under applicable law. This means that it is not for any specified period of time and, subject to any ramifications under Section 6 of this Agreement,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a duly-authorized officer of the Company. If Executive’s employment terminates for any lawful reason, Executive shall not be entitled to any payments, benefits, damages, award, or compensation other than as provided in this Agreement.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During the Term, any termination of Executive’s employment by the Company or by Executive (other than by reason of death) shall be communicated by written notice (a “</w:t>
      </w:r>
      <w:r>
        <w:rPr>
          <w:rFonts w:ascii="Times New Roman;sans-serif" w:hAnsi="Times New Roman;sans-serif"/>
          <w:b/>
          <w:i/>
          <w:color w:val="000000"/>
          <w:sz w:val="24"/>
        </w:rPr>
        <w:t>Notice of Termination</w:t>
      </w:r>
      <w:r>
        <w:rPr>
          <w:color w:val="000000"/>
        </w:rPr>
        <w:t>”</w:t>
      </w:r>
      <w:r>
        <w:rPr>
          <w:rFonts w:ascii="Times New Roman;sans-serif" w:hAnsi="Times New Roman;sans-serif"/>
          <w:b w:val="false"/>
          <w:color w:val="000000"/>
          <w:sz w:val="24"/>
        </w:rPr>
        <w:t xml:space="preserve">) from one Party hereto to the other Party hereto (i) 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Termination (as defined below). The failure by the Company to set forth in the Notice of Termination all of the facts and circumstances which contribute to a showing of Cause (as defined below) shall not waive any right of the Company hereunder or preclude the Company from asserting such fact or circumstance in enforcing its rights hereunder. </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Date of Termination</w:t>
      </w:r>
      <w:r>
        <w:rPr>
          <w:rFonts w:ascii="Times New Roman;sans-serif" w:hAnsi="Times New Roman;sans-serif"/>
          <w:b w:val="false"/>
          <w:color w:val="000000"/>
          <w:sz w:val="24"/>
        </w:rPr>
        <w:t>. For purposes of this Agreement, “</w:t>
      </w:r>
      <w:r>
        <w:rPr>
          <w:rFonts w:ascii="Times New Roman;sans-serif" w:hAnsi="Times New Roman;sans-serif"/>
          <w:b/>
          <w:i/>
          <w:color w:val="000000"/>
          <w:sz w:val="24"/>
        </w:rPr>
        <w:t>Date of Termination</w:t>
      </w:r>
      <w:r>
        <w:rPr>
          <w:color w:val="000000"/>
        </w:rPr>
        <w:t xml:space="preserve">” </w:t>
      </w:r>
      <w:r>
        <w:rPr>
          <w:rFonts w:ascii="Times New Roman;sans-serif" w:hAnsi="Times New Roman;sans-serif"/>
          <w:b w:val="false"/>
          <w:color w:val="000000"/>
          <w:sz w:val="24"/>
        </w:rPr>
        <w:t>shall mean the date of the termination of Executive’s employment with the Company specified in a Notice of Termination.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Deemed Resignation</w:t>
      </w:r>
      <w:r>
        <w:rPr>
          <w:rFonts w:ascii="Times New Roman;sans-serif" w:hAnsi="Times New Roman;sans-serif"/>
          <w:b w:val="false"/>
          <w:color w:val="000000"/>
          <w:sz w:val="24"/>
        </w:rPr>
        <w:t xml:space="preserve">. Upon termination of Executive’s employment for any reason, Executive shall be deemed to have resigned from all offices and board memberships, if any, then held with the Company or any of its affiliates, and, at the Company’s request,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10.3</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72160"/>
                <wp:effectExtent l="0" t="0" r="0" b="0"/>
                <wp:wrapNone/>
                <wp:docPr id="70" name="Frame7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Executive shall execute such documents as are necessary or desirable to effectuate such resignations.</w:t>
      </w:r>
    </w:p>
    <w:p>
      <w:pPr>
        <w:pStyle w:val="TextBody"/>
        <w:bidi w:val="0"/>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Consequences of Termination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Payments of Accrued Obligations upon all Terminations of Employment</w:t>
      </w:r>
      <w:r>
        <w:rPr>
          <w:rFonts w:ascii="Times New Roman;sans-serif" w:hAnsi="Times New Roman;sans-serif"/>
          <w:b w:val="false"/>
          <w:color w:val="000000"/>
          <w:sz w:val="24"/>
        </w:rPr>
        <w:t xml:space="preserve">. Upon a termination of Executive’s employment for any reason, Executive (or Executive’s estate or legal representative, as applicable) shall be entitled to receive, within thirty (30) days after Executive’s Date of Termination (or such earlier date as may be required by applicable law): (i) any portion of Executive’s Annual Base Salary earned through Executive’s Date of Termination not theretofore paid, (ii) any expenses owed to Executive under Section 3, (iii) any accrued but unused paid time-off owed to Executive, (iv) any Annual Bonus earned but unpaid as of the Date of Termination, and (v) any amount arising from Executive’s participation in, or benefits under, any employee benefit plans, programs, or arrangements under Section 3, which amounts shall be payable in accordance with the terms and conditions of such employee benefit plans, programs, or arrangements. Except as otherwise set forth in Sections 6(b) and (c), the payments and benefits described in this Section 6(a) shall be the only payments and benefits payable in the event of Executive’s termination of employment for any reason.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Severance Payments upon Covered Termination Outside a Change in Control Period</w:t>
      </w:r>
      <w:r>
        <w:rPr>
          <w:rFonts w:ascii="Times New Roman;sans-serif" w:hAnsi="Times New Roman;sans-serif"/>
          <w:b w:val="false"/>
          <w:color w:val="000000"/>
          <w:sz w:val="24"/>
        </w:rPr>
        <w:t>. If, during the Term, Executive experiences a termination without Cause outside of a Change in Control Period (as defined below), then in addition to the payments and benefits described in Section 6(a), the Company shall, subject to Executive’s delivery to the Company of a waiver and release of claims agreement in a form acceptable to the Company (the “</w:t>
      </w:r>
      <w:r>
        <w:rPr>
          <w:rFonts w:ascii="Times New Roman;sans-serif" w:hAnsi="Times New Roman;sans-serif"/>
          <w:b/>
          <w:i/>
          <w:color w:val="000000"/>
          <w:sz w:val="24"/>
        </w:rPr>
        <w:t>Release</w:t>
      </w:r>
      <w:r>
        <w:rPr>
          <w:color w:val="000000"/>
        </w:rPr>
        <w:t>”</w:t>
      </w:r>
      <w:r>
        <w:rPr>
          <w:rFonts w:ascii="Times New Roman;sans-serif" w:hAnsi="Times New Roman;sans-serif"/>
          <w:b w:val="false"/>
          <w:color w:val="000000"/>
          <w:sz w:val="24"/>
        </w:rPr>
        <w:t>) that becomes effective and irrevocable in accordance with Section 10(d), provide Executive with the following:</w:t>
      </w:r>
    </w:p>
    <w:p>
      <w:pPr>
        <w:pStyle w:val="TextBody"/>
        <w:bidi w:val="0"/>
        <w:spacing w:lineRule="auto" w:line="240" w:before="0" w:after="240"/>
        <w:ind w:left="0" w:right="0" w:firstLine="1440"/>
        <w:jc w:val="both"/>
        <w:rPr/>
      </w:pPr>
      <w:r>
        <w:rPr>
          <w:rFonts w:ascii="Times New Roman;sans-serif" w:hAnsi="Times New Roman;sans-serif"/>
          <w:b/>
          <w:color w:val="000000"/>
          <w:sz w:val="24"/>
        </w:rPr>
        <w:t>(i)</w:t>
      </w:r>
      <w:r>
        <w:rPr>
          <w:rFonts w:ascii="Times New Roman;sans-serif" w:hAnsi="Times New Roman;sans-serif"/>
          <w:b w:val="false"/>
          <w:color w:val="000000"/>
          <w:sz w:val="24"/>
        </w:rPr>
        <w:t>The Company shall pay to Executive an amount equal to one half (1/2) of Executive’s Annual Base Salary. Such amount will be subject to applicable withholdings and payable in a single lump sum cash payment on the first regular payroll date following the date the Release becomes effective and irrevocable in accordance with Section 10(d).</w:t>
      </w:r>
    </w:p>
    <w:p>
      <w:pPr>
        <w:pStyle w:val="TextBody"/>
        <w:bidi w:val="0"/>
        <w:spacing w:lineRule="auto" w:line="240" w:before="0" w:after="240"/>
        <w:ind w:left="0" w:right="0" w:firstLine="1440"/>
        <w:jc w:val="both"/>
        <w:rPr/>
      </w:pPr>
      <w:r>
        <w:rPr>
          <w:rFonts w:ascii="Times New Roman;sans-serif" w:hAnsi="Times New Roman;sans-serif"/>
          <w:b/>
          <w:color w:val="000000"/>
          <w:sz w:val="24"/>
        </w:rPr>
        <w:t>(ii)</w:t>
      </w:r>
      <w:r>
        <w:rPr>
          <w:rFonts w:ascii="Times New Roman;sans-serif" w:hAnsi="Times New Roman;sans-serif"/>
          <w:b w:val="false"/>
          <w:color w:val="000000"/>
          <w:sz w:val="24"/>
        </w:rPr>
        <w:t>During the period commencing on the Date of Termination and ending on the six (6) month anniversary thereof or, if earlier, the date on which Executive becomes eligible for comparable replacement coverage under a subsequent employer’s group health plan (in any case, the “</w:t>
      </w:r>
      <w:r>
        <w:rPr>
          <w:rFonts w:ascii="Times New Roman;sans-serif" w:hAnsi="Times New Roman;sans-serif"/>
          <w:b/>
          <w:i/>
          <w:color w:val="000000"/>
          <w:sz w:val="24"/>
        </w:rPr>
        <w:t>Non-CIC COBRA Period</w:t>
      </w:r>
      <w:r>
        <w:rPr>
          <w:color w:val="000000"/>
        </w:rPr>
        <w:t>”</w:t>
      </w:r>
      <w:r>
        <w:rPr>
          <w:rFonts w:ascii="Times New Roman;sans-serif" w:hAnsi="Times New Roman;sans-serif"/>
          <w:b w:val="false"/>
          <w:color w:val="000000"/>
          <w:sz w:val="24"/>
        </w:rPr>
        <w:t>), subject to Executive’s valid election to continue healthcare coverage under Section 4980B of the Internal Revenue Code of 1986, as amended (the “</w:t>
      </w:r>
      <w:r>
        <w:rPr>
          <w:rFonts w:ascii="Times New Roman;sans-serif" w:hAnsi="Times New Roman;sans-serif"/>
          <w:b/>
          <w:i/>
          <w:color w:val="000000"/>
          <w:sz w:val="24"/>
        </w:rPr>
        <w:t>Code</w:t>
      </w:r>
      <w:r>
        <w:rPr>
          <w:color w:val="000000"/>
        </w:rPr>
        <w:t>”</w:t>
      </w:r>
      <w:r>
        <w:rPr>
          <w:rFonts w:ascii="Times New Roman;sans-serif" w:hAnsi="Times New Roman;sans-serif"/>
          <w:b w:val="false"/>
          <w:color w:val="000000"/>
          <w:sz w:val="24"/>
        </w:rPr>
        <w:t xml:space="preserve">) and the regulations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of Termination;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Non-CIC COBRA Period (or remaining portion thereof).</w:t>
      </w:r>
    </w:p>
    <w:p>
      <w:pPr>
        <w:pStyle w:val="TextBody"/>
        <w:bidi w:val="0"/>
        <w:spacing w:lineRule="auto" w:line="240" w:before="0" w:after="240"/>
        <w:ind w:left="0" w:right="0" w:firstLine="72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Severance Payments upon Covered Termination During a Change in Control Period</w:t>
      </w:r>
      <w:r>
        <w:rPr>
          <w:rFonts w:ascii="Times New Roman;sans-serif" w:hAnsi="Times New Roman;sans-serif"/>
          <w:b w:val="false"/>
          <w:color w:val="000000"/>
          <w:sz w:val="24"/>
        </w:rPr>
        <w:t xml:space="preserve">. If, during the Term, Executive experiences a Covered Termination during a Change in Control Period, then, in addition to the payments and benefits described in Section 6(a), the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10.3</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72160"/>
                <wp:effectExtent l="0" t="0" r="0" b="0"/>
                <wp:wrapNone/>
                <wp:docPr id="71" name="Frame7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shall, subject to Executive’s delivery to the Company of a Release that becomes effective and irrevocable in accordance with Section 10(d), provide Executive with the following:</w:t>
      </w:r>
    </w:p>
    <w:p>
      <w:pPr>
        <w:pStyle w:val="TextBody"/>
        <w:bidi w:val="0"/>
        <w:spacing w:lineRule="auto" w:line="240" w:before="0" w:after="240"/>
        <w:ind w:left="0" w:right="0" w:firstLine="720"/>
        <w:jc w:val="both"/>
        <w:rPr/>
      </w:pPr>
      <w:r>
        <w:rPr>
          <w:rFonts w:ascii="Times New Roman;sans-serif" w:hAnsi="Times New Roman;sans-serif"/>
          <w:b/>
          <w:color w:val="000000"/>
          <w:sz w:val="24"/>
        </w:rPr>
        <w:t>(i)</w:t>
      </w:r>
      <w:r>
        <w:rPr>
          <w:rFonts w:ascii="Times New Roman;sans-serif" w:hAnsi="Times New Roman;sans-serif"/>
          <w:b w:val="false"/>
          <w:color w:val="000000"/>
          <w:sz w:val="24"/>
        </w:rPr>
        <w:t xml:space="preserve">The Company shall pay to Executive an amount equal to one (1) multiplied by the sum of Executive’s Annual Base Salary and Executive’s target Annual Bonus. Such amount will be subject to applicable withholdings and payable in a single lump sum cash payment on the first regular payroll date following the date the Release becomes effective and irrevocable in accordance with Section 10(d). </w:t>
      </w:r>
    </w:p>
    <w:p>
      <w:pPr>
        <w:pStyle w:val="TextBody"/>
        <w:bidi w:val="0"/>
        <w:spacing w:lineRule="auto" w:line="240" w:before="0" w:after="240"/>
        <w:ind w:left="0" w:right="0" w:firstLine="720"/>
        <w:jc w:val="both"/>
        <w:rPr/>
      </w:pPr>
      <w:r>
        <w:rPr>
          <w:rFonts w:ascii="Times New Roman;sans-serif" w:hAnsi="Times New Roman;sans-serif"/>
          <w:b/>
          <w:color w:val="000000"/>
          <w:sz w:val="24"/>
        </w:rPr>
        <w:t>(ii)</w:t>
      </w:r>
      <w:r>
        <w:rPr>
          <w:rFonts w:ascii="Times New Roman;sans-serif" w:hAnsi="Times New Roman;sans-serif"/>
          <w:b w:val="false"/>
          <w:color w:val="000000"/>
          <w:sz w:val="24"/>
        </w:rPr>
        <w:t>During the period commencing on the Date of Termination and ending on the twelve (12) month anniversary thereof or, if earlier, the date on which Executive becomes eligible for comparable replacement coverage under a subsequent employer’s group health plan (in any case, the “</w:t>
      </w:r>
      <w:r>
        <w:rPr>
          <w:rFonts w:ascii="Times New Roman;sans-serif" w:hAnsi="Times New Roman;sans-serif"/>
          <w:b/>
          <w:i/>
          <w:color w:val="000000"/>
          <w:sz w:val="24"/>
        </w:rPr>
        <w:t>CIC COBRA Period</w:t>
      </w:r>
      <w:r>
        <w:rPr>
          <w:color w:val="000000"/>
        </w:rPr>
        <w:t>”</w:t>
      </w:r>
      <w:r>
        <w:rPr>
          <w:rFonts w:ascii="Times New Roman;sans-serif" w:hAnsi="Times New Roman;sans-serif"/>
          <w:b w:val="false"/>
          <w:color w:val="000000"/>
          <w:sz w:val="24"/>
        </w:rPr>
        <w:t xml:space="preserve">), subject to Executive’s valid election to continue healthcare coverage under Section 4980B of the Code and the regulations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of Termination;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CIC COBRA Period (or remaining portion thereof).</w:t>
      </w:r>
    </w:p>
    <w:p>
      <w:pPr>
        <w:pStyle w:val="TextBody"/>
        <w:bidi w:val="0"/>
        <w:spacing w:lineRule="auto" w:line="240" w:before="0" w:after="240"/>
        <w:ind w:left="0" w:right="0" w:firstLine="720"/>
        <w:jc w:val="both"/>
        <w:rPr/>
      </w:pPr>
      <w:r>
        <w:rPr>
          <w:rFonts w:ascii="Times New Roman;sans-serif" w:hAnsi="Times New Roman;sans-serif"/>
          <w:b/>
          <w:color w:val="000000"/>
          <w:sz w:val="24"/>
        </w:rPr>
        <w:t>(iii)</w:t>
      </w:r>
      <w:r>
        <w:rPr>
          <w:rFonts w:ascii="Times New Roman;sans-serif" w:hAnsi="Times New Roman;sans-serif"/>
          <w:b w:val="false"/>
          <w:color w:val="000000"/>
          <w:sz w:val="24"/>
        </w:rPr>
        <w:t xml:space="preserve">Cause any unvested equity awards, including any stock options, restricted stock awards and any such awards subject to performance-based vesting, held by Executive as of the Date of Termination, to become fully vested and, if applicable, exercisable, and cause all restrictions and rights of repurchase on such awards to lapse with respect to all of the shares of the Company’s Common Stock subject thereto. </w:t>
      </w:r>
    </w:p>
    <w:p>
      <w:pPr>
        <w:pStyle w:val="TextBody"/>
        <w:bidi w:val="0"/>
        <w:spacing w:lineRule="auto" w:line="240" w:before="0" w:after="240"/>
        <w:ind w:left="0" w:right="0" w:firstLine="72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No Other Severance</w:t>
      </w:r>
      <w:r>
        <w:rPr>
          <w:rFonts w:ascii="Times New Roman;sans-serif" w:hAnsi="Times New Roman;sans-serif"/>
          <w:b w:val="false"/>
          <w:color w:val="000000"/>
          <w:sz w:val="24"/>
        </w:rPr>
        <w:t>. Except as otherwise approved by the Board, the provisions of this Section 6 shall supersede in their entirety any severance payment provisions in any severance plan, policy, program, or other arrangement maintained by the Company.</w:t>
      </w:r>
    </w:p>
    <w:p>
      <w:pPr>
        <w:pStyle w:val="TextBody"/>
        <w:bidi w:val="0"/>
        <w:spacing w:lineRule="auto" w:line="240" w:before="0" w:after="240"/>
        <w:ind w:left="0" w:right="0" w:firstLine="720"/>
        <w:jc w:val="both"/>
        <w:rPr/>
      </w:pPr>
      <w:r>
        <w:rPr>
          <w:rFonts w:ascii="Times New Roman;sans-serif" w:hAnsi="Times New Roman;sans-serif"/>
          <w:b/>
          <w:color w:val="000000"/>
          <w:sz w:val="24"/>
        </w:rPr>
        <w:t>(e)</w:t>
      </w:r>
      <w:r>
        <w:rPr>
          <w:rFonts w:ascii="Times New Roman;sans-serif" w:hAnsi="Times New Roman;sans-serif"/>
          <w:b w:val="false"/>
          <w:color w:val="000000"/>
          <w:sz w:val="24"/>
          <w:u w:val="single"/>
        </w:rPr>
        <w:t>No Requirement to Mitigate; Survival</w:t>
      </w:r>
      <w:r>
        <w:rPr>
          <w:rFonts w:ascii="Times New Roman;sans-serif" w:hAnsi="Times New Roman;sans-serif"/>
          <w:b w:val="false"/>
          <w:color w:val="000000"/>
          <w:sz w:val="24"/>
        </w:rPr>
        <w:t xml:space="preserve">.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 </w:t>
      </w:r>
    </w:p>
    <w:p>
      <w:pPr>
        <w:pStyle w:val="TextBody"/>
        <w:bidi w:val="0"/>
        <w:spacing w:lineRule="auto" w:line="240" w:before="0" w:after="240"/>
        <w:ind w:left="0" w:right="0" w:firstLine="720"/>
        <w:jc w:val="both"/>
        <w:rPr/>
      </w:pPr>
      <w:r>
        <w:rPr>
          <w:rFonts w:ascii="Times New Roman;sans-serif" w:hAnsi="Times New Roman;sans-serif"/>
          <w:b/>
          <w:color w:val="000000"/>
          <w:sz w:val="24"/>
        </w:rPr>
        <w:t>(f)</w:t>
      </w:r>
      <w:r>
        <w:rPr>
          <w:rFonts w:ascii="Times New Roman;sans-serif" w:hAnsi="Times New Roman;sans-serif"/>
          <w:b w:val="false"/>
          <w:color w:val="000000"/>
          <w:sz w:val="24"/>
          <w:u w:val="single"/>
        </w:rPr>
        <w:t>Definition of Cause</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 xml:space="preserve">shall mean any one of the following: (i) any willful, material violation by Executive of any law or regulation applicable to the business of the Company or a subsidiary or other affiliate of the Company, (ii) Executive’s conviction for, or guilty plea to, a felony (or crime of similar magnitude under applicable law outside the United States) or a crime involving moral turpitude, or any willful perpetration by Executive of a common law fraud, act of material dishonesty or misappropriation or similar conduct against the Company, (iii) Executive’s commission of an act of personal dishonesty which involves personal profit in connection with the Company or any other entity having a business relationship with the Company, (iv) any material breach or violation by Executive of any provision of any agreement or understanding between the Company or any Subsidiary or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10.3</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72160"/>
                <wp:effectExtent l="0" t="0" r="0" b="0"/>
                <wp:wrapNone/>
                <wp:docPr id="72" name="Frame7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other affiliate of the Company and Executive regarding the terms of Executive’s service as an employee, officer, director or consultant to the Company or a subsidiary or other affiliate of the Company, including without limitation, the willful and continued failure or refusal of Executive to perform the material duties required of Executive as an employee, officer, director or consultant of the Company or a subsidiary or other affiliate of the Company, other than as a result of having a permanent disability, or a breach of any applicable invention assignment and confidentiality agreement or similar agreement between the Company or a subsidiary or other affiliate of the Company and Executive, (v) Executive’s violation of the Company’s code of ethics, (vi) Executive’s disregard of the policies of the Company or any subsidiary or other affiliate of the Company so as to cause loss, harm, damage or injury to the property, reputation or employees of the Company or a subsidiary or other affiliate of the Company, or (vii) any other misconduct by Executive which is injurious to the financial condition or business reputation of, or is otherwise injurious to, the Company or a subsidiary or other affiliate of the Company.</w:t>
      </w:r>
    </w:p>
    <w:p>
      <w:pPr>
        <w:pStyle w:val="TextBody"/>
        <w:bidi w:val="0"/>
        <w:spacing w:lineRule="auto" w:line="240" w:before="0" w:after="240"/>
        <w:ind w:left="0" w:right="0" w:firstLine="1440"/>
        <w:jc w:val="both"/>
        <w:rPr/>
      </w:pPr>
      <w:r>
        <w:rPr>
          <w:rFonts w:ascii="Times New Roman;sans-serif" w:hAnsi="Times New Roman;sans-serif"/>
          <w:b/>
          <w:color w:val="000000"/>
          <w:sz w:val="24"/>
        </w:rPr>
        <w:t>(g)</w:t>
      </w:r>
      <w:r>
        <w:rPr>
          <w:rFonts w:ascii="Times New Roman;sans-serif" w:hAnsi="Times New Roman;sans-serif"/>
          <w:b w:val="false"/>
          <w:color w:val="000000"/>
          <w:sz w:val="24"/>
          <w:u w:val="single"/>
        </w:rPr>
        <w:t>Definition of Change in Control</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Change in Control</w:t>
      </w:r>
      <w:r>
        <w:rPr>
          <w:color w:val="000000"/>
        </w:rPr>
        <w:t xml:space="preserve">” </w:t>
      </w:r>
      <w:r>
        <w:rPr>
          <w:rFonts w:ascii="Times New Roman;sans-serif" w:hAnsi="Times New Roman;sans-serif"/>
          <w:b w:val="false"/>
          <w:color w:val="000000"/>
          <w:sz w:val="24"/>
        </w:rPr>
        <w:t>shall have the meaning ascribed such term in Group’s 2021 Incentive Award Plan.</w:t>
      </w:r>
    </w:p>
    <w:p>
      <w:pPr>
        <w:pStyle w:val="TextBody"/>
        <w:bidi w:val="0"/>
        <w:spacing w:lineRule="auto" w:line="240" w:before="0" w:after="240"/>
        <w:ind w:left="0" w:right="0" w:firstLine="1440"/>
        <w:jc w:val="both"/>
        <w:rPr/>
      </w:pPr>
      <w:r>
        <w:rPr>
          <w:rFonts w:ascii="Times New Roman;sans-serif" w:hAnsi="Times New Roman;sans-serif"/>
          <w:b/>
          <w:color w:val="000000"/>
          <w:sz w:val="24"/>
        </w:rPr>
        <w:t>(h)</w:t>
      </w:r>
      <w:r>
        <w:rPr>
          <w:rFonts w:ascii="Times New Roman;sans-serif" w:hAnsi="Times New Roman;sans-serif"/>
          <w:b w:val="false"/>
          <w:color w:val="000000"/>
          <w:sz w:val="24"/>
          <w:u w:val="single"/>
        </w:rPr>
        <w:t>Definition of Change in Control Period</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Change in Control Period</w:t>
      </w:r>
      <w:r>
        <w:rPr>
          <w:color w:val="000000"/>
        </w:rPr>
        <w:t xml:space="preserve">” </w:t>
      </w:r>
      <w:r>
        <w:rPr>
          <w:rFonts w:ascii="Times New Roman;sans-serif" w:hAnsi="Times New Roman;sans-serif"/>
          <w:b w:val="false"/>
          <w:color w:val="000000"/>
          <w:sz w:val="24"/>
        </w:rPr>
        <w:t>shall mean the period commencing 3 months prior to a Change in Control and ending 12 months after such Change in Control.</w:t>
      </w:r>
    </w:p>
    <w:p>
      <w:pPr>
        <w:pStyle w:val="TextBody"/>
        <w:bidi w:val="0"/>
        <w:spacing w:lineRule="auto" w:line="240" w:before="0" w:after="240"/>
        <w:ind w:left="0" w:right="0" w:firstLine="1440"/>
        <w:jc w:val="both"/>
        <w:rPr/>
      </w:pPr>
      <w:r>
        <w:rPr>
          <w:rFonts w:ascii="Times New Roman;sans-serif" w:hAnsi="Times New Roman;sans-serif"/>
          <w:b/>
          <w:color w:val="000000"/>
          <w:sz w:val="24"/>
        </w:rPr>
        <w:t>(i)</w:t>
      </w:r>
      <w:r>
        <w:rPr>
          <w:rFonts w:ascii="Times New Roman;sans-serif" w:hAnsi="Times New Roman;sans-serif"/>
          <w:b w:val="false"/>
          <w:color w:val="000000"/>
          <w:sz w:val="24"/>
          <w:u w:val="single"/>
        </w:rPr>
        <w:t>Definition of Covered Termination</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Covered Termination</w:t>
      </w:r>
      <w:r>
        <w:rPr>
          <w:color w:val="000000"/>
        </w:rPr>
        <w:t xml:space="preserve">” </w:t>
      </w:r>
      <w:r>
        <w:rPr>
          <w:rFonts w:ascii="Times New Roman;sans-serif" w:hAnsi="Times New Roman;sans-serif"/>
          <w:b w:val="false"/>
          <w:color w:val="000000"/>
          <w:sz w:val="24"/>
        </w:rPr>
        <w:t>shall mean the termination of Executive’s employment by the Company without Cause or by Executive for Good Reason, and shall not include a termination due to Executive’s death or disability.</w:t>
      </w:r>
    </w:p>
    <w:p>
      <w:pPr>
        <w:pStyle w:val="TextBody"/>
        <w:bidi w:val="0"/>
        <w:spacing w:lineRule="auto" w:line="240" w:before="0" w:after="240"/>
        <w:ind w:left="0" w:right="0" w:firstLine="1440"/>
        <w:jc w:val="both"/>
        <w:rPr/>
      </w:pPr>
      <w:r>
        <w:rPr>
          <w:rFonts w:ascii="Times New Roman;sans-serif" w:hAnsi="Times New Roman;sans-serif"/>
          <w:b/>
          <w:color w:val="000000"/>
          <w:sz w:val="24"/>
        </w:rPr>
        <w:t>(j)</w:t>
      </w:r>
      <w:r>
        <w:rPr>
          <w:rFonts w:ascii="Times New Roman;sans-serif" w:hAnsi="Times New Roman;sans-serif"/>
          <w:b w:val="false"/>
          <w:color w:val="000000"/>
          <w:sz w:val="24"/>
          <w:u w:val="single"/>
        </w:rPr>
        <w:t>Definition of Good Reason</w:t>
      </w:r>
      <w:r>
        <w:rPr>
          <w:rFonts w:ascii="Times New Roman;sans-serif" w:hAnsi="Times New Roman;sans-serif"/>
          <w:b w:val="false"/>
          <w:color w:val="000000"/>
          <w:sz w:val="24"/>
        </w:rPr>
        <w:t>. For purposes hereof, “</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 xml:space="preserve">means the occurrence of any of the following events or circumstances, without Executive’s prior written consent: (i) a material reduction in Executive’s Annual Base Salary, (ii) a material diminution in Executive’s duties or responsibilities, or level of authority, (iii) a relocation of Executive’s principal place of employment that increases Executive’s one-way commute by at least thirty-five (35) miles, or (iv) material breach of this Agreement by the Company. Notwithstanding the foregoing, in no event shall Executive be deemed to have Good Reason unless (A) Executive provides written notice to the Company of the condition giving rise to Good Reason within sixty (60) days of its initial occurrence, (B) the Company fails to cure such condition within thirty (30) days after the Company receives Executive’s written notice of such condition and (C) Executive’s resignation is effective within thirty (30) days following the end of such cure period. </w:t>
      </w:r>
    </w:p>
    <w:p>
      <w:pPr>
        <w:pStyle w:val="TextBody"/>
        <w:bidi w:val="0"/>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Assignment and Successors</w:t>
      </w:r>
      <w:r>
        <w:rPr>
          <w:rFonts w:ascii="Times New Roman;sans-serif" w:hAnsi="Times New Roman;sans-serif"/>
          <w:b w:val="false"/>
          <w:color w:val="000000"/>
          <w:sz w:val="24"/>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Miscellaneous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Proprietary Information and Inventions Agreement</w:t>
      </w:r>
      <w:r>
        <w:rPr>
          <w:rFonts w:ascii="Times New Roman;sans-serif" w:hAnsi="Times New Roman;sans-serif"/>
          <w:b w:val="false"/>
          <w:color w:val="000000"/>
          <w:sz w:val="24"/>
        </w:rPr>
        <w:t>. Executive hereby affirms Executive’s obligations under that certain Proprietary Information and Inventions Agreement with the Company (or its predecessor in interest, as applicable</w:t>
      </w:r>
      <w:r>
        <w:rPr>
          <w:rFonts w:ascii="Times New Roman;sans-serif" w:hAnsi="Times New Roman;sans-serif"/>
          <w:b w:val="false"/>
          <w:color w:val="000000"/>
          <w:sz w:val="22"/>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Proprietary Information Agreement</w:t>
      </w:r>
      <w:r>
        <w:rPr>
          <w:color w:val="000000"/>
        </w:rPr>
        <w:t>”</w:t>
      </w:r>
      <w:r>
        <w:rPr>
          <w:rFonts w:ascii="Times New Roman;sans-serif" w:hAnsi="Times New Roman;sans-serif"/>
          <w:b w:val="false"/>
          <w:color w:val="000000"/>
          <w:sz w:val="24"/>
        </w:rPr>
        <w:t xml:space="preserve">). The Proprietary Information Agreement shall survive the termination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10.3</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72160"/>
                <wp:effectExtent l="0" t="0" r="0" b="0"/>
                <wp:wrapNone/>
                <wp:docPr id="73" name="Frame7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this Agreement and Executive’s employment with the Company for the applicable period(s) set forth therein. Notwithstanding the foregoing, in the event of any conflict between the terms of the Confidentiality Agreement and the terms of this Agreement, the terms of this Agreement shall prevail.</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Non-Solicitation of Employees</w:t>
      </w:r>
      <w:r>
        <w:rPr>
          <w:rFonts w:ascii="Times New Roman;sans-serif" w:hAnsi="Times New Roman;sans-serif"/>
          <w:b w:val="false"/>
          <w:color w:val="000000"/>
          <w:sz w:val="24"/>
        </w:rPr>
        <w:t xml:space="preserve">. For a period of one year following Executive’s Date of Termination, Executive shall not, either directly or indirectly (i) solicit for employment by any individual, corporation, firm, or other business, any employees, consultants, independent contractors, or other service providers of the Company or any of its affiliates, or (ii) solicit any employee or consultant of the Company or any of its affiliates to leave the employment or consulting of or cease providing services to the Company or any of its affiliates;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the foregoing clauses (i) and (ii) shall not apply to a general advertisement or solicitation (or any hiring pursuant to such advertisement or solicitation) that is not specifically targeted to such employees or consultants.</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Membership in Brilliant Earth, LLC</w:t>
      </w:r>
      <w:r>
        <w:rPr>
          <w:rFonts w:ascii="Times New Roman;sans-serif" w:hAnsi="Times New Roman;sans-serif"/>
          <w:b w:val="false"/>
          <w:color w:val="000000"/>
          <w:sz w:val="24"/>
        </w:rPr>
        <w:t>. If Executive is or becomes a member of Brilliant Earth, LLC (the “</w:t>
      </w:r>
      <w:r>
        <w:rPr>
          <w:rFonts w:ascii="Times New Roman;sans-serif" w:hAnsi="Times New Roman;sans-serif"/>
          <w:b/>
          <w:i/>
          <w:color w:val="000000"/>
          <w:sz w:val="24"/>
        </w:rPr>
        <w:t>LLC</w:t>
      </w:r>
      <w:r>
        <w:rPr>
          <w:color w:val="000000"/>
        </w:rPr>
        <w:t>”</w:t>
      </w:r>
      <w:r>
        <w:rPr>
          <w:rFonts w:ascii="Times New Roman;sans-serif" w:hAnsi="Times New Roman;sans-serif"/>
          <w:b w:val="false"/>
          <w:color w:val="000000"/>
          <w:sz w:val="24"/>
        </w:rPr>
        <w:t>), this Agreement shall continue in full force and effect in accordance with its terms, but shall be applied and interpreted in a manner consistent with Executive’s status as a member rather than employee (e.g., references to employment (or termination of employment) shall be deemed to be references to service as a member of (or the cessation of such service), Base Salary shall be deemed to be a guaranteed payment, etc.). While a member of the LLC and providing services hereunder, Executive will not be eligible for any benefit plan or program which cannot be available to a non-employee, whether by its terms or by operation of law. The Company shall equitably adjust Executive’s compensation to reflect any tax benefit lost or other incremental tax expense arising from Executive’s status as a member of the LLC rather than an employee. If the parties shall deem it necessary, the parties shall work in good faith to adopt an amendment or supplement to this Agreement that they deem to be necessary or appropriate to reflect Executive’s status as a member, all in a manner consistent with the otherwise applicable terms of this Agreement and the principles outlined it this Section 8(c).</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u w:val="single"/>
        </w:rPr>
        <w:t>Validity</w:t>
      </w:r>
      <w:r>
        <w:rPr>
          <w:rFonts w:ascii="Times New Roman;sans-serif" w:hAnsi="Times New Roman;sans-serif"/>
          <w:b w:val="false"/>
          <w:color w:val="000000"/>
          <w:sz w:val="24"/>
        </w:rPr>
        <w:t xml:space="preserve">. The invalidity or unenforceability of any provision or provisions of this Agreement shall not affect the validity or enforceability of any other provision of this Agreement, which shall remain in full force and effect. </w:t>
      </w:r>
    </w:p>
    <w:p>
      <w:pPr>
        <w:pStyle w:val="TextBody"/>
        <w:bidi w:val="0"/>
        <w:spacing w:lineRule="auto" w:line="240" w:before="0" w:after="240"/>
        <w:ind w:left="0" w:right="0" w:firstLine="1440"/>
        <w:jc w:val="both"/>
        <w:rPr/>
      </w:pPr>
      <w:r>
        <w:rPr>
          <w:rFonts w:ascii="Times New Roman;sans-serif" w:hAnsi="Times New Roman;sans-serif"/>
          <w:b/>
          <w:color w:val="000000"/>
          <w:sz w:val="24"/>
        </w:rPr>
        <w:t>(f)</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several counterparts, each of which shall be deemed to be an original, but all of which together will constitute one and the same Agreement. Signatures delivered by facsimile shall be deemed effective for all purposes.</w:t>
      </w:r>
    </w:p>
    <w:p>
      <w:pPr>
        <w:pStyle w:val="TextBody"/>
        <w:bidi w:val="0"/>
        <w:spacing w:lineRule="auto" w:line="240" w:before="0" w:after="240"/>
        <w:ind w:left="0" w:right="0" w:firstLine="1440"/>
        <w:jc w:val="both"/>
        <w:rPr/>
      </w:pPr>
      <w:r>
        <w:rPr>
          <w:rFonts w:ascii="Times New Roman;sans-serif" w:hAnsi="Times New Roman;sans-serif"/>
          <w:b/>
          <w:color w:val="000000"/>
          <w:sz w:val="24"/>
        </w:rPr>
        <w:t>(g)</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The terms of this Agreement, together with the Proprietary Information Agreement and that certain Indemnification and Advancement Agreement between the Company and Executive (the “</w:t>
      </w:r>
      <w:r>
        <w:rPr>
          <w:rFonts w:ascii="Times New Roman;sans-serif" w:hAnsi="Times New Roman;sans-serif"/>
          <w:b/>
          <w:i/>
          <w:color w:val="000000"/>
          <w:sz w:val="24"/>
        </w:rPr>
        <w:t>Indemnification Agreement</w:t>
      </w:r>
      <w:r>
        <w:rPr>
          <w:color w:val="000000"/>
        </w:rPr>
        <w:t>”</w:t>
      </w:r>
      <w:r>
        <w:rPr>
          <w:rFonts w:ascii="Times New Roman;sans-serif" w:hAnsi="Times New Roman;sans-serif"/>
          <w:b w:val="false"/>
          <w:color w:val="000000"/>
          <w:sz w:val="24"/>
        </w:rPr>
        <w:t xml:space="preserve">), are intended by the Company and Executive to be the final expression of their agreement with respect to the employment of Executive by the Company and supersede all prior understandings and agreements, whether written or oral, regarding Executive’s service to the Company,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10.3</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72160"/>
                <wp:effectExtent l="0" t="0" r="0" b="0"/>
                <wp:wrapNone/>
                <wp:docPr id="74" name="Frame7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including without limitation, the Offer Letter. The Company and Executive further intend that this Agreement, together with the Proprietary Information Agreement and the Indemnification Agreement, shall constitute the complete and exclusive statement of their terms and that no extrinsic evidence whatsoever may be introduced in any judicial, administrative, or other legal proceeding to vary the terms of this Agreement, the Proprietary Information Agreement, or the Indemnification Agreement. Notwithstanding the foregoing, in the event of any conflict between the terms of the Proprietary Information Agreement and the terms of this Agreement, the terms of this Agreement shall prevail. </w:t>
      </w:r>
    </w:p>
    <w:p>
      <w:pPr>
        <w:pStyle w:val="TextBody"/>
        <w:bidi w:val="0"/>
        <w:spacing w:lineRule="auto" w:line="240" w:before="0" w:after="240"/>
        <w:ind w:left="0" w:right="0" w:firstLine="1440"/>
        <w:jc w:val="both"/>
        <w:rPr/>
      </w:pPr>
      <w:r>
        <w:rPr>
          <w:rFonts w:ascii="Times New Roman;sans-serif" w:hAnsi="Times New Roman;sans-serif"/>
          <w:b/>
          <w:color w:val="000000"/>
          <w:sz w:val="24"/>
        </w:rPr>
        <w:t>(h)</w:t>
      </w:r>
      <w:r>
        <w:rPr>
          <w:rFonts w:ascii="Times New Roman;sans-serif" w:hAnsi="Times New Roman;sans-serif"/>
          <w:b w:val="false"/>
          <w:color w:val="000000"/>
          <w:sz w:val="24"/>
          <w:u w:val="single"/>
        </w:rPr>
        <w:t>Amendments; Waivers</w:t>
      </w:r>
      <w:r>
        <w:rPr>
          <w:rFonts w:ascii="Times New Roman;sans-serif" w:hAnsi="Times New Roman;sans-serif"/>
          <w:b w:val="false"/>
          <w:color w:val="000000"/>
          <w:sz w:val="24"/>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 </w:t>
      </w:r>
    </w:p>
    <w:p>
      <w:pPr>
        <w:pStyle w:val="TextBody"/>
        <w:bidi w:val="0"/>
        <w:spacing w:lineRule="auto" w:line="240" w:before="0" w:after="240"/>
        <w:ind w:left="0" w:right="0" w:firstLine="1440"/>
        <w:jc w:val="both"/>
        <w:rPr/>
      </w:pPr>
      <w:r>
        <w:rPr>
          <w:rFonts w:ascii="Times New Roman;sans-serif" w:hAnsi="Times New Roman;sans-serif"/>
          <w:b/>
          <w:color w:val="000000"/>
          <w:sz w:val="24"/>
        </w:rPr>
        <w:t>(i)</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 xml:space="preserve">. To ensure the timely and economical resolution of disputes that arise in connection with this Agreement, Executive and the Company agree that, except as excluded herein, any and all controversies, claims and disputes arising out of or relating to this Agreement, including without limitation any alleged violation of its terms or otherwise arising out of relationship of the Company and Executive, shall be resolved solely and exclusively by final and binding arbitration held in San Francisco County, California through JAMS in conformity with California law and the then-existing JAMS employment arbitration rules, which can be found at </w:t>
      </w:r>
      <w:r>
        <w:rPr>
          <w:rFonts w:ascii="Times New Roman;sans-serif" w:hAnsi="Times New Roman;sans-serif"/>
          <w:b w:val="false"/>
          <w:color w:val="0563C1"/>
          <w:sz w:val="24"/>
          <w:u w:val="single"/>
        </w:rPr>
        <w:t>https://www.jamsadr.com/rules-employment-arbitration/</w:t>
      </w:r>
      <w:r>
        <w:rPr>
          <w:rFonts w:ascii="Times New Roman;sans-serif" w:hAnsi="Times New Roman;sans-serif"/>
          <w:b w:val="false"/>
          <w:color w:val="000000"/>
          <w:sz w:val="24"/>
        </w:rPr>
        <w:t>. The Federal Arbitration Act, 9 U.S.C. §§ 1 et seq. shall govern the interpretation and enforcement of this arbitration clause. All remedies available from a court of competent jurisdiction shall be available in the arbitration; provided, however, in the event of a breach of Sections 8(a) or 8(b), the Company may request relief from a court of competent jurisdiction if such relief is not available or not available in a timely fashion through arbitration as determined by the Company. The arbitrator shall: (a) provide adequate discovery for the resolution of the dispute; and (b) issue a written arbitration decision, to include the arbitrator’s essential findings and conclusions and a statement of the award. The arbitrator shall award the prevailing Party attorneys’ fees and expert fees, if any. Notwithstanding the foregoing, it is acknowledged that it will be impossible to measure in money the damages that would be suffered if the Company or Executive fail to comply with any of the obligations imposed on them under Sections 8(a) and 8(b),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Sections 8(a) and 8(b), none of the parties shall raise the defense, without a good faith basis for raising such defense, that there is an adequate remedy at law. Executive and the Company understand that by agreement to arbitrate any claim pursuant to this Section 8(i),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collective action or representative proceeding. Nothing herein shall limit Executive’s ability to pursue claims for workers compensation or unemployment benefits or pursue other claims which by law cannot be subject to mandatory arbitration.</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10.3</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72160"/>
                <wp:effectExtent l="0" t="0" r="0" b="0"/>
                <wp:wrapNone/>
                <wp:docPr id="75" name="Frame7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4"/>
        </w:rPr>
        <w:t>(j)</w:t>
      </w:r>
      <w:r>
        <w:rPr>
          <w:rFonts w:ascii="Times New Roman;sans-serif" w:hAnsi="Times New Roman;sans-serif"/>
          <w:b w:val="false"/>
          <w:color w:val="000000"/>
          <w:sz w:val="24"/>
          <w:u w:val="single"/>
        </w:rPr>
        <w:t>Enforcement</w:t>
      </w:r>
      <w:r>
        <w:rPr>
          <w:rFonts w:ascii="Times New Roman;sans-serif" w:hAnsi="Times New Roman;sans-serif"/>
          <w:b w:val="false"/>
          <w:color w:val="000000"/>
          <w:sz w:val="24"/>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bidi w:val="0"/>
        <w:spacing w:lineRule="auto" w:line="240" w:before="0" w:after="240"/>
        <w:ind w:left="0" w:right="0" w:firstLine="1440"/>
        <w:jc w:val="both"/>
        <w:rPr/>
      </w:pPr>
      <w:r>
        <w:rPr>
          <w:rFonts w:ascii="Times New Roman;sans-serif" w:hAnsi="Times New Roman;sans-serif"/>
          <w:b/>
          <w:color w:val="000000"/>
          <w:sz w:val="24"/>
        </w:rPr>
        <w:t>(k)</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pStyle w:val="TextBody"/>
        <w:bidi w:val="0"/>
        <w:spacing w:lineRule="auto" w:line="240" w:before="0" w:after="240"/>
        <w:ind w:left="0" w:right="0" w:firstLine="1440"/>
        <w:jc w:val="both"/>
        <w:rPr/>
      </w:pPr>
      <w:r>
        <w:rPr>
          <w:rFonts w:ascii="Times New Roman;sans-serif" w:hAnsi="Times New Roman;sans-serif"/>
          <w:b/>
          <w:color w:val="000000"/>
          <w:sz w:val="24"/>
        </w:rPr>
        <w:t>(l)</w:t>
      </w:r>
      <w:r>
        <w:rPr>
          <w:rFonts w:ascii="Times New Roman;sans-serif" w:hAnsi="Times New Roman;sans-serif"/>
          <w:b w:val="false"/>
          <w:color w:val="000000"/>
          <w:sz w:val="24"/>
          <w:u w:val="single"/>
        </w:rPr>
        <w:t>Whistleblower Protections and Trade Secrets</w:t>
      </w:r>
      <w:r>
        <w:rPr>
          <w:rFonts w:ascii="Times New Roman;sans-serif" w:hAnsi="Times New Roman;sans-serif"/>
          <w:b w:val="false"/>
          <w:color w:val="000000"/>
          <w:sz w:val="24"/>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pStyle w:val="TextBody"/>
        <w:bidi w:val="0"/>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Golden Parachute Excise Tax</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Best Pay</w:t>
      </w:r>
      <w:r>
        <w:rPr>
          <w:rFonts w:ascii="Times New Roman;sans-serif" w:hAnsi="Times New Roman;sans-serif"/>
          <w:b w:val="false"/>
          <w:color w:val="000000"/>
          <w:sz w:val="24"/>
        </w:rPr>
        <w:t>. Any provision of this Agreement to the contrary notwithstanding, if any payment or benefit Executive would receive from the Company pursuant to this Agreement or otherwise (“</w:t>
      </w:r>
      <w:r>
        <w:rPr>
          <w:rFonts w:ascii="Times New Roman;sans-serif" w:hAnsi="Times New Roman;sans-serif"/>
          <w:b/>
          <w:i/>
          <w:color w:val="000000"/>
          <w:sz w:val="24"/>
        </w:rPr>
        <w:t>Payment</w:t>
      </w:r>
      <w:r>
        <w:rPr>
          <w:color w:val="000000"/>
        </w:rPr>
        <w:t>”</w:t>
      </w:r>
      <w:r>
        <w:rPr>
          <w:rFonts w:ascii="Times New Roman;sans-serif" w:hAnsi="Times New Roman;sans-serif"/>
          <w:b w:val="false"/>
          <w:color w:val="000000"/>
          <w:sz w:val="24"/>
        </w:rPr>
        <w:t>) would (i) constitute a “parachute payment” within the meaning of Section 280G of the Code and (ii) but for this sentence, be subject to the excise tax imposed by Section 4999 of the Code (the “</w:t>
      </w:r>
      <w:r>
        <w:rPr>
          <w:rFonts w:ascii="Times New Roman;sans-serif" w:hAnsi="Times New Roman;sans-serif"/>
          <w:b/>
          <w:i/>
          <w:color w:val="000000"/>
          <w:sz w:val="24"/>
        </w:rPr>
        <w:t>Excise Tax</w:t>
      </w:r>
      <w:r>
        <w:rPr>
          <w:color w:val="000000"/>
        </w:rPr>
        <w:t>”</w:t>
      </w:r>
      <w:r>
        <w:rPr>
          <w:rFonts w:ascii="Times New Roman;sans-serif" w:hAnsi="Times New Roman;sans-serif"/>
          <w:b w:val="false"/>
          <w:color w:val="000000"/>
          <w:sz w:val="24"/>
        </w:rPr>
        <w:t>), then such Payment will be equal to the Reduced Amount (as defined below). The “</w:t>
      </w:r>
      <w:r>
        <w:rPr>
          <w:rFonts w:ascii="Times New Roman;sans-serif" w:hAnsi="Times New Roman;sans-serif"/>
          <w:b/>
          <w:i/>
          <w:color w:val="000000"/>
          <w:sz w:val="24"/>
        </w:rPr>
        <w:t>Reduced Amount</w:t>
      </w:r>
      <w:r>
        <w:rPr>
          <w:color w:val="000000"/>
        </w:rPr>
        <w:t xml:space="preserve">” </w:t>
      </w:r>
      <w:r>
        <w:rPr>
          <w:rFonts w:ascii="Times New Roman;sans-serif" w:hAnsi="Times New Roman;sans-serif"/>
          <w:b w:val="false"/>
          <w:color w:val="000000"/>
          <w:sz w:val="24"/>
        </w:rPr>
        <w:t>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Times New Roman;sans-serif" w:hAnsi="Times New Roman;sans-serif"/>
          <w:b/>
          <w:i/>
          <w:color w:val="000000"/>
          <w:sz w:val="24"/>
        </w:rPr>
        <w:t>Reduction Method</w:t>
      </w:r>
      <w:r>
        <w:rPr>
          <w:color w:val="000000"/>
        </w:rPr>
        <w:t>”</w:t>
      </w:r>
      <w:r>
        <w:rPr>
          <w:rFonts w:ascii="Times New Roman;sans-serif" w:hAnsi="Times New Roman;sans-serif"/>
          <w:b w:val="false"/>
          <w:color w:val="000000"/>
          <w:sz w:val="24"/>
        </w:rPr>
        <w:t xml:space="preserve">) that results in the greatest economic benefit for Executive. If more than one method of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10.3</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72160"/>
                <wp:effectExtent l="0" t="0" r="0" b="0"/>
                <wp:wrapNone/>
                <wp:docPr id="76" name="Frame7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reduction will result in the same economic benefit, the items so reduced will be reduced pro rata (the “</w:t>
      </w:r>
      <w:r>
        <w:rPr>
          <w:rFonts w:ascii="Times New Roman;sans-serif" w:hAnsi="Times New Roman;sans-serif"/>
          <w:b/>
          <w:i/>
          <w:color w:val="000000"/>
          <w:sz w:val="24"/>
        </w:rPr>
        <w:t>Pro Rata Reduction Method</w:t>
      </w:r>
      <w:r>
        <w:rPr>
          <w:color w:val="000000"/>
        </w:rPr>
        <w:t>”</w:t>
      </w:r>
      <w:r>
        <w:rPr>
          <w:rFonts w:ascii="Times New Roman;sans-serif" w:hAnsi="Times New Roman;sans-serif"/>
          <w:b w:val="false"/>
          <w:color w:val="000000"/>
          <w:sz w:val="24"/>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 (1) as a first priority, the modification shall preserve to the greatest extent possible, the greatest economic benefit for Executive as determined on an after-tax basis; (2) as a second priority, Payments that are contingent on future events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Accounting Firm</w:t>
      </w:r>
      <w:r>
        <w:rPr>
          <w:rFonts w:ascii="Times New Roman;sans-serif" w:hAnsi="Times New Roman;sans-serif"/>
          <w:b w:val="false"/>
          <w:color w:val="000000"/>
          <w:sz w:val="24"/>
        </w:rPr>
        <w:t>. The accounting firm engaged by the Company for general tax purposes as of the day prior to the Change in Control will perform the calculations set forth in Section 9(a).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pStyle w:val="TextBody"/>
        <w:bidi w:val="0"/>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Section 409A</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The intent of the Company and Executive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4"/>
        </w:rPr>
        <w:t>) and, accordingly, to the maximum extent permitted, this Agreement shall be interpreted to be in compliance therewith. Notwithstanding any provision of this Agreement to the contrary, if the Company determines that any compensation or benefits payable under this Agreement may be subject to Section 409A, the Company shall work in good faith with Executive to adopt such amendments to this Agreement or adopt other policies and procedures (including amendments, policies and procedures with retroactive effect), or take any other actions, that the Company determines are necessary or appropriate to avoid the imposition of taxes under Section 409A, including, without limitation, actions intended to (i) exempt the compensation and benefits payable under this Agreement from Section 409A, and/or (ii) comply with the requirements of Section 409A; however, this Section 10(a) shall not create an obligation on the part of the Company to adopt any such amendment, policy or procedure or take any such other action, nor shall the Company (A) have any liability for failing to do so, or (B) incur or indemnify Executive for any taxes, interest or other liabilities arising under or by operation of Section 409A.</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u w:val="single"/>
        </w:rPr>
        <w:t>Separation from Service, Installments and Reimbursements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Notwithstanding any provision to the contrary in this Agreement: (i) no amount that constitutes </w:t>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10.3</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72160"/>
                <wp:effectExtent l="0" t="0" r="0" b="0"/>
                <wp:wrapNone/>
                <wp:docPr id="77" name="Frame7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v:textbox>
                <w10:wrap type="none"/>
              </v:rect>
            </w:pict>
          </mc:Fallback>
        </mc:AlternateConten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4"/>
        </w:rPr>
        <w:t>deferred compensation” under Section 409A shall be payable pursuant to Section 6 unless the termination of Executive’s employment constitutes a “separation from service” within the meaning of Section 1.409A-1(h) of the Department of Treasury Regulations (“</w:t>
      </w:r>
      <w:r>
        <w:rPr>
          <w:rFonts w:ascii="Times New Roman;sans-serif" w:hAnsi="Times New Roman;sans-serif"/>
          <w:b/>
          <w:i/>
          <w:color w:val="000000"/>
          <w:sz w:val="24"/>
        </w:rPr>
        <w:t>Separation from Service</w:t>
      </w:r>
      <w:r>
        <w:rPr>
          <w:color w:val="000000"/>
        </w:rPr>
        <w:t>”</w:t>
      </w:r>
      <w:r>
        <w:rPr>
          <w:rFonts w:ascii="Times New Roman;sans-serif" w:hAnsi="Times New Roman;sans-serif"/>
          <w:b w:val="false"/>
          <w:color w:val="000000"/>
          <w:sz w:val="24"/>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u w:val="single"/>
        </w:rPr>
        <w:t>Specified Employee</w:t>
      </w:r>
      <w:r>
        <w:rPr>
          <w:rFonts w:ascii="Times New Roman;sans-serif" w:hAnsi="Times New Roman;sans-serif"/>
          <w:b w:val="false"/>
          <w:color w:val="000000"/>
          <w:sz w:val="24"/>
        </w:rPr>
        <w:t xml:space="preserve">.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Notwithstanding anything to the contrary in this Agreement, to the extent that any payments due under this Agreement as a result of Executive’s termination of employment are subject to Executive’s execution and delivery of the Release, (i)  if Executive fails to execute the Release on or prior to the Release Expiration Date (as defined below) or timely revokes Executive’s acceptance of the Release thereafter, Executive shall not be entitled to any payments or benefits otherwise conditioned on the Release, and (ii)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Section 10(d), “</w:t>
      </w:r>
      <w:r>
        <w:rPr>
          <w:rFonts w:ascii="Times New Roman;sans-serif" w:hAnsi="Times New Roman;sans-serif"/>
          <w:b/>
          <w:i/>
          <w:color w:val="000000"/>
          <w:sz w:val="24"/>
        </w:rPr>
        <w:t>Release Expiration Date</w:t>
      </w:r>
      <w:r>
        <w:rPr>
          <w:color w:val="000000"/>
        </w:rPr>
        <w:t xml:space="preserve">” </w:t>
      </w:r>
      <w:r>
        <w:rPr>
          <w:rFonts w:ascii="Times New Roman;sans-serif" w:hAnsi="Times New Roman;sans-serif"/>
          <w:b w:val="false"/>
          <w:color w:val="000000"/>
          <w:sz w:val="24"/>
        </w:rPr>
        <w:t>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w:t>
      </w:r>
      <w:r>
        <w:rPr>
          <w:color w:val="000000"/>
        </w:rPr>
        <w:t xml:space="preserve"> </w:t>
      </w:r>
      <w:r>
        <w:rPr>
          <w:rFonts w:ascii="Times New Roman;sans-serif" w:hAnsi="Times New Roman;sans-serif"/>
          <w:b w:val="false"/>
          <w:color w:val="000000"/>
          <w:sz w:val="24"/>
        </w:rPr>
        <w:t>days following such delivery date. To the extent that any payments of nonqualified deferred compensation (within the meaning of Section 409A) due under this Agreement as a result of Executive’s termination of employment are delayed pursuant to this Section 10(d), such amounts shall be paid in a lump sum on the first payroll date following the date that Executive executes and does not revoke the Release (and the applicable revocation period has expired) or, in the case of any payments subject to Section 10(d)(ii), on the first payroll period to occur in the subsequent taxable year, if later.</w:t>
      </w:r>
    </w:p>
    <w:p>
      <w:pPr>
        <w:pStyle w:val="TextBody"/>
        <w:bidi w:val="0"/>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Employee Acknowledgement</w:t>
      </w:r>
      <w:r>
        <w:rPr>
          <w:rFonts w:ascii="Times New Roman;sans-serif" w:hAnsi="Times New Roman;sans-serif"/>
          <w:b w:val="false"/>
          <w:color w:val="000000"/>
          <w:sz w:val="24"/>
        </w:rPr>
        <w:t xml:space="preserve">.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 </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72160"/>
                <wp:effectExtent l="0" t="0" r="0" b="0"/>
                <wp:wrapNone/>
                <wp:docPr id="78" name="Frame7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Executive have executed this Agreement as of the Effective Date.</w:t>
      </w:r>
    </w:p>
    <w:p>
      <w:pPr>
        <w:pStyle w:val="TextBody"/>
        <w:bidi w:val="0"/>
        <w:spacing w:lineRule="auto" w:line="240" w:before="0" w:after="240"/>
        <w:jc w:val="both"/>
        <w:rPr>
          <w:color w:val="000000"/>
        </w:rPr>
      </w:pPr>
      <w:r>
        <w:rPr>
          <w:color w:val="000000"/>
        </w:rPr>
        <w:t>            </w:t>
      </w:r>
    </w:p>
    <w:p>
      <w:pPr>
        <w:pStyle w:val="TextBody"/>
        <w:bidi w:val="0"/>
        <w:spacing w:lineRule="auto" w:line="240" w:before="240" w:after="240"/>
        <w:jc w:val="both"/>
        <w:rPr>
          <w:rFonts w:ascii="Times New Roman;sans-serif" w:hAnsi="Times New Roman;sans-serif"/>
          <w:b/>
          <w:color w:val="000000"/>
          <w:sz w:val="24"/>
        </w:rPr>
      </w:pPr>
      <w:r>
        <w:rPr>
          <w:rFonts w:ascii="Times New Roman;sans-serif" w:hAnsi="Times New Roman;sans-serif"/>
          <w:b/>
          <w:color w:val="000000"/>
          <w:sz w:val="24"/>
        </w:rPr>
        <w:t>BRILLIANT GROUP EARTH, INC.</w:t>
      </w:r>
    </w:p>
    <w:p>
      <w:pPr>
        <w:pStyle w:val="TextBody"/>
        <w:bidi w:val="0"/>
        <w:spacing w:lineRule="auto" w:line="240" w:before="600" w:after="2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Beth Gerstein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Name: Beth Gerstein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Title: Chief Executive Officer </w:t>
      </w:r>
    </w:p>
    <w:p>
      <w:pPr>
        <w:pStyle w:val="TextBody"/>
        <w:bidi w:val="0"/>
        <w:spacing w:lineRule="auto" w:line="240" w:before="600" w:after="240"/>
        <w:jc w:val="both"/>
        <w:rPr>
          <w:rFonts w:ascii="Times New Roman;sans-serif" w:hAnsi="Times New Roman;sans-serif"/>
          <w:b/>
          <w:color w:val="000000"/>
          <w:sz w:val="24"/>
        </w:rPr>
      </w:pPr>
      <w:r>
        <w:rPr>
          <w:rFonts w:ascii="Times New Roman;sans-serif" w:hAnsi="Times New Roman;sans-serif"/>
          <w:b/>
          <w:color w:val="000000"/>
          <w:sz w:val="24"/>
        </w:rPr>
        <w:t>EXECUTIVE</w:t>
      </w:r>
    </w:p>
    <w:p>
      <w:pPr>
        <w:pStyle w:val="TextBody"/>
        <w:bidi w:val="0"/>
        <w:spacing w:lineRule="auto" w:line="240" w:before="600" w:after="2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Jeffrey Kuo    </w:t>
      </w:r>
    </w:p>
    <w:p>
      <w:pPr>
        <w:pStyle w:val="TextBody"/>
        <w:bidi w:val="0"/>
        <w:spacing w:lineRule="auto" w:line="240" w:before="0" w:after="240"/>
        <w:ind w:left="0" w:right="0" w:firstLine="36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Name: Jeffrey Kuo </w:t>
      </w:r>
    </w:p>
    <w:p>
      <w:pPr>
        <w:pStyle w:val="TextBody"/>
        <w:bidi w:val="0"/>
        <w:spacing w:before="0" w:after="240"/>
        <w:ind w:left="0" w:right="0" w:firstLine="3600"/>
        <w:jc w:val="both"/>
        <w:rPr/>
      </w:pPr>
      <w:r>
        <w:rPr/>
      </w:r>
    </w:p>
    <w:p>
      <w:pPr>
        <w:pStyle w:val="TextBody"/>
        <w:bidi w:val="0"/>
        <w:spacing w:before="0" w:after="240"/>
        <w:jc w:val="center"/>
        <w:rPr/>
      </w:pPr>
      <w:r>
        <w:rPr/>
      </w:r>
    </w:p>
    <w:p>
      <w:pPr>
        <w:pStyle w:val="TextBody"/>
        <w:bidi w:val="0"/>
        <w:spacing w:before="0" w:after="24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44500"/>
                <wp:effectExtent l="0" t="0" r="0" b="0"/>
                <wp:wrapNone/>
                <wp:docPr id="79" name="Frame79"/>
                <a:graphic xmlns:a="http://schemas.openxmlformats.org/drawingml/2006/main">
                  <a:graphicData uri="http://schemas.microsoft.com/office/word/2010/wordprocessingShape">
                    <wps:wsp>
                      <wps:cNvSpPr txBox="1"/>
                      <wps:spPr>
                        <a:xfrm>
                          <a:off x="0" y="0"/>
                          <a:ext cx="6480175" cy="444500"/>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PERMITTED OUTSIDE ACTIVITIES</w:t>
      </w:r>
    </w:p>
    <w:p>
      <w:pPr>
        <w:pStyle w:val="TextBody"/>
        <w:bidi w:val="0"/>
        <w:spacing w:before="0" w:after="240"/>
        <w:jc w:val="left"/>
        <w:rPr/>
      </w:pPr>
      <w:r>
        <w:rPr/>
      </w:r>
    </w:p>
    <w:p>
      <w:pPr>
        <w:pStyle w:val="TextBody"/>
        <w:bidi w:val="0"/>
        <w:spacing w:before="24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72160"/>
                <wp:effectExtent l="0" t="0" r="0" b="0"/>
                <wp:wrapNone/>
                <wp:docPr id="80" name="Frame8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|US-DOCS\141174324.2||</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CERTIFICATION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Beth Gerstein, certify that: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1.I have reviewed this Quarterly Report on Form 10-Q of Brilliant Earth Group, Inc.;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Date: May 11, 2023                 By: </w:t>
      </w:r>
      <w:r>
        <w:rPr>
          <w:rFonts w:ascii="Times New Roman;sans-serif" w:hAnsi="Times New Roman;sans-serif"/>
          <w:b w:val="false"/>
          <w:color w:val="000000"/>
          <w:sz w:val="22"/>
          <w:u w:val="single"/>
        </w:rPr>
        <w:t>/s/ Beth Gerstein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Beth Gerstein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lineRule="auto" w:line="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Executive Officer</w:t>
      </w:r>
      <w:r>
        <w:rPr>
          <w:rFonts w:ascii="Times New Roman;sans-serif" w:hAnsi="Times New Roman;sans-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31.2</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CERTIFICATION</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Jeffrey Kuo, certify that: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1.I have reviewed this Quarterly Report on Form 10-Q of Brilliant Earth Group, Inc.;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Date: May 11, 2023                 By: </w:t>
      </w:r>
      <w:r>
        <w:rPr>
          <w:rFonts w:ascii="Times New Roman;sans-serif" w:hAnsi="Times New Roman;sans-serif"/>
          <w:b w:val="false"/>
          <w:color w:val="000000"/>
          <w:sz w:val="22"/>
          <w:u w:val="single"/>
        </w:rPr>
        <w:t>/s/ Jeffrey Kuo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Jeffrey Kuo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p>
      <w:pPr>
        <w:pStyle w:val="TextBody"/>
        <w:bidi w:val="0"/>
        <w:spacing w:lineRule="auto" w:line="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Financial Officer</w:t>
      </w:r>
      <w:r>
        <w:rPr>
          <w:rFonts w:ascii="Times New Roman;sans-serif" w:hAnsi="Times New Roman;sans-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32.1</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of Brilliant Earth Group, Inc. (the “Company”) on Form 10-Q for the period ended March 31, 2023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The Report fully complies with the requirements of Section 13(a) or Section 15(d) of the Securities Exchange Act of 1934; and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Date: May 11, 2023                 By: </w:t>
      </w:r>
      <w:r>
        <w:rPr>
          <w:rFonts w:ascii="Times New Roman;sans-serif" w:hAnsi="Times New Roman;sans-serif"/>
          <w:b w:val="false"/>
          <w:color w:val="000000"/>
          <w:sz w:val="22"/>
          <w:u w:val="single"/>
        </w:rPr>
        <w:t xml:space="preserve">/s/ Beth Gerstein_____________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Beth Gerstein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Executive Officer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ExecutiveOfficer</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32.2</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of Brilliant Earth Group, Inc. (the “Company”) on Form 10-Q for the period ended March 31, 2023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The Report fully complies with the requirements of Section 13(a) or Section 15(d) of the Securities Exchange Act of 1934; and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Date: May 11, 2023                 By: </w:t>
      </w:r>
      <w:r>
        <w:rPr>
          <w:rFonts w:ascii="Times New Roman;sans-serif" w:hAnsi="Times New Roman;sans-serif"/>
          <w:b w:val="false"/>
          <w:color w:val="000000"/>
          <w:sz w:val="22"/>
          <w:u w:val="single"/>
        </w:rPr>
        <w:t xml:space="preserve">/s/ Jeffrey Kuo_____________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Jeffrey Kuo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Financial Officer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Financial Officer</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6757/000119312521284281/d61525dex31.htm" TargetMode="External"/><Relationship Id="rId3" Type="http://schemas.openxmlformats.org/officeDocument/2006/relationships/hyperlink" Target="https://www.sec.gov/Archives/edgar/data/0001866757/000119312521284281/d61525dex32.htm" TargetMode="External"/><Relationship Id="rId4" Type="http://schemas.openxmlformats.org/officeDocument/2006/relationships/hyperlink" Target="https://www.sec.gov/Archives/edgar/data/0001866757/000119312521272138/d64351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37408</Words>
  <Characters>205604</Characters>
  <CharactersWithSpaces>241999</CharactersWithSpaces>
  <Paragraphs>2229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