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7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5"/>
          <w:szCs w:val="25"/>
          <w:b w:val="1"/>
          <w:bCs w:val="1"/>
          <w:color w:val="auto"/>
        </w:rPr>
        <w:t>______________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CURRENT REPORT</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Brilliant Earth Group, Inc.</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8" w:lineRule="exact"/>
        <w:rPr>
          <w:sz w:val="24"/>
          <w:szCs w:val="24"/>
          <w:color w:val="auto"/>
        </w:rPr>
      </w:pPr>
    </w:p>
    <w:tbl>
      <w:tblPr>
        <w:tblLayout w:type="fixed"/>
        <w:tblInd w:w="100" w:type="dxa"/>
        <w:tblCellMar>
          <w:top w:w="0" w:type="dxa"/>
          <w:left w:w="0" w:type="dxa"/>
          <w:bottom w:w="0" w:type="dxa"/>
          <w:right w:w="0" w:type="dxa"/>
        </w:tblCellMar>
      </w:tblPr>
      <w:tr>
        <w:trPr>
          <w:trHeight w:val="252"/>
        </w:trPr>
        <w:tc>
          <w:tcPr>
            <w:tcW w:w="4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6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001-40836</w:t>
            </w:r>
          </w:p>
        </w:tc>
        <w:tc>
          <w:tcPr>
            <w:tcW w:w="31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87-1015499</w:t>
            </w:r>
          </w:p>
        </w:tc>
        <w:tc>
          <w:tcPr>
            <w:tcW w:w="0" w:type="dxa"/>
            <w:vAlign w:val="bottom"/>
          </w:tcPr>
          <w:p>
            <w:pPr>
              <w:spacing w:after="0"/>
              <w:rPr>
                <w:sz w:val="1"/>
                <w:szCs w:val="1"/>
                <w:color w:val="auto"/>
              </w:rPr>
            </w:pPr>
          </w:p>
        </w:tc>
      </w:tr>
      <w:tr>
        <w:trPr>
          <w:trHeight w:val="256"/>
        </w:trPr>
        <w:tc>
          <w:tcPr>
            <w:tcW w:w="44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(Commission File Number)</w:t>
            </w:r>
          </w:p>
        </w:tc>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61"/>
        </w:trPr>
        <w:tc>
          <w:tcPr>
            <w:tcW w:w="442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300 Grant Avenue, Third Floor</w:t>
            </w:r>
            <w:r>
              <w:rPr>
                <w:rFonts w:ascii="Times New Roman" w:cs="Times New Roman" w:eastAsia="Times New Roman" w:hAnsi="Times New Roman"/>
                <w:sz w:val="17"/>
                <w:szCs w:val="17"/>
                <w:b w:val="1"/>
                <w:bCs w:val="1"/>
                <w:color w:val="auto"/>
              </w:rPr>
              <w:t>,</w:t>
            </w:r>
          </w:p>
        </w:tc>
        <w:tc>
          <w:tcPr>
            <w:tcW w:w="2640" w:type="dxa"/>
            <w:vAlign w:val="bottom"/>
          </w:tcPr>
          <w:p>
            <w:pPr>
              <w:spacing w:after="0"/>
              <w:rPr>
                <w:sz w:val="22"/>
                <w:szCs w:val="22"/>
                <w:color w:val="auto"/>
              </w:rPr>
            </w:pPr>
          </w:p>
        </w:tc>
        <w:tc>
          <w:tcPr>
            <w:tcW w:w="314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c>
          <w:tcPr>
            <w:tcW w:w="0" w:type="dxa"/>
            <w:vAlign w:val="bottom"/>
          </w:tcPr>
          <w:p>
            <w:pPr>
              <w:spacing w:after="0"/>
              <w:rPr>
                <w:sz w:val="1"/>
                <w:szCs w:val="1"/>
                <w:color w:val="auto"/>
              </w:rPr>
            </w:pPr>
          </w:p>
        </w:tc>
      </w:tr>
      <w:tr>
        <w:trPr>
          <w:trHeight w:val="238"/>
        </w:trPr>
        <w:tc>
          <w:tcPr>
            <w:tcW w:w="4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San Francisco, CA</w:t>
            </w:r>
          </w:p>
        </w:tc>
        <w:tc>
          <w:tcPr>
            <w:tcW w:w="2640" w:type="dxa"/>
            <w:vAlign w:val="bottom"/>
          </w:tcPr>
          <w:p>
            <w:pPr>
              <w:spacing w:after="0"/>
              <w:rPr>
                <w:sz w:val="20"/>
                <w:szCs w:val="20"/>
                <w:color w:val="auto"/>
              </w:rPr>
            </w:pP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spacing w:after="0"/>
              <w:rPr>
                <w:sz w:val="22"/>
                <w:szCs w:val="22"/>
                <w:color w:val="auto"/>
              </w:rPr>
            </w:pPr>
          </w:p>
        </w:tc>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691-0952</w:t>
      </w:r>
    </w:p>
    <w:p>
      <w:pPr>
        <w:spacing w:after="0" w:line="256"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88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Class A common stock, $0.0001 par value per</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BRLT</w:t>
            </w:r>
          </w:p>
        </w:tc>
        <w:tc>
          <w:tcPr>
            <w:tcW w:w="4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c>
          <w:tcPr>
            <w:tcW w:w="0" w:type="dxa"/>
            <w:vAlign w:val="bottom"/>
          </w:tcPr>
          <w:p>
            <w:pPr>
              <w:spacing w:after="0"/>
              <w:rPr>
                <w:sz w:val="1"/>
                <w:szCs w:val="1"/>
                <w:color w:val="auto"/>
              </w:rPr>
            </w:pPr>
          </w:p>
        </w:tc>
      </w:tr>
      <w:tr>
        <w:trPr>
          <w:trHeight w:val="149"/>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380" w:type="dxa"/>
            <w:vAlign w:val="bottom"/>
            <w:tcBorders>
              <w:right w:val="single" w:sz="8" w:color="auto"/>
            </w:tcBorders>
            <w:vMerge w:val="continue"/>
          </w:tcPr>
          <w:p>
            <w:pPr>
              <w:spacing w:after="0"/>
              <w:rPr>
                <w:sz w:val="12"/>
                <w:szCs w:val="12"/>
                <w:color w:val="auto"/>
              </w:rPr>
            </w:pPr>
          </w:p>
        </w:tc>
        <w:tc>
          <w:tcPr>
            <w:tcW w:w="4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8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May 6, 2026, Brilliant Earth Group, Inc. issued a press release announcing its financial results for the three months ended March 31, 2026. A copy of such press release is attached as Exhibit 99.1 to this Current Report on Form 8-K.</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information furnished under this Item 2.02, including the press release attached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otherwise expressly stated in such filing.</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tcPr>
          <w:p>
            <w:pPr>
              <w:spacing w:after="0"/>
              <w:rPr>
                <w:sz w:val="24"/>
                <w:szCs w:val="24"/>
                <w:color w:val="auto"/>
              </w:rPr>
            </w:pPr>
          </w:p>
        </w:tc>
      </w:tr>
      <w:tr>
        <w:trPr>
          <w:trHeight w:val="344"/>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Brilliant Earth Group, Inc., dated May 6, 2026</w:t>
            </w:r>
          </w:p>
        </w:tc>
      </w:tr>
      <w:tr>
        <w:trPr>
          <w:trHeight w:val="1364"/>
        </w:trPr>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80" w:type="dxa"/>
            <w:vAlign w:val="bottom"/>
            <w:tcBorders>
              <w:top w:val="single" w:sz="8" w:color="0000FF"/>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pacing w:after="0" w:line="324" w:lineRule="exact"/>
        <w:rPr>
          <w:sz w:val="20"/>
          <w:szCs w:val="20"/>
          <w:color w:val="auto"/>
        </w:rPr>
      </w:pPr>
    </w:p>
    <w:p>
      <w:pPr>
        <w:ind w:left="20"/>
        <w:spacing w:after="0"/>
        <w:tabs>
          <w:tab w:leader="none" w:pos="528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  /s/ Jeffrey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43180</wp:posOffset>
            </wp:positionV>
            <wp:extent cx="2922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Jeffrey Kuo</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ind w:left="4200"/>
        <w:spacing w:after="0"/>
        <w:rPr>
          <w:sz w:val="20"/>
          <w:szCs w:val="20"/>
          <w:color w:val="auto"/>
        </w:rPr>
      </w:pPr>
      <w:r>
        <w:rPr>
          <w:rFonts w:ascii="Times New Roman" w:cs="Times New Roman" w:eastAsia="Times New Roman" w:hAnsi="Times New Roman"/>
          <w:sz w:val="18"/>
          <w:szCs w:val="18"/>
          <w:b w:val="1"/>
          <w:bCs w:val="1"/>
          <w:color w:val="auto"/>
        </w:rPr>
        <w:t>Brilliant Earth Reports First Quarter Results</w:t>
      </w:r>
    </w:p>
    <w:p>
      <w:pPr>
        <w:spacing w:after="0" w:line="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i w:val="1"/>
          <w:iCs w:val="1"/>
          <w:color w:val="auto"/>
        </w:rPr>
        <w:t>Delivered 6% Y/Y Net Sales Growth at High End of Guidance Range and Exceeding Analyst Consensus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Drove 33% Y/Y Bookings Growth in Fine Jewelry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Opened First Flagship Location in Beverly Hills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Reiterates Annual Guidance</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SAN FRANCISCO, Calif. – May 6, 2026 (GLOBE NEWSWIRE) – Brilliant Earth Group, Inc. (“Brilliant Earth” or the “Company”) (Nasdaq: BRLT), an innovative, global leader in ethically sourced fine jewelry, today announced financial results for the three months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 (quarterly period ended March 31, 2026):</w:t>
      </w:r>
    </w:p>
    <w:p>
      <w:pPr>
        <w:spacing w:after="0" w:line="15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Delivered Net Sales of $99.5 million in the first quarter, </w:t>
      </w:r>
      <w:r>
        <w:rPr>
          <w:rFonts w:ascii="Times New Roman" w:cs="Times New Roman" w:eastAsia="Times New Roman" w:hAnsi="Times New Roman"/>
          <w:sz w:val="18"/>
          <w:szCs w:val="18"/>
          <w:color w:val="auto"/>
        </w:rPr>
        <w:t>at the high end of guidance range and exceeding analyst consensus</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Total orders and AOV each grew year-over-year 3%</w:t>
      </w:r>
    </w:p>
    <w:p>
      <w:pPr>
        <w:spacing w:after="0" w:line="18"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Average Selling Price (ASP) grew year-over-year across the assortment in Q1</w:t>
      </w:r>
    </w:p>
    <w:p>
      <w:pPr>
        <w:spacing w:after="0" w:line="12" w:lineRule="exact"/>
        <w:rPr>
          <w:rFonts w:ascii="Times New Roman" w:cs="Times New Roman" w:eastAsia="Times New Roman" w:hAnsi="Times New Roman"/>
          <w:sz w:val="18"/>
          <w:szCs w:val="18"/>
          <w:b w:val="1"/>
          <w:bCs w:val="1"/>
          <w:color w:val="auto"/>
        </w:rPr>
      </w:pPr>
    </w:p>
    <w:p>
      <w:pPr>
        <w:ind w:left="660" w:right="80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Drove another strong quarter of fine jewelry bookings</w:t>
      </w:r>
      <w:r>
        <w:rPr>
          <w:rFonts w:ascii="Times New Roman" w:cs="Times New Roman" w:eastAsia="Times New Roman" w:hAnsi="Times New Roman"/>
          <w:sz w:val="18"/>
          <w:szCs w:val="18"/>
          <w:color w:val="auto"/>
        </w:rPr>
        <w:t>, with 33% year-over-year bookings growth, highlighting continued success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diversification beyond bridal heritage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Opened first flagship showroom in Beverly Hills</w:t>
      </w:r>
      <w:r>
        <w:rPr>
          <w:rFonts w:ascii="Times New Roman" w:cs="Times New Roman" w:eastAsia="Times New Roman" w:hAnsi="Times New Roman"/>
          <w:sz w:val="18"/>
          <w:szCs w:val="18"/>
          <w:color w:val="auto"/>
        </w:rPr>
        <w:t>, with impressive initial performance including strong retail orders and foot traffic</w:t>
      </w:r>
    </w:p>
    <w:p>
      <w:pPr>
        <w:spacing w:after="0" w:line="22"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Achieved Gross Margin of 54.3% </w:t>
      </w:r>
      <w:r>
        <w:rPr>
          <w:rFonts w:ascii="Times New Roman" w:cs="Times New Roman" w:eastAsia="Times New Roman" w:hAnsi="Times New Roman"/>
          <w:sz w:val="18"/>
          <w:szCs w:val="18"/>
          <w:color w:val="auto"/>
        </w:rPr>
        <w:t>in the first quarter, within mid-50s target, while navigating headwinds in precious metal prices and tariffs,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demonstrating the agility of the Company's business model</w:t>
      </w:r>
    </w:p>
    <w:p>
      <w:pPr>
        <w:ind w:left="660" w:right="6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Drove 90 basis points of year-over-year leverage in marketing expense </w:t>
      </w:r>
      <w:r>
        <w:rPr>
          <w:rFonts w:ascii="Times New Roman" w:cs="Times New Roman" w:eastAsia="Times New Roman" w:hAnsi="Times New Roman"/>
          <w:sz w:val="18"/>
          <w:szCs w:val="18"/>
          <w:color w:val="auto"/>
        </w:rPr>
        <w:t>as a percentage of Net Sales while continuing to make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 building brand awareness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Delivered profitability in the upper half of the Company's Adjusted EBITDA guidance range: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GAAP Net loss was $8.5 million for the first quarter 2026; and</w:t>
      </w:r>
    </w:p>
    <w:p>
      <w:pPr>
        <w:spacing w:after="0" w:line="22"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EBITDA was negative $4.7 million for the first quarter 2026</w:t>
      </w:r>
    </w:p>
    <w:p>
      <w:pPr>
        <w:spacing w:after="0" w:line="26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"We're pleased with our first quarter results, with Net Sales at the high end and Adjusted EBITDA in the upper half of our guidance. Our team's agility in managing both gross margin and operating expenses in a dynamic environment continues to be a key differentiator for Brilliant Earth," said Beth Gerstein, Co-Founder and Chief Executive Officer of Brilliant Earth. "Our ASP growth across the assortment demonstrates the resonance of our premium brand and innovative, new design collections. Fine jewelry continues to outperform the business and drive our intentional diversification beyond bridal. And our evolving retail strategy is continuing to demonstrate success and amplify our fine jewelry opportunity. As we move into the rest of the year, we're confident in our path forward and excited to continue executing on our strategic 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20" w:type="dxa"/>
            <w:vAlign w:val="bottom"/>
            <w:tcBorders>
              <w:top w:val="single" w:sz="8" w:color="auto"/>
              <w:left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Q1 2026</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Q1 2025</w:t>
            </w:r>
          </w:p>
        </w:tc>
        <w:tc>
          <w:tcPr>
            <w:tcW w:w="14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48"/>
        </w:trPr>
        <w:tc>
          <w:tcPr>
            <w:tcW w:w="4420" w:type="dxa"/>
            <w:vAlign w:val="bottom"/>
            <w:tcBorders>
              <w:left w:val="single" w:sz="8" w:color="auto"/>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r>
      <w:tr>
        <w:trPr>
          <w:trHeight w:val="230"/>
        </w:trPr>
        <w:tc>
          <w:tcPr>
            <w:tcW w:w="4420" w:type="dxa"/>
            <w:vAlign w:val="bottom"/>
            <w:tcBorders>
              <w:left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Orders</w:t>
            </w:r>
          </w:p>
        </w:tc>
        <w:tc>
          <w:tcPr>
            <w:tcW w:w="1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46,692</w:t>
            </w: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45,535</w:t>
            </w: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24"/>
        </w:trPr>
        <w:tc>
          <w:tcPr>
            <w:tcW w:w="44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AOV</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w w:val="99"/>
              </w:rPr>
              <w:t>2,131</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w w:val="99"/>
              </w:rPr>
              <w:t>2,062</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Borders>
              <w:right w:val="single" w:sz="8" w:color="auto"/>
            </w:tcBorders>
          </w:tcPr>
          <w:p>
            <w:pPr>
              <w:spacing w:after="0"/>
              <w:rPr>
                <w:sz w:val="19"/>
                <w:szCs w:val="19"/>
                <w:color w:val="auto"/>
              </w:rPr>
            </w:pPr>
          </w:p>
        </w:tc>
      </w:tr>
      <w:tr>
        <w:trPr>
          <w:trHeight w:val="33"/>
        </w:trPr>
        <w:tc>
          <w:tcPr>
            <w:tcW w:w="442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r>
      <w:tr>
        <w:trPr>
          <w:trHeight w:val="332"/>
        </w:trPr>
        <w:tc>
          <w:tcPr>
            <w:tcW w:w="442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in millions, except per share amounts</w:t>
            </w: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tcBorders>
              <w:right w:val="single" w:sz="8" w:color="auto"/>
            </w:tcBorders>
            <w:shd w:val="clear" w:color="auto" w:fill="CCEEFF"/>
          </w:tcPr>
          <w:p>
            <w:pPr>
              <w:spacing w:after="0"/>
              <w:rPr>
                <w:sz w:val="24"/>
                <w:szCs w:val="24"/>
                <w:color w:val="auto"/>
              </w:rPr>
            </w:pPr>
          </w:p>
        </w:tc>
      </w:tr>
      <w:tr>
        <w:trPr>
          <w:trHeight w:val="141"/>
        </w:trPr>
        <w:tc>
          <w:tcPr>
            <w:tcW w:w="4420" w:type="dxa"/>
            <w:vAlign w:val="bottom"/>
            <w:tcBorders>
              <w:left w:val="single" w:sz="8" w:color="auto"/>
            </w:tcBorders>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r>
      <w:tr>
        <w:trPr>
          <w:trHeight w:val="224"/>
        </w:trPr>
        <w:tc>
          <w:tcPr>
            <w:tcW w:w="44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Net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w w:val="99"/>
              </w:rPr>
              <w:t>99.5</w:t>
            </w:r>
          </w:p>
        </w:tc>
        <w:tc>
          <w:tcPr>
            <w:tcW w:w="6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w w:val="99"/>
              </w:rPr>
              <w:t>93.9</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Borders>
              <w:right w:val="single" w:sz="8" w:color="auto"/>
            </w:tcBorders>
          </w:tcPr>
          <w:p>
            <w:pPr>
              <w:spacing w:after="0"/>
              <w:rPr>
                <w:sz w:val="19"/>
                <w:szCs w:val="19"/>
                <w:color w:val="auto"/>
              </w:rPr>
            </w:pPr>
          </w:p>
        </w:tc>
      </w:tr>
      <w:tr>
        <w:trPr>
          <w:trHeight w:val="33"/>
        </w:trPr>
        <w:tc>
          <w:tcPr>
            <w:tcW w:w="442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r>
      <w:tr>
        <w:trPr>
          <w:trHeight w:val="237"/>
        </w:trPr>
        <w:tc>
          <w:tcPr>
            <w:tcW w:w="4420" w:type="dxa"/>
            <w:vAlign w:val="bottom"/>
            <w:tcBorders>
              <w:left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Gross Profit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54.1</w:t>
            </w: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55.0</w:t>
            </w: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(1.6)%</w:t>
            </w:r>
          </w:p>
        </w:tc>
        <w:tc>
          <w:tcPr>
            <w:tcW w:w="32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23"/>
        </w:trPr>
        <w:tc>
          <w:tcPr>
            <w:tcW w:w="44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Gross Margin</w:t>
            </w:r>
          </w:p>
        </w:tc>
        <w:tc>
          <w:tcPr>
            <w:tcW w:w="1200" w:type="dxa"/>
            <w:vAlign w:val="bottom"/>
          </w:tcPr>
          <w:p>
            <w:pPr>
              <w:spacing w:after="0"/>
              <w:rPr>
                <w:sz w:val="19"/>
                <w:szCs w:val="19"/>
                <w:color w:val="auto"/>
              </w:rPr>
            </w:pPr>
          </w:p>
        </w:tc>
        <w:tc>
          <w:tcPr>
            <w:tcW w:w="124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color w:val="auto"/>
              </w:rPr>
              <w:t>54.3%</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color w:val="auto"/>
              </w:rPr>
              <w:t>58.6%</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(430)bps</w:t>
            </w:r>
          </w:p>
        </w:tc>
      </w:tr>
      <w:tr>
        <w:trPr>
          <w:trHeight w:val="33"/>
        </w:trPr>
        <w:tc>
          <w:tcPr>
            <w:tcW w:w="442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r>
      <w:tr>
        <w:trPr>
          <w:trHeight w:val="257"/>
        </w:trPr>
        <w:tc>
          <w:tcPr>
            <w:tcW w:w="442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Net loss allocable to Brilliant Earth Group, Inc. </w:t>
            </w:r>
            <w:r>
              <w:rPr>
                <w:rFonts w:ascii="Times New Roman" w:cs="Times New Roman" w:eastAsia="Times New Roman" w:hAnsi="Times New Roman"/>
                <w:sz w:val="21"/>
                <w:szCs w:val="21"/>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(1.5)</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(0.5)</w:t>
            </w: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tcBorders>
              <w:right w:val="single" w:sz="8" w:color="auto"/>
            </w:tcBorders>
            <w:shd w:val="clear" w:color="auto" w:fill="CCEEFF"/>
          </w:tcPr>
          <w:p>
            <w:pPr>
              <w:spacing w:after="0"/>
              <w:rPr>
                <w:sz w:val="22"/>
                <w:szCs w:val="22"/>
                <w:color w:val="auto"/>
              </w:rPr>
            </w:pPr>
          </w:p>
        </w:tc>
      </w:tr>
      <w:tr>
        <w:trPr>
          <w:trHeight w:val="224"/>
        </w:trPr>
        <w:tc>
          <w:tcPr>
            <w:tcW w:w="44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Net loss, as reported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rPr>
              <w:t>(8.5)</w:t>
            </w:r>
          </w:p>
        </w:tc>
        <w:tc>
          <w:tcPr>
            <w:tcW w:w="6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rPr>
              <w:t>(3.3)</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158.7%</w:t>
            </w:r>
          </w:p>
        </w:tc>
        <w:tc>
          <w:tcPr>
            <w:tcW w:w="320" w:type="dxa"/>
            <w:vAlign w:val="bottom"/>
            <w:tcBorders>
              <w:right w:val="single" w:sz="8" w:color="auto"/>
            </w:tcBorders>
          </w:tcPr>
          <w:p>
            <w:pPr>
              <w:spacing w:after="0"/>
              <w:rPr>
                <w:sz w:val="19"/>
                <w:szCs w:val="19"/>
                <w:color w:val="auto"/>
              </w:rPr>
            </w:pPr>
          </w:p>
        </w:tc>
      </w:tr>
      <w:tr>
        <w:trPr>
          <w:trHeight w:val="33"/>
        </w:trPr>
        <w:tc>
          <w:tcPr>
            <w:tcW w:w="4420" w:type="dxa"/>
            <w:vAlign w:val="bottom"/>
            <w:tcBorders>
              <w:lef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r>
      <w:tr>
        <w:trPr>
          <w:trHeight w:val="237"/>
        </w:trPr>
        <w:tc>
          <w:tcPr>
            <w:tcW w:w="4420" w:type="dxa"/>
            <w:vAlign w:val="bottom"/>
            <w:tcBorders>
              <w:left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margin</w:t>
            </w:r>
          </w:p>
        </w:tc>
        <w:tc>
          <w:tcPr>
            <w:tcW w:w="1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(8.5)%</w:t>
            </w: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(3.5)%</w:t>
            </w: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right w:val="single" w:sz="8" w:color="auto"/>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8"/>
              </w:rPr>
              <w:t>(500)bps</w:t>
            </w:r>
          </w:p>
        </w:tc>
      </w:tr>
      <w:tr>
        <w:trPr>
          <w:trHeight w:val="257"/>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Adjusted net loss </w:t>
            </w:r>
            <w:r>
              <w:rPr>
                <w:rFonts w:ascii="Times New Roman" w:cs="Times New Roman" w:eastAsia="Times New Roman" w:hAnsi="Times New Roman"/>
                <w:sz w:val="21"/>
                <w:szCs w:val="21"/>
                <w:color w:val="auto"/>
                <w:vertAlign w:val="superscript"/>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rPr>
              <w:t>(5.0)</w:t>
            </w:r>
          </w:p>
        </w:tc>
        <w:tc>
          <w:tcPr>
            <w:tcW w:w="6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rPr>
              <w:t>(0.4)</w:t>
            </w: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center"/>
              <w:ind w:left="219"/>
              <w:spacing w:after="0"/>
              <w:rPr>
                <w:sz w:val="20"/>
                <w:szCs w:val="20"/>
                <w:color w:val="auto"/>
              </w:rPr>
            </w:pPr>
            <w:r>
              <w:rPr>
                <w:rFonts w:ascii="Times New Roman" w:cs="Times New Roman" w:eastAsia="Times New Roman" w:hAnsi="Times New Roman"/>
                <w:sz w:val="16"/>
                <w:szCs w:val="16"/>
                <w:color w:val="auto"/>
                <w:w w:val="97"/>
              </w:rPr>
              <w:t>1150.0%</w:t>
            </w:r>
          </w:p>
        </w:tc>
        <w:tc>
          <w:tcPr>
            <w:tcW w:w="320" w:type="dxa"/>
            <w:vAlign w:val="bottom"/>
            <w:tcBorders>
              <w:right w:val="single" w:sz="8" w:color="auto"/>
            </w:tcBorders>
          </w:tcPr>
          <w:p>
            <w:pPr>
              <w:spacing w:after="0"/>
              <w:rPr>
                <w:sz w:val="22"/>
                <w:szCs w:val="22"/>
                <w:color w:val="auto"/>
              </w:rPr>
            </w:pPr>
          </w:p>
        </w:tc>
      </w:tr>
      <w:tr>
        <w:trPr>
          <w:trHeight w:val="256"/>
        </w:trPr>
        <w:tc>
          <w:tcPr>
            <w:tcW w:w="442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GAAP Diluted EPS </w:t>
            </w:r>
            <w:r>
              <w:rPr>
                <w:rFonts w:ascii="Times New Roman" w:cs="Times New Roman" w:eastAsia="Times New Roman" w:hAnsi="Times New Roman"/>
                <w:sz w:val="21"/>
                <w:szCs w:val="21"/>
                <w:color w:val="auto"/>
                <w:vertAlign w:val="superscript"/>
              </w:rPr>
              <w:t>(2)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(0.10)</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(0.03)</w:t>
            </w: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233.3%</w:t>
            </w:r>
          </w:p>
        </w:tc>
        <w:tc>
          <w:tcPr>
            <w:tcW w:w="320" w:type="dxa"/>
            <w:vAlign w:val="bottom"/>
            <w:tcBorders>
              <w:right w:val="single" w:sz="8" w:color="auto"/>
            </w:tcBorders>
            <w:shd w:val="clear" w:color="auto" w:fill="CCEEFF"/>
          </w:tcPr>
          <w:p>
            <w:pPr>
              <w:spacing w:after="0"/>
              <w:rPr>
                <w:sz w:val="22"/>
                <w:szCs w:val="22"/>
                <w:color w:val="auto"/>
              </w:rPr>
            </w:pPr>
          </w:p>
        </w:tc>
      </w:tr>
      <w:tr>
        <w:trPr>
          <w:trHeight w:val="257"/>
        </w:trPr>
        <w:tc>
          <w:tcPr>
            <w:tcW w:w="4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Adjusted Diluted EPS </w:t>
            </w:r>
            <w:r>
              <w:rPr>
                <w:rFonts w:ascii="Times New Roman" w:cs="Times New Roman" w:eastAsia="Times New Roman" w:hAnsi="Times New Roman"/>
                <w:sz w:val="21"/>
                <w:szCs w:val="21"/>
                <w:color w:val="auto"/>
                <w:vertAlign w:val="superscript"/>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rPr>
              <w:t>(0.05)</w:t>
            </w:r>
          </w:p>
        </w:tc>
        <w:tc>
          <w:tcPr>
            <w:tcW w:w="6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w w:val="99"/>
              </w:rPr>
              <w:t>0.00</w:t>
            </w: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*nm</w:t>
            </w:r>
          </w:p>
        </w:tc>
      </w:tr>
      <w:tr>
        <w:trPr>
          <w:trHeight w:val="257"/>
        </w:trPr>
        <w:tc>
          <w:tcPr>
            <w:tcW w:w="442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(4.7)</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9"/>
              </w:rPr>
              <w:t>1.1</w:t>
            </w: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(536.4)%</w:t>
            </w:r>
          </w:p>
        </w:tc>
        <w:tc>
          <w:tcPr>
            <w:tcW w:w="320" w:type="dxa"/>
            <w:vAlign w:val="bottom"/>
            <w:tcBorders>
              <w:right w:val="single" w:sz="8" w:color="auto"/>
            </w:tcBorders>
            <w:shd w:val="clear" w:color="auto" w:fill="CCEEFF"/>
          </w:tcPr>
          <w:p>
            <w:pPr>
              <w:spacing w:after="0"/>
              <w:rPr>
                <w:sz w:val="22"/>
                <w:szCs w:val="22"/>
                <w:color w:val="auto"/>
              </w:rPr>
            </w:pPr>
          </w:p>
        </w:tc>
      </w:tr>
      <w:tr>
        <w:trPr>
          <w:trHeight w:val="257"/>
        </w:trPr>
        <w:tc>
          <w:tcPr>
            <w:tcW w:w="44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(3)</w:t>
            </w:r>
          </w:p>
        </w:tc>
        <w:tc>
          <w:tcPr>
            <w:tcW w:w="1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left="599"/>
              <w:spacing w:after="0"/>
              <w:rPr>
                <w:sz w:val="20"/>
                <w:szCs w:val="20"/>
                <w:color w:val="auto"/>
              </w:rPr>
            </w:pPr>
            <w:r>
              <w:rPr>
                <w:rFonts w:ascii="Times New Roman" w:cs="Times New Roman" w:eastAsia="Times New Roman" w:hAnsi="Times New Roman"/>
                <w:sz w:val="16"/>
                <w:szCs w:val="16"/>
                <w:color w:val="auto"/>
                <w:w w:val="99"/>
              </w:rPr>
              <w:t>(4.7)%</w:t>
            </w:r>
          </w:p>
        </w:tc>
        <w:tc>
          <w:tcPr>
            <w:tcW w:w="6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left="619"/>
              <w:spacing w:after="0"/>
              <w:rPr>
                <w:sz w:val="20"/>
                <w:szCs w:val="20"/>
                <w:color w:val="auto"/>
              </w:rPr>
            </w:pPr>
            <w:r>
              <w:rPr>
                <w:rFonts w:ascii="Times New Roman" w:cs="Times New Roman" w:eastAsia="Times New Roman" w:hAnsi="Times New Roman"/>
                <w:sz w:val="16"/>
                <w:szCs w:val="16"/>
                <w:color w:val="auto"/>
              </w:rPr>
              <w:t>1.1%</w:t>
            </w: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(580)bps</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changes may not recalculate due to rounding</w:t>
      </w:r>
    </w:p>
    <w:p>
      <w:pPr>
        <w:ind w:left="360" w:hanging="352"/>
        <w:spacing w:after="0" w:line="217" w:lineRule="auto"/>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net loss allocable to Brilliant Earth Group, Inc. during the three months ended March 31, 2026 and 2025.</w:t>
      </w:r>
    </w:p>
    <w:p>
      <w:pPr>
        <w:ind w:left="360" w:hanging="352"/>
        <w:spacing w:after="0" w:line="228" w:lineRule="auto"/>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GAAP Diluted EPS during the three months ended March 31, 2026 and 2025.</w:t>
      </w:r>
    </w:p>
    <w:p>
      <w:pPr>
        <w:ind w:left="420" w:right="20" w:hanging="412"/>
        <w:spacing w:after="0" w:line="231" w:lineRule="auto"/>
        <w:tabs>
          <w:tab w:leader="none" w:pos="35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loss, Adjusted Diluted EPS, Adjusted EBITDA and Adjusted EBITDA margin are non-GAAP financial measures. See "Disclosure Regarding Non-GAAP Financial Measures and Key Metrics" for additional information on non-GAAP financial measures and a reconciliation to the most comparable GAAP measures.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Second Quarter</w:t>
      </w:r>
    </w:p>
    <w:p>
      <w:pPr>
        <w:spacing w:after="0" w:line="108" w:lineRule="exact"/>
        <w:rPr>
          <w:sz w:val="20"/>
          <w:szCs w:val="20"/>
          <w:color w:val="auto"/>
        </w:rPr>
      </w:pPr>
    </w:p>
    <w:p>
      <w:pPr>
        <w:ind w:left="2300"/>
        <w:spacing w:after="0"/>
        <w:tabs>
          <w:tab w:leader="none" w:pos="4980" w:val="left"/>
        </w:tabs>
        <w:rPr>
          <w:sz w:val="20"/>
          <w:szCs w:val="20"/>
          <w:color w:val="auto"/>
        </w:rPr>
      </w:pPr>
      <w:r>
        <w:rPr>
          <w:rFonts w:ascii="Times New Roman" w:cs="Times New Roman" w:eastAsia="Times New Roman" w:hAnsi="Times New Roman"/>
          <w:sz w:val="18"/>
          <w:szCs w:val="18"/>
          <w:color w:val="auto"/>
        </w:rPr>
        <w:t>Net Sales Growth</w:t>
      </w:r>
      <w:r>
        <w:rPr>
          <w:sz w:val="20"/>
          <w:szCs w:val="20"/>
          <w:color w:val="auto"/>
        </w:rPr>
        <w:tab/>
      </w:r>
      <w:r>
        <w:rPr>
          <w:rFonts w:ascii="Times New Roman" w:cs="Times New Roman" w:eastAsia="Times New Roman" w:hAnsi="Times New Roman"/>
          <w:sz w:val="17"/>
          <w:szCs w:val="17"/>
          <w:color w:val="auto"/>
        </w:rPr>
        <w:t>Positive Low-single-digit % Y/Y</w:t>
      </w:r>
    </w:p>
    <w:p>
      <w:pPr>
        <w:spacing w:after="0" w:line="77" w:lineRule="exact"/>
        <w:rPr>
          <w:sz w:val="20"/>
          <w:szCs w:val="20"/>
          <w:color w:val="auto"/>
        </w:rPr>
      </w:pPr>
    </w:p>
    <w:p>
      <w:pPr>
        <w:ind w:left="2180"/>
        <w:spacing w:after="0"/>
        <w:tabs>
          <w:tab w:leader="none" w:pos="5760" w:val="left"/>
        </w:tabs>
        <w:rPr>
          <w:sz w:val="20"/>
          <w:szCs w:val="20"/>
          <w:color w:val="auto"/>
        </w:rPr>
      </w:pPr>
      <w:r>
        <w:rPr>
          <w:rFonts w:ascii="Times New Roman" w:cs="Times New Roman" w:eastAsia="Times New Roman" w:hAnsi="Times New Roman"/>
          <w:sz w:val="18"/>
          <w:szCs w:val="18"/>
          <w:color w:val="auto"/>
        </w:rPr>
        <w:t>Adjusted EBITDA $</w:t>
      </w:r>
      <w:r>
        <w:rPr>
          <w:sz w:val="20"/>
          <w:szCs w:val="20"/>
          <w:color w:val="auto"/>
        </w:rPr>
        <w:tab/>
      </w:r>
      <w:r>
        <w:rPr>
          <w:rFonts w:ascii="Times New Roman" w:cs="Times New Roman" w:eastAsia="Times New Roman" w:hAnsi="Times New Roman"/>
          <w:sz w:val="18"/>
          <w:szCs w:val="18"/>
          <w:color w:val="auto"/>
        </w:rPr>
        <w:t>$0.5 - $2M</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Full Year</w:t>
      </w:r>
    </w:p>
    <w:p>
      <w:pPr>
        <w:spacing w:after="0" w:line="108" w:lineRule="exact"/>
        <w:rPr>
          <w:sz w:val="20"/>
          <w:szCs w:val="20"/>
          <w:color w:val="auto"/>
        </w:rPr>
      </w:pPr>
    </w:p>
    <w:p>
      <w:pPr>
        <w:ind w:left="2220"/>
        <w:spacing w:after="0"/>
        <w:tabs>
          <w:tab w:leader="none" w:pos="4700" w:val="left"/>
        </w:tabs>
        <w:rPr>
          <w:sz w:val="20"/>
          <w:szCs w:val="20"/>
          <w:color w:val="auto"/>
        </w:rPr>
      </w:pPr>
      <w:r>
        <w:rPr>
          <w:rFonts w:ascii="Times New Roman" w:cs="Times New Roman" w:eastAsia="Times New Roman" w:hAnsi="Times New Roman"/>
          <w:sz w:val="18"/>
          <w:szCs w:val="18"/>
          <w:color w:val="auto"/>
        </w:rPr>
        <w:t>Net Sales Growth</w:t>
      </w:r>
      <w:r>
        <w:rPr>
          <w:sz w:val="20"/>
          <w:szCs w:val="20"/>
          <w:color w:val="auto"/>
        </w:rPr>
        <w:tab/>
      </w:r>
      <w:r>
        <w:rPr>
          <w:rFonts w:ascii="Times New Roman" w:cs="Times New Roman" w:eastAsia="Times New Roman" w:hAnsi="Times New Roman"/>
          <w:sz w:val="18"/>
          <w:szCs w:val="18"/>
          <w:color w:val="auto"/>
        </w:rPr>
        <w:t>Positive Mid-single-digit % Y/Y</w:t>
      </w:r>
    </w:p>
    <w:p>
      <w:pPr>
        <w:spacing w:after="0" w:line="77" w:lineRule="exact"/>
        <w:rPr>
          <w:sz w:val="20"/>
          <w:szCs w:val="20"/>
          <w:color w:val="auto"/>
        </w:rPr>
      </w:pPr>
    </w:p>
    <w:p>
      <w:pPr>
        <w:ind w:left="2120"/>
        <w:spacing w:after="0"/>
        <w:tabs>
          <w:tab w:leader="none" w:pos="4600" w:val="left"/>
        </w:tabs>
        <w:rPr>
          <w:sz w:val="20"/>
          <w:szCs w:val="20"/>
          <w:color w:val="auto"/>
        </w:rPr>
      </w:pPr>
      <w:r>
        <w:rPr>
          <w:rFonts w:ascii="Times New Roman" w:cs="Times New Roman" w:eastAsia="Times New Roman" w:hAnsi="Times New Roman"/>
          <w:sz w:val="18"/>
          <w:szCs w:val="18"/>
          <w:color w:val="auto"/>
        </w:rPr>
        <w:t>Adjusted EBITDA $</w:t>
      </w:r>
      <w:r>
        <w:rPr>
          <w:sz w:val="20"/>
          <w:szCs w:val="20"/>
          <w:color w:val="auto"/>
        </w:rPr>
        <w:tab/>
      </w:r>
      <w:r>
        <w:rPr>
          <w:rFonts w:ascii="Times New Roman" w:cs="Times New Roman" w:eastAsia="Times New Roman" w:hAnsi="Times New Roman"/>
          <w:sz w:val="18"/>
          <w:szCs w:val="18"/>
          <w:color w:val="auto"/>
        </w:rPr>
        <w:t>Profitable, slightly lower than 2025</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Outlook assumes metal prices as of May 5th, 2026.</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Brilliant Earth will host a conference call and webcast to discuss first quarter 2026 results and business outlook today, May 6, 2026, at 5:00 p.m. ET/2:00 p.m. PT. The webcast and accompanying slide presentation can be accessed at </w:t>
      </w:r>
      <w:r>
        <w:rPr>
          <w:rFonts w:ascii="Times New Roman" w:cs="Times New Roman" w:eastAsia="Times New Roman" w:hAnsi="Times New Roman"/>
          <w:sz w:val="18"/>
          <w:szCs w:val="18"/>
          <w:color w:val="3051F2"/>
        </w:rPr>
        <w:t>https://investors.brilliantearth.com</w:t>
      </w:r>
      <w:r>
        <w:rPr>
          <w:rFonts w:ascii="Times New Roman" w:cs="Times New Roman" w:eastAsia="Times New Roman" w:hAnsi="Times New Roman"/>
          <w:sz w:val="18"/>
          <w:szCs w:val="18"/>
          <w:color w:val="auto"/>
        </w:rPr>
        <w:t>. The conference call can be accessed by using the following link</w:t>
      </w:r>
      <w:r>
        <w:rPr>
          <w:rFonts w:ascii="Times New Roman" w:cs="Times New Roman" w:eastAsia="Times New Roman" w:hAnsi="Times New Roman"/>
          <w:sz w:val="18"/>
          <w:szCs w:val="18"/>
          <w:color w:val="3051F2"/>
        </w:rPr>
        <w:t>: https://register-conf.media-server.com/register/BIfd5aa87054af4d8cae324a519f6c6551.</w:t>
      </w:r>
      <w:r>
        <w:rPr>
          <w:rFonts w:ascii="Times New Roman" w:cs="Times New Roman" w:eastAsia="Times New Roman" w:hAnsi="Times New Roman"/>
          <w:sz w:val="18"/>
          <w:szCs w:val="18"/>
          <w:color w:val="auto"/>
        </w:rPr>
        <w:t xml:space="preserve"> After registering, an email will be sent including dial-in details and a unique conference call pin required to join the live call. A replay of the webcast will remain available on the website after the live webcast concludes.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Brilliant Earth</w:t>
      </w:r>
    </w:p>
    <w:p>
      <w:pPr>
        <w:spacing w:after="0" w:line="3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Brilliant Earth is an industry-disrupting global leader in ethically sourced fine jewelry. The Company's mission since its founding in 2005 has been to create a more transparent, sustainable, and compassionate jewelry industry. With a premium brand, curated proprietary product assortment, seamless omnichannel shopping experience, and asset-light, data driven business model, Brilliant Earth is transforming the jewelry industry. The Company reported Net Sales of $437</w:t>
      </w:r>
    </w:p>
    <w:p>
      <w:pPr>
        <w:sectPr>
          <w:pgSz w:w="11900" w:h="16838" w:orient="portrait"/>
          <w:cols w:equalWidth="0" w:num="1">
            <w:col w:w="11260"/>
          </w:cols>
          <w:pgMar w:left="320" w:top="138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60"/>
          </w:cols>
          <w:pgMar w:left="320" w:top="1386" w:right="319" w:bottom="1440" w:gutter="0" w:footer="0" w:header="0"/>
          <w:type w:val="continuous"/>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million for the full year 2025. Headquartered in San Francisco, CA, Brilliant Earth has 42 showrooms and counting across the United States and has served customers in over 50 countries worldwide.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Non-GAAP Financial Measures and Key Metrics</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financial measures presented in this release in accordance with U.S. Generally Accepted Accounting Principles ("GAAP"), the Company has included certain non-GAAP financial measures in this release, including Adjusted EBITDA, Adjusted Net loss, Adjusted Diluted EPS and Adjusted EBITDA margin. These non-GAAP financial measures provide users of our financial information with useful information in evaluating our operating performance and exclude certain items from net income that may vary substantially in frequency and magnitude from period to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EBITDA as net loss before interest, taxes, depreciation and amortization. We define Adjusted EBITDA as net loss excluding interest expense, income taxes, depreciation expense, amortization of cloud-based software implementation costs, showroom pre-opening expense, equity-based compensation expense, certain non-operating expenses and income, and other unusual and/or infrequent costs, which that we do not consider in our evaluation of ongoing performance of our core operations. We define Adjusted EBITDA margin as Adjusted EBITDA calculated as a percentage of net sales. We believe that Adjusted EBITDA and Adjusted EBITDA margin, which eliminate the impact of certain expenses that we do not believe reflect our underlying business performance, provide useful information to investors to assess the performance of our business.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Adjusted Net loss as net loss adjusted for the impact of certain additional non-cash and other items that we do not consider in our evaluation of ongoing performance of our core operations. These items include showroom pre-opening expense, equity-based compensation expense, costs to fund the Brilliant Earth Foundation and transaction costs and other expenses. We define Adjusted Diluted Earnings Per Share as Adjusted Net loss, divided by the diluted weighted average shares of common stock outstanding. The diluted weighted average shares of common stock outstanding is derived from the historical diluted weighted average shares of common stock assuming such shares were outstanding for the entirety of the period presented. We believe Adjusted Net loss and Adjusted Diluted Earnings Per Share, which eliminate the impact of certain expenses that we do not believe reflect our underlying business performance, provide useful information to investors to assess the performance of our business.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“GAAP to Non-GAAP Reconciliations” located in the financial supplement in this release for a reconciliation of GAAP to non-GAAP financial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release includes forward-looking guidance for certain non-GAAP financial measures, including Adjusted EBITDA. These measures will differ from net loss, determined in accordance with GAAP, in ways similar to those described in the reconciliations at the end of this release. We are not able to provide, without unreasonable effort, guidance for net loss, determined in accordance with GAAP, or a reconciliation of guidance for Adjusted EBITDA to the most directly comparable GAAP measure because the Company is not able to predict with reasonable certainty the amount or nature of all items that will be included in net income.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also contains certain key business metrics which are used to evaluate our business and growth trends, establish budgets, measure the effectiveness of our sales and marketing efforts, and assess operational efficiencies. We define net cash as cash and cash equivalents less the total principal balance of our outstanding debt. We define Bookings for each period as the dollar value of confirmed orders as of the date of order placement. We believe Bookings, which represent a measure of gross sales and potential future Net Sales, provide useful information to investors to assess the performance of our business. 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 We define average order value, or AOV, as net sales in a given period divided by total orders in that period. We define average selling price, or ASP, as the total retail sales price of products sold in a given period divided by the total number of product units sold during that same period. We believe that AOV and ASP are measures that are useful to investors and management in understanding our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255"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operations and in an analysis of ongoing operating trends. AOV varies depending on the product type and number of items per order. AOV and ASP may also fluctuate as we expand into and increase our presence in additional product types and price points, and open additional showrooms.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03F3F"/>
        </w:rPr>
        <w:t xml:space="preserve">This press release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may be forward-looking statements. Statements regarding our future results of operations and financial position, business strategy, and management's plans and objectives for future operations, including among others, statements regarding expected growth, introduction of new products, showroom and international expansion, market opportunity, capital expenditures, marketing and technology investments, liquidity and capital needs, tariff and macroeconomic impacts and any potential future declarations of cash dividends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w:t>
      </w:r>
      <w:r>
        <w:rPr>
          <w:rFonts w:ascii="Times New Roman" w:cs="Times New Roman" w:eastAsia="Times New Roman" w:hAnsi="Times New Roman"/>
          <w:sz w:val="18"/>
          <w:szCs w:val="18"/>
          <w:color w:val="000000"/>
        </w:rPr>
        <w:t>Actual results may prove to be materially different from the results expressed or implied by the forward-looking statements.</w:t>
      </w:r>
      <w:r>
        <w:rPr>
          <w:rFonts w:ascii="Times New Roman" w:cs="Times New Roman" w:eastAsia="Times New Roman" w:hAnsi="Times New Roman"/>
          <w:sz w:val="18"/>
          <w:szCs w:val="18"/>
          <w:color w:val="403F3F"/>
        </w:rPr>
        <w:t xml:space="preserve"> These forward-looking statements are subject to a number of risks, uncertainties, and assumptions, including, but not limited to: fluctuations in the pricing and supply of diamonds, other gemstones, and precious metals, particularly responsibly sourced natural and lab-grown diamonds and repurposed precious metals such as gold; increases in labor costs for manufacturing such as wage rate increase, as well as inflation, and energy prices; an overall decline in the health of the economy and other factors impacting consumer spending, such as recessionary or inflationary conditions, governmental instability, the impact of any changes in trade policy, including the imposition of new or increased tariffs on goods imported into the United States and any resulting retaliatory trade actions by other governments, war and fears of war, and natural disasters; our ability to cost-effectively turn existing customers into repeat customers or acquire new customers; our rapid growth in recent years and limited operating experience at our current scale of operations and our ability to manage growth effectively; increased lead times, supply shortages and supply changes; our plans to expand showrooms in the United States; our ability to compete in the fine jewelry retail industry; our ability to maintain and enhance our brand and to engage or expand our customers base; our ability to expand our sales and marketing capabilities and achieve broader market acceptance of our e-commerce and omnichannel approach; our ability to manage our inventory balances and shrinkage; a decline in sales of Design Your Own rings; our ability to predict operating results; our heavy reliance on our information technology systems and those of our third-party vendors and service providers to safeguard confidential information and any significant failure, inadequacy or interruption of these systems, security breaches or loss of data; the impact of environmental, social, and governance matters on our business and reputation; risks related to our e-commerce and omnichannel business; our ability anticipate and respond to changes in consumer preferences and shopping patterns and introduce new products and programs; our dependence on distributions from Brilliant Earth, LLC to pay our taxes and expenses, including payments under the Tax Receivable Agreement; our obligations under the Tax Receivable Agreement, which confers certain benefits upon the Continuing Equity Owners that will not benefit holders of our Class A common stock to the same extent; and risks related to our organizational structure; and the other risks, uncertainties and the factors described in the section titled “Risk Factors” in our Annual Report on Form10-K for the year ended December 31, 2025, which was filed with the Securities and Exchange Commission on March 17, 2026, and available at www.sec.gov. We qualify all of our forward-looking statements by these cautionary statements. These forward-looking statements speak only as of the date of this press release. Except as required by applicable law, we undertake no obligation to update or revise any forward-looking statements contained in this press release, whether as a result of any new information, future events or otherwise.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Bourland</w:t>
      </w:r>
    </w:p>
    <w:p>
      <w:pPr>
        <w:spacing w:after="0"/>
        <w:rPr>
          <w:sz w:val="20"/>
          <w:szCs w:val="20"/>
          <w:color w:val="auto"/>
        </w:rPr>
      </w:pPr>
      <w:r>
        <w:rPr>
          <w:rFonts w:ascii="Times New Roman" w:cs="Times New Roman" w:eastAsia="Times New Roman" w:hAnsi="Times New Roman"/>
          <w:sz w:val="18"/>
          <w:szCs w:val="18"/>
          <w:u w:val="single" w:color="auto"/>
          <w:color w:val="auto"/>
        </w:rPr>
        <w:t>investorrelations@brilliantearth.com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255" w:right="339" w:bottom="1440" w:gutter="0" w:footer="0" w:header="0"/>
        </w:sectPr>
      </w:pPr>
    </w:p>
    <w:bookmarkStart w:id="7" w:name="page8"/>
    <w:bookmarkEnd w:id="7"/>
    <w:p>
      <w:pPr>
        <w:ind w:left="4060"/>
        <w:spacing w:after="0"/>
        <w:rPr>
          <w:sz w:val="20"/>
          <w:szCs w:val="20"/>
          <w:color w:val="auto"/>
        </w:rPr>
      </w:pPr>
      <w:r>
        <w:rPr>
          <w:rFonts w:ascii="Times New Roman" w:cs="Times New Roman" w:eastAsia="Times New Roman" w:hAnsi="Times New Roman"/>
          <w:sz w:val="20"/>
          <w:szCs w:val="20"/>
          <w:b w:val="1"/>
          <w:bCs w:val="1"/>
          <w:color w:val="auto"/>
        </w:rPr>
        <w:t>BRILLIANT EARTH GROUP, INC.</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gridSpan w:val="7"/>
          </w:tcPr>
          <w:p>
            <w:pPr>
              <w:ind w:left="2680"/>
              <w:spacing w:after="0"/>
              <w:rPr>
                <w:sz w:val="20"/>
                <w:szCs w:val="20"/>
                <w:color w:val="auto"/>
              </w:rPr>
            </w:pPr>
            <w:r>
              <w:rPr>
                <w:rFonts w:ascii="Times New Roman" w:cs="Times New Roman" w:eastAsia="Times New Roman" w:hAnsi="Times New Roman"/>
                <w:sz w:val="20"/>
                <w:szCs w:val="20"/>
                <w:b w:val="1"/>
                <w:bCs w:val="1"/>
                <w:color w:val="auto"/>
                <w:w w:val="97"/>
              </w:rPr>
              <w:t>UNAUDITED CONSOLIDATED STATEMENTS OF OPERATIONS</w:t>
            </w:r>
          </w:p>
        </w:tc>
      </w:tr>
      <w:tr>
        <w:trPr>
          <w:trHeight w:val="258"/>
        </w:trPr>
        <w:tc>
          <w:tcPr>
            <w:tcW w:w="8560" w:type="dxa"/>
            <w:vAlign w:val="bottom"/>
            <w:gridSpan w:val="7"/>
          </w:tcPr>
          <w:p>
            <w:pPr>
              <w:ind w:left="3700"/>
              <w:spacing w:after="0"/>
              <w:rPr>
                <w:sz w:val="20"/>
                <w:szCs w:val="20"/>
                <w:color w:val="auto"/>
              </w:rPr>
            </w:pPr>
            <w:r>
              <w:rPr>
                <w:rFonts w:ascii="Times New Roman" w:cs="Times New Roman" w:eastAsia="Times New Roman" w:hAnsi="Times New Roman"/>
                <w:sz w:val="20"/>
                <w:szCs w:val="20"/>
                <w:color w:val="auto"/>
              </w:rPr>
              <w:t>(Dollars in thousands, except per share amounts)</w:t>
            </w:r>
          </w:p>
        </w:tc>
      </w:tr>
      <w:tr>
        <w:trPr>
          <w:trHeight w:val="626"/>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17"/>
        </w:trPr>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8"/>
                <w:szCs w:val="18"/>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99,504</w:t>
            </w:r>
          </w:p>
        </w:tc>
        <w:tc>
          <w:tcPr>
            <w:tcW w:w="56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93,884</w:t>
            </w:r>
          </w:p>
        </w:tc>
        <w:tc>
          <w:tcPr>
            <w:tcW w:w="260" w:type="dxa"/>
            <w:vAlign w:val="bottom"/>
          </w:tcPr>
          <w:p>
            <w:pPr>
              <w:spacing w:after="0"/>
              <w:rPr>
                <w:sz w:val="20"/>
                <w:szCs w:val="20"/>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45,436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38,842</w:t>
            </w:r>
          </w:p>
        </w:tc>
        <w:tc>
          <w:tcPr>
            <w:tcW w:w="260" w:type="dxa"/>
            <w:vAlign w:val="bottom"/>
          </w:tcPr>
          <w:p>
            <w:pPr>
              <w:spacing w:after="0"/>
              <w:rPr>
                <w:sz w:val="19"/>
                <w:szCs w:val="19"/>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55,042</w:t>
            </w:r>
          </w:p>
        </w:tc>
        <w:tc>
          <w:tcPr>
            <w:tcW w:w="260" w:type="dxa"/>
            <w:vAlign w:val="bottom"/>
          </w:tcPr>
          <w:p>
            <w:pPr>
              <w:spacing w:after="0"/>
              <w:rPr>
                <w:sz w:val="20"/>
                <w:szCs w:val="20"/>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5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22,962</w:t>
            </w:r>
          </w:p>
        </w:tc>
        <w:tc>
          <w:tcPr>
            <w:tcW w:w="260" w:type="dxa"/>
            <w:vAlign w:val="bottom"/>
          </w:tcPr>
          <w:p>
            <w:pPr>
              <w:spacing w:after="0"/>
              <w:rPr>
                <w:sz w:val="20"/>
                <w:szCs w:val="20"/>
                <w:color w:val="auto"/>
              </w:rPr>
            </w:pPr>
          </w:p>
        </w:tc>
      </w:tr>
      <w:tr>
        <w:trPr>
          <w:trHeight w:val="224"/>
        </w:trPr>
        <w:tc>
          <w:tcPr>
            <w:tcW w:w="5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35,603</w:t>
            </w:r>
          </w:p>
        </w:tc>
        <w:tc>
          <w:tcPr>
            <w:tcW w:w="260" w:type="dxa"/>
            <w:vAlign w:val="bottom"/>
          </w:tcPr>
          <w:p>
            <w:pPr>
              <w:spacing w:after="0"/>
              <w:rPr>
                <w:sz w:val="19"/>
                <w:szCs w:val="19"/>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62,949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58,565</w:t>
            </w:r>
          </w:p>
        </w:tc>
        <w:tc>
          <w:tcPr>
            <w:tcW w:w="260" w:type="dxa"/>
            <w:vAlign w:val="bottom"/>
          </w:tcPr>
          <w:p>
            <w:pPr>
              <w:spacing w:after="0"/>
              <w:rPr>
                <w:sz w:val="21"/>
                <w:szCs w:val="21"/>
                <w:color w:val="auto"/>
              </w:rPr>
            </w:pPr>
          </w:p>
        </w:tc>
      </w:tr>
      <w:tr>
        <w:trPr>
          <w:trHeight w:val="217"/>
        </w:trPr>
        <w:tc>
          <w:tcPr>
            <w:tcW w:w="508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(3,523)</w:t>
            </w:r>
          </w:p>
        </w:tc>
        <w:tc>
          <w:tcPr>
            <w:tcW w:w="26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5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(1,115)</w:t>
            </w:r>
          </w:p>
        </w:tc>
        <w:tc>
          <w:tcPr>
            <w:tcW w:w="260" w:type="dxa"/>
            <w:vAlign w:val="bottom"/>
          </w:tcPr>
          <w:p>
            <w:pPr>
              <w:spacing w:after="0"/>
              <w:rPr>
                <w:sz w:val="20"/>
                <w:szCs w:val="20"/>
                <w:color w:val="auto"/>
              </w:rPr>
            </w:pPr>
          </w:p>
        </w:tc>
      </w:tr>
      <w:tr>
        <w:trPr>
          <w:trHeight w:val="223"/>
        </w:trPr>
        <w:tc>
          <w:tcPr>
            <w:tcW w:w="5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1,240</w:t>
            </w:r>
          </w:p>
        </w:tc>
        <w:tc>
          <w:tcPr>
            <w:tcW w:w="260" w:type="dxa"/>
            <w:vAlign w:val="bottom"/>
          </w:tcPr>
          <w:p>
            <w:pPr>
              <w:spacing w:after="0"/>
              <w:rPr>
                <w:sz w:val="19"/>
                <w:szCs w:val="19"/>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(3,398)</w:t>
            </w:r>
          </w:p>
        </w:tc>
        <w:tc>
          <w:tcPr>
            <w:tcW w:w="260" w:type="dxa"/>
            <w:vAlign w:val="bottom"/>
          </w:tcPr>
          <w:p>
            <w:pPr>
              <w:spacing w:after="0"/>
              <w:rPr>
                <w:sz w:val="20"/>
                <w:szCs w:val="20"/>
                <w:color w:val="auto"/>
              </w:rPr>
            </w:pPr>
          </w:p>
        </w:tc>
      </w:tr>
      <w:tr>
        <w:trPr>
          <w:trHeight w:val="224"/>
        </w:trPr>
        <w:tc>
          <w:tcPr>
            <w:tcW w:w="5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260" w:type="dxa"/>
            <w:vAlign w:val="bottom"/>
          </w:tcPr>
          <w:p>
            <w:pPr>
              <w:spacing w:after="0"/>
              <w:rPr>
                <w:sz w:val="19"/>
                <w:szCs w:val="19"/>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(3,267)</w:t>
            </w:r>
          </w:p>
        </w:tc>
        <w:tc>
          <w:tcPr>
            <w:tcW w:w="260" w:type="dxa"/>
            <w:vAlign w:val="bottom"/>
          </w:tcPr>
          <w:p>
            <w:pPr>
              <w:spacing w:after="0"/>
              <w:rPr>
                <w:sz w:val="20"/>
                <w:szCs w:val="20"/>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allocable to non-controlling interest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(2,801)</w:t>
            </w:r>
          </w:p>
        </w:tc>
        <w:tc>
          <w:tcPr>
            <w:tcW w:w="260" w:type="dxa"/>
            <w:vAlign w:val="bottom"/>
          </w:tcPr>
          <w:p>
            <w:pPr>
              <w:spacing w:after="0"/>
              <w:rPr>
                <w:sz w:val="19"/>
                <w:szCs w:val="19"/>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67"/>
        </w:trPr>
        <w:tc>
          <w:tcPr>
            <w:tcW w:w="50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Net loss allocable to Brilliant Earth Group, Inc.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(1,511)</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w:t>
            </w:r>
          </w:p>
        </w:tc>
        <w:tc>
          <w:tcPr>
            <w:tcW w:w="260" w:type="dxa"/>
            <w:vAlign w:val="bottom"/>
          </w:tcPr>
          <w:p>
            <w:pPr>
              <w:spacing w:after="0"/>
              <w:rPr>
                <w:sz w:val="23"/>
                <w:szCs w:val="23"/>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0"/>
        </w:trPr>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5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(0.10)</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26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6"/>
        </w:trPr>
        <w:tc>
          <w:tcPr>
            <w:tcW w:w="5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(0.10)</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260" w:type="dxa"/>
            <w:vAlign w:val="bottom"/>
          </w:tcPr>
          <w:p>
            <w:pPr>
              <w:spacing w:after="0"/>
              <w:rPr>
                <w:sz w:val="20"/>
                <w:szCs w:val="20"/>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6"/>
        </w:trPr>
        <w:tc>
          <w:tcPr>
            <w:tcW w:w="5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15,811,843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14,111,624</w:t>
            </w:r>
          </w:p>
        </w:tc>
        <w:tc>
          <w:tcPr>
            <w:tcW w:w="260" w:type="dxa"/>
            <w:vAlign w:val="bottom"/>
          </w:tcPr>
          <w:p>
            <w:pPr>
              <w:spacing w:after="0"/>
              <w:rPr>
                <w:sz w:val="20"/>
                <w:szCs w:val="20"/>
                <w:color w:val="auto"/>
              </w:rPr>
            </w:pPr>
          </w:p>
        </w:tc>
      </w:tr>
      <w:tr>
        <w:trPr>
          <w:trHeight w:val="223"/>
        </w:trPr>
        <w:tc>
          <w:tcPr>
            <w:tcW w:w="5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15,811,843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14,111,624</w:t>
            </w:r>
          </w:p>
        </w:tc>
        <w:tc>
          <w:tcPr>
            <w:tcW w:w="2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139"/>
          </w:cols>
          <w:pgMar w:left="320" w:top="126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BRILLIANT EARTH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21590</wp:posOffset>
            </wp:positionV>
            <wp:extent cx="2125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ectPr>
          <w:pgSz w:w="11900" w:h="16838" w:orient="portrait"/>
          <w:cols w:equalWidth="0" w:num="1">
            <w:col w:w="10360"/>
          </w:cols>
          <w:pgMar w:left="760" w:top="1260" w:right="779" w:bottom="1440" w:gutter="0" w:footer="0" w:header="0"/>
        </w:sectPr>
      </w:pPr>
    </w:p>
    <w:p>
      <w:pPr>
        <w:spacing w:after="0" w:line="63"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33655</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62"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33655</wp:posOffset>
            </wp:positionV>
            <wp:extent cx="1054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33" w:lineRule="exact"/>
        <w:rPr>
          <w:sz w:val="20"/>
          <w:szCs w:val="20"/>
          <w:color w:val="auto"/>
        </w:rPr>
      </w:pPr>
    </w:p>
    <w:p>
      <w:pPr>
        <w:sectPr>
          <w:pgSz w:w="11900" w:h="16838" w:orient="portrait"/>
          <w:cols w:equalWidth="0" w:num="2">
            <w:col w:w="8400" w:space="720"/>
            <w:col w:w="1240"/>
          </w:cols>
          <w:pgMar w:left="760" w:top="1260" w:right="77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020" w:type="dxa"/>
            <w:vAlign w:val="bottom"/>
            <w:tcBorders>
              <w:top w:val="single" w:sz="8" w:color="CCEEFF"/>
            </w:tcBorders>
            <w:gridSpan w:val="3"/>
            <w:shd w:val="clear" w:color="auto" w:fill="CCEEFF"/>
          </w:tcPr>
          <w:p>
            <w:pPr>
              <w:ind w:left="3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0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58,564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79,089</w:t>
            </w:r>
          </w:p>
        </w:tc>
      </w:tr>
      <w:tr>
        <w:trPr>
          <w:trHeight w:val="206"/>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w:t>
            </w: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Inventories, net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54,423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53,238</w:t>
            </w:r>
          </w:p>
        </w:tc>
      </w:tr>
      <w:tr>
        <w:trPr>
          <w:trHeight w:val="206"/>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14,306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12,052</w:t>
            </w:r>
          </w:p>
        </w:tc>
      </w:tr>
      <w:tr>
        <w:trPr>
          <w:trHeight w:val="23"/>
        </w:trPr>
        <w:tc>
          <w:tcPr>
            <w:tcW w:w="44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7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127,420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144,728</w:t>
            </w:r>
          </w:p>
        </w:tc>
      </w:tr>
      <w:tr>
        <w:trPr>
          <w:trHeight w:val="20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18,691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19,622</w:t>
            </w: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32,317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31,879</w:t>
            </w:r>
          </w:p>
        </w:tc>
      </w:tr>
      <w:tr>
        <w:trPr>
          <w:trHeight w:val="20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5,004</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4,674</w:t>
            </w: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2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183,432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200,903</w:t>
            </w:r>
          </w:p>
        </w:tc>
      </w:tr>
      <w:tr>
        <w:trPr>
          <w:trHeight w:val="21"/>
        </w:trPr>
        <w:tc>
          <w:tcPr>
            <w:tcW w:w="4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020" w:type="dxa"/>
            <w:vAlign w:val="bottom"/>
            <w:tcBorders>
              <w:bottom w:val="single" w:sz="8" w:color="CCEEFF"/>
            </w:tcBorders>
            <w:gridSpan w:val="3"/>
            <w:shd w:val="clear" w:color="auto" w:fill="CCEEFF"/>
          </w:tcPr>
          <w:p>
            <w:pPr>
              <w:ind w:left="24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21,853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24,804</w:t>
            </w:r>
          </w:p>
        </w:tc>
      </w:tr>
      <w:tr>
        <w:trPr>
          <w:trHeight w:val="206"/>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27,024</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35,732</w:t>
            </w: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24,695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22,671</w:t>
            </w:r>
          </w:p>
        </w:tc>
      </w:tr>
      <w:tr>
        <w:trPr>
          <w:trHeight w:val="206"/>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6,896</w:t>
            </w:r>
          </w:p>
        </w:tc>
      </w:tr>
      <w:tr>
        <w:trPr>
          <w:trHeight w:val="23"/>
        </w:trPr>
        <w:tc>
          <w:tcPr>
            <w:tcW w:w="44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70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80,479</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90,103</w:t>
            </w:r>
          </w:p>
        </w:tc>
      </w:tr>
      <w:tr>
        <w:trPr>
          <w:trHeight w:val="48"/>
        </w:trPr>
        <w:tc>
          <w:tcPr>
            <w:tcW w:w="4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6"/>
        </w:trPr>
        <w:tc>
          <w:tcPr>
            <w:tcW w:w="7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31,606</w:t>
            </w:r>
          </w:p>
        </w:tc>
        <w:tc>
          <w:tcPr>
            <w:tcW w:w="80" w:type="dxa"/>
            <w:vAlign w:val="bottom"/>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31,163</w:t>
            </w:r>
          </w:p>
        </w:tc>
      </w:tr>
      <w:tr>
        <w:trPr>
          <w:trHeight w:val="193"/>
        </w:trPr>
        <w:tc>
          <w:tcPr>
            <w:tcW w:w="70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112,085</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121,266</w:t>
            </w:r>
          </w:p>
        </w:tc>
      </w:tr>
      <w:tr>
        <w:trPr>
          <w:trHeight w:val="69"/>
        </w:trPr>
        <w:tc>
          <w:tcPr>
            <w:tcW w:w="44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00"/>
        </w:trPr>
        <w:tc>
          <w:tcPr>
            <w:tcW w:w="702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5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r>
      <w:tr>
        <w:trPr>
          <w:trHeight w:val="57"/>
        </w:trPr>
        <w:tc>
          <w:tcPr>
            <w:tcW w:w="44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r>
      <w:tr>
        <w:trPr>
          <w:trHeight w:val="20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3"/>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none issued and outstanding at March 31, 2026</w:t>
            </w: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5"/>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and December 31, 2025, respectively</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3"/>
        </w:trPr>
        <w:tc>
          <w:tcPr>
            <w:tcW w:w="7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Class A common stock, $0.0001 par value, 1,200,000,000 shares authorized; 16,737,669 shares issued and 16,162,992</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6"/>
        </w:trPr>
        <w:tc>
          <w:tcPr>
            <w:tcW w:w="7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shares outstanding at March 31, 2026; 16,092,701 shares issued and 15,518,024 shares outstanding at December 31,</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2"/>
        </w:trPr>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B common stock, $0.0001 par value, 150,000,000 shares authorized;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shd w:val="clear" w:color="auto" w:fill="CCEEFF"/>
              </w:rPr>
              <w:t>35,822,342</w:t>
            </w:r>
          </w:p>
        </w:tc>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and 35,822,342 shares</w:t>
            </w: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0"/>
        </w:trPr>
        <w:tc>
          <w:tcPr>
            <w:tcW w:w="7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outstanding at March 31, 2026 and December 31, 2025, respectively</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193"/>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Class C common stock, $0.0001 par value, 150,000,000 shares authorized; 49,119,976 shares outstanding at</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2"/>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3"/>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D common stock, $0.0001 par value, 150,000,000 shares authorized; none issued and outstanding at March 31,</w:t>
            </w: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5"/>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2026 and December 31, 2025, respectively</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6"/>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16,639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16,024</w:t>
            </w:r>
          </w:p>
        </w:tc>
      </w:tr>
      <w:tr>
        <w:trPr>
          <w:trHeight w:val="23"/>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574,677 and 574,677 shares at March 31, 2026 and December 31, 2025, respectively</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r>
      <w:tr>
        <w:trPr>
          <w:trHeight w:val="206"/>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(4,151)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(2,640)</w:t>
            </w:r>
          </w:p>
        </w:tc>
      </w:tr>
      <w:tr>
        <w:trPr>
          <w:trHeight w:val="23"/>
        </w:trPr>
        <w:tc>
          <w:tcPr>
            <w:tcW w:w="44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Stockholders' equity attributable to Brilliant Earth Group, Inc.</w:t>
            </w:r>
          </w:p>
        </w:tc>
        <w:tc>
          <w:tcPr>
            <w:tcW w:w="5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11,405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12,301</w:t>
            </w:r>
          </w:p>
        </w:tc>
      </w:tr>
      <w:tr>
        <w:trPr>
          <w:trHeight w:val="193"/>
        </w:trPr>
        <w:tc>
          <w:tcPr>
            <w:tcW w:w="70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Non-controlling interests attributable to Brilliant Earth, LLC</w:t>
            </w: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59,942</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67,336</w:t>
            </w:r>
          </w:p>
        </w:tc>
      </w:tr>
      <w:tr>
        <w:trPr>
          <w:trHeight w:val="23"/>
        </w:trPr>
        <w:tc>
          <w:tcPr>
            <w:tcW w:w="44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5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71,347</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79,637</w:t>
            </w:r>
          </w:p>
        </w:tc>
      </w:tr>
      <w:tr>
        <w:trPr>
          <w:trHeight w:val="217"/>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183,432</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200,903</w:t>
            </w:r>
          </w:p>
        </w:tc>
      </w:tr>
      <w:tr>
        <w:trPr>
          <w:trHeight w:val="20"/>
        </w:trPr>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360"/>
          </w:cols>
          <w:pgMar w:left="760" w:top="1260" w:right="779" w:bottom="1440" w:gutter="0" w:footer="0" w:header="0"/>
          <w:type w:val="continuous"/>
        </w:sectPr>
      </w:pPr>
    </w:p>
    <w:bookmarkStart w:id="9" w:name="page10"/>
    <w:bookmarkEnd w:id="9"/>
    <w:p>
      <w:pPr>
        <w:jc w:val="center"/>
        <w:ind w:right="-171"/>
        <w:spacing w:after="0"/>
        <w:rPr>
          <w:sz w:val="20"/>
          <w:szCs w:val="20"/>
          <w:color w:val="auto"/>
        </w:rPr>
      </w:pPr>
      <w:r>
        <w:rPr>
          <w:rFonts w:ascii="Times New Roman" w:cs="Times New Roman" w:eastAsia="Times New Roman" w:hAnsi="Times New Roman"/>
          <w:sz w:val="20"/>
          <w:szCs w:val="20"/>
          <w:b w:val="1"/>
          <w:bCs w:val="1"/>
          <w:u w:val="single" w:color="auto"/>
          <w:color w:val="auto"/>
        </w:rPr>
        <w:t>GAAP to Non-GAAP Reconciliations</w:t>
      </w:r>
    </w:p>
    <w:p>
      <w:pPr>
        <w:spacing w:after="0" w:line="32"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20"/>
          <w:szCs w:val="20"/>
          <w:color w:val="auto"/>
        </w:rPr>
        <w:t>(Unaudited and dollars in thousands, except per share amounts)</w:t>
      </w:r>
    </w:p>
    <w:p>
      <w:pPr>
        <w:spacing w:after="0" w:line="246"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22"/>
          <w:szCs w:val="22"/>
          <w:b w:val="1"/>
          <w:bCs w:val="1"/>
          <w:color w:val="auto"/>
        </w:rPr>
        <w:t>ADJUSTED EBITDA AND ADJUSTED EBITDA MARGIN</w:t>
      </w:r>
    </w:p>
    <w:p>
      <w:pPr>
        <w:spacing w:after="0" w:line="7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33020</wp:posOffset>
            </wp:positionV>
            <wp:extent cx="1979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56" w:lineRule="exact"/>
        <w:rPr>
          <w:sz w:val="20"/>
          <w:szCs w:val="20"/>
          <w:color w:val="auto"/>
        </w:rPr>
      </w:pPr>
    </w:p>
    <w:tbl>
      <w:tblPr>
        <w:tblLayout w:type="fixed"/>
        <w:tblInd w:w="1412"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5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(8,453)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(3,267)</w:t>
            </w:r>
          </w:p>
        </w:tc>
      </w:tr>
      <w:tr>
        <w:trPr>
          <w:trHeight w:val="251"/>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1,115</w:t>
            </w:r>
          </w:p>
        </w:tc>
      </w:tr>
      <w:tr>
        <w:trPr>
          <w:trHeight w:val="33"/>
        </w:trPr>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(131)</w:t>
            </w:r>
          </w:p>
        </w:tc>
      </w:tr>
      <w:tr>
        <w:trPr>
          <w:trHeight w:val="251"/>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Pr>
          <w:p>
            <w:pPr>
              <w:spacing w:after="0"/>
              <w:rPr>
                <w:sz w:val="21"/>
                <w:szCs w:val="21"/>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1,488</w:t>
            </w:r>
          </w:p>
        </w:tc>
      </w:tr>
      <w:tr>
        <w:trPr>
          <w:trHeight w:val="33"/>
        </w:trPr>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cloud-based software implementation costs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162</w:t>
            </w:r>
          </w:p>
        </w:tc>
      </w:tr>
      <w:tr>
        <w:trPr>
          <w:trHeight w:val="251"/>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Showroom pre-opening expense</w:t>
            </w:r>
          </w:p>
        </w:tc>
        <w:tc>
          <w:tcPr>
            <w:tcW w:w="360" w:type="dxa"/>
            <w:vAlign w:val="bottom"/>
          </w:tcPr>
          <w:p>
            <w:pPr>
              <w:spacing w:after="0"/>
              <w:rPr>
                <w:sz w:val="21"/>
                <w:szCs w:val="21"/>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582</w:t>
            </w:r>
          </w:p>
        </w:tc>
      </w:tr>
      <w:tr>
        <w:trPr>
          <w:trHeight w:val="33"/>
        </w:trPr>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2,369</w:t>
            </w:r>
          </w:p>
        </w:tc>
      </w:tr>
      <w:tr>
        <w:trPr>
          <w:trHeight w:val="28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4"/>
                <w:szCs w:val="24"/>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(1,240)</w:t>
            </w:r>
          </w:p>
        </w:tc>
      </w:tr>
      <w:tr>
        <w:trPr>
          <w:trHeight w:val="28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(4,705)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1,078</w:t>
            </w:r>
          </w:p>
        </w:tc>
      </w:tr>
      <w:tr>
        <w:trPr>
          <w:trHeight w:val="33"/>
        </w:trPr>
        <w:tc>
          <w:tcPr>
            <w:tcW w:w="5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r>
      <w:tr>
        <w:trPr>
          <w:trHeight w:val="251"/>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1.1 %</w:t>
            </w:r>
          </w:p>
        </w:tc>
      </w:tr>
    </w:tbl>
    <w:p>
      <w:pPr>
        <w:spacing w:after="0" w:line="222" w:lineRule="exact"/>
        <w:rPr>
          <w:sz w:val="20"/>
          <w:szCs w:val="20"/>
          <w:color w:val="auto"/>
        </w:rPr>
      </w:pPr>
    </w:p>
    <w:p>
      <w:pPr>
        <w:ind w:left="312" w:hanging="309"/>
        <w:spacing w:after="0"/>
        <w:tabs>
          <w:tab w:leader="none" w:pos="31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net consists primarily of interest and other miscellaneous income, partially offset by expenses such as losses on exchange rates on consumer payments.</w:t>
      </w:r>
    </w:p>
    <w:p>
      <w:pPr>
        <w:spacing w:after="0" w:line="26" w:lineRule="exact"/>
        <w:rPr>
          <w:rFonts w:ascii="Times New Roman" w:cs="Times New Roman" w:eastAsia="Times New Roman" w:hAnsi="Times New Roman"/>
          <w:sz w:val="16"/>
          <w:szCs w:val="16"/>
          <w:color w:val="auto"/>
        </w:rPr>
      </w:pPr>
    </w:p>
    <w:p>
      <w:pPr>
        <w:ind w:left="332" w:right="260" w:hanging="332"/>
        <w:spacing w:after="0" w:line="270" w:lineRule="auto"/>
        <w:tabs>
          <w:tab w:leader="none" w:pos="23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expenses are those that we did not incur in the normal course of business. For the three months ended March 31, 2026, these expenses include a $0.6 million charitable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072"/>
          </w:cols>
          <w:pgMar w:left="328" w:top="1260" w:right="499" w:bottom="1440" w:gutter="0" w:footer="0" w:header="0"/>
        </w:sectPr>
      </w:pPr>
    </w:p>
    <w:bookmarkStart w:id="10" w:name="page11"/>
    <w:bookmarkEnd w:id="10"/>
    <w:p>
      <w:pPr>
        <w:spacing w:after="0" w:line="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ADJUSTED NET LOSS AND ADJUSTED DILUTED EARNINGS PER SHARE</w:t>
      </w:r>
    </w:p>
    <w:p>
      <w:pPr>
        <w:spacing w:after="0" w:line="316"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30480</wp:posOffset>
            </wp:positionV>
            <wp:extent cx="1774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53" w:lineRule="exact"/>
        <w:rPr>
          <w:sz w:val="20"/>
          <w:szCs w:val="20"/>
          <w:color w:val="auto"/>
        </w:rPr>
      </w:pPr>
    </w:p>
    <w:tbl>
      <w:tblPr>
        <w:tblLayout w:type="fixed"/>
        <w:tblInd w:w="1432"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4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Net loss attributable to Brilliant Earth Group, Inc., as reported </w:t>
            </w:r>
            <w:r>
              <w:rPr>
                <w:rFonts w:ascii="Times New Roman" w:cs="Times New Roman" w:eastAsia="Times New Roman" w:hAnsi="Times New Roman"/>
                <w:sz w:val="21"/>
                <w:szCs w:val="21"/>
                <w:b w:val="1"/>
                <w:bCs w:val="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w:t>
            </w:r>
          </w:p>
        </w:tc>
      </w:tr>
      <w:tr>
        <w:trPr>
          <w:trHeight w:val="36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Net loss impact from assumed redemption of all LLC Units to common stock </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w:t>
            </w:r>
          </w:p>
        </w:tc>
      </w:tr>
      <w:tr>
        <w:trPr>
          <w:trHeight w:val="23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as reported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r>
      <w:tr>
        <w:trPr>
          <w:trHeight w:val="36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Income tax benefit associated with conversion </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3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effected net loss after assumed conversion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Showroom pre-opening expense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5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expenses </w:t>
            </w:r>
            <w:r>
              <w:rPr>
                <w:rFonts w:ascii="Times New Roman" w:cs="Times New Roman" w:eastAsia="Times New Roman" w:hAnsi="Times New Roman"/>
                <w:sz w:val="21"/>
                <w:szCs w:val="21"/>
                <w:color w:val="auto"/>
                <w:vertAlign w:val="superscript"/>
              </w:rPr>
              <w:t>(4)</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impact of adjustments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1"/>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Loss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(4,954)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of common stock assumed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15,811,843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14,111,624</w:t>
            </w: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Vested LLC Units that are exchangeable for common stock</w:t>
            </w:r>
            <w:r>
              <w:rPr>
                <w:rFonts w:ascii="Times New Roman" w:cs="Times New Roman" w:eastAsia="Times New Roman" w:hAnsi="Times New Roman"/>
                <w:sz w:val="21"/>
                <w:szCs w:val="21"/>
                <w:color w:val="auto"/>
                <w:vertAlign w:val="superscript"/>
              </w:rPr>
              <w:t>(5)</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84,942,318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84,947,596</w:t>
            </w:r>
          </w:p>
        </w:tc>
      </w:tr>
      <w:tr>
        <w:trPr>
          <w:trHeight w:val="256"/>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Unvested LLC Units that are exchangeable for common stock</w:t>
            </w:r>
            <w:r>
              <w:rPr>
                <w:rFonts w:ascii="Times New Roman" w:cs="Times New Roman" w:eastAsia="Times New Roman" w:hAnsi="Times New Roman"/>
                <w:sz w:val="21"/>
                <w:szCs w:val="21"/>
                <w:color w:val="auto"/>
                <w:vertAlign w:val="superscript"/>
              </w:rPr>
              <w:t>(5)</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w:t>
            </w:r>
          </w:p>
        </w:tc>
      </w:tr>
      <w:tr>
        <w:trPr>
          <w:trHeight w:val="257"/>
        </w:trPr>
        <w:tc>
          <w:tcPr>
            <w:tcW w:w="5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RSUs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115,006</w:t>
            </w:r>
          </w:p>
        </w:tc>
      </w:tr>
      <w:tr>
        <w:trPr>
          <w:trHeight w:val="21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of common stock assumed outstanding</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101,186,883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99,180,847</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4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adjusted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r>
    </w:tbl>
    <w:p>
      <w:pPr>
        <w:spacing w:after="0" w:line="262" w:lineRule="exact"/>
        <w:rPr>
          <w:sz w:val="20"/>
          <w:szCs w:val="20"/>
          <w:color w:val="auto"/>
        </w:rPr>
      </w:pPr>
    </w:p>
    <w:p>
      <w:pPr>
        <w:ind w:left="492" w:hanging="492"/>
        <w:spacing w:after="0"/>
        <w:tabs>
          <w:tab w:leader="none" w:pos="49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net loss allocable to Brilliant Earth Group, Inc. for the three months ended March 31, 2026 and 2025.</w:t>
      </w:r>
    </w:p>
    <w:p>
      <w:pPr>
        <w:spacing w:after="0" w:line="153"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assumed that we will elect to issue common stock upon redemption of LLC Units rather than cash settle.</w:t>
      </w:r>
    </w:p>
    <w:p>
      <w:pPr>
        <w:spacing w:after="0" w:line="167" w:lineRule="exact"/>
        <w:rPr>
          <w:rFonts w:ascii="Times New Roman" w:cs="Times New Roman" w:eastAsia="Times New Roman" w:hAnsi="Times New Roman"/>
          <w:sz w:val="16"/>
          <w:szCs w:val="16"/>
          <w:color w:val="auto"/>
        </w:rPr>
      </w:pPr>
    </w:p>
    <w:p>
      <w:pPr>
        <w:jc w:val="both"/>
        <w:ind w:left="492" w:hanging="492"/>
        <w:spacing w:after="0" w:line="281" w:lineRule="auto"/>
        <w:tabs>
          <w:tab w:leader="none" w:pos="49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Brilliant Earth Group, Inc. is subject to U.S. Federal income taxes, in addition to state and local taxes with respect to its allocable share of any net taxable income of Brilliant Earth, LLC. Acquisition of LLC units by Brilliant Earth Group, Inc. causes all of the taxable income currently recognized by the members of Brilliant Earth, LLC to become taxable to the Company.</w:t>
      </w:r>
    </w:p>
    <w:p>
      <w:pPr>
        <w:spacing w:after="0" w:line="109" w:lineRule="exact"/>
        <w:rPr>
          <w:rFonts w:ascii="Times New Roman" w:cs="Times New Roman" w:eastAsia="Times New Roman" w:hAnsi="Times New Roman"/>
          <w:sz w:val="16"/>
          <w:szCs w:val="16"/>
          <w:color w:val="auto"/>
        </w:rPr>
      </w:pPr>
    </w:p>
    <w:p>
      <w:pPr>
        <w:ind w:left="492" w:right="20" w:hanging="492"/>
        <w:spacing w:after="0" w:line="298" w:lineRule="auto"/>
        <w:tabs>
          <w:tab w:leader="none" w:pos="49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expenses are those we did not incur in the normal course of business. For the three months ended March 31, 2026, these expenses include a $0.6 million charitable contribution.</w:t>
      </w:r>
    </w:p>
    <w:p>
      <w:pPr>
        <w:spacing w:after="0" w:line="83" w:lineRule="exact"/>
        <w:rPr>
          <w:rFonts w:ascii="Times New Roman" w:cs="Times New Roman" w:eastAsia="Times New Roman" w:hAnsi="Times New Roman"/>
          <w:sz w:val="16"/>
          <w:szCs w:val="16"/>
          <w:color w:val="auto"/>
        </w:rPr>
      </w:pPr>
    </w:p>
    <w:p>
      <w:pPr>
        <w:ind w:left="492" w:right="20" w:hanging="492"/>
        <w:spacing w:after="0" w:line="298" w:lineRule="auto"/>
        <w:tabs>
          <w:tab w:leader="none" w:pos="49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exchange of all outstanding LLC units for shares of common stock, resulting in the elimination of the non-controlling interest and recognition of the net loss attributable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sectPr>
      <w:pgSz w:w="11900" w:h="16838" w:orient="portrait"/>
      <w:cols w:equalWidth="0" w:num="1">
        <w:col w:w="11232"/>
      </w:cols>
      <w:pgMar w:left="328"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2026-05-06T15:22:25Z</dcterms:created>
  <dcterms:modified xsi:type="dcterms:W3CDTF">2026-05-06T15:22:25Z</dcterms:modified>
</cp:coreProperties>
</file>