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382905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62865</wp:posOffset>
            </wp:positionV>
            <wp:extent cx="2226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45085</wp:posOffset>
            </wp:positionV>
            <wp:extent cx="2226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50"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30, 2022</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37"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83" w:lineRule="exact"/>
        <w:rPr>
          <w:sz w:val="24"/>
          <w:szCs w:val="24"/>
          <w:color w:val="auto"/>
        </w:rPr>
      </w:pPr>
    </w:p>
    <w:p>
      <w:pPr>
        <w:ind w:left="4380"/>
        <w:spacing w:after="0"/>
        <w:tabs>
          <w:tab w:leader="none" w:pos="67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001-40836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71120</wp:posOffset>
            </wp:positionV>
            <wp:extent cx="2226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Brilliant Earth Group,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64770</wp:posOffset>
            </wp:positionV>
            <wp:extent cx="2226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09" w:lineRule="exact"/>
        <w:rPr>
          <w:sz w:val="24"/>
          <w:szCs w:val="24"/>
          <w:color w:val="auto"/>
        </w:rPr>
      </w:pPr>
    </w:p>
    <w:tbl>
      <w:tblPr>
        <w:tblLayout w:type="fixed"/>
        <w:tblInd w:w="720" w:type="dxa"/>
        <w:tblCellMar>
          <w:top w:w="0" w:type="dxa"/>
          <w:left w:w="0" w:type="dxa"/>
          <w:bottom w:w="0" w:type="dxa"/>
          <w:right w:w="0" w:type="dxa"/>
        </w:tblCellMar>
      </w:tblPr>
      <w:tr>
        <w:trPr>
          <w:trHeight w:val="223"/>
        </w:trPr>
        <w:tc>
          <w:tcPr>
            <w:tcW w:w="5220" w:type="dxa"/>
            <w:vAlign w:val="bottom"/>
          </w:tcPr>
          <w:p>
            <w:pPr>
              <w:jc w:val="center"/>
              <w:ind w:right="1014"/>
              <w:spacing w:after="0"/>
              <w:rPr>
                <w:sz w:val="20"/>
                <w:szCs w:val="20"/>
                <w:color w:val="auto"/>
              </w:rPr>
            </w:pPr>
            <w:r>
              <w:rPr>
                <w:rFonts w:ascii="Arial" w:cs="Arial" w:eastAsia="Arial" w:hAnsi="Arial"/>
                <w:sz w:val="17"/>
                <w:szCs w:val="17"/>
                <w:b w:val="1"/>
                <w:bCs w:val="1"/>
                <w:color w:val="auto"/>
                <w:w w:val="91"/>
              </w:rPr>
              <w:t>Delaware</w:t>
            </w:r>
          </w:p>
        </w:tc>
        <w:tc>
          <w:tcPr>
            <w:tcW w:w="3920" w:type="dxa"/>
            <w:vAlign w:val="bottom"/>
          </w:tcPr>
          <w:p>
            <w:pPr>
              <w:jc w:val="right"/>
              <w:ind w:right="894"/>
              <w:spacing w:after="0"/>
              <w:rPr>
                <w:sz w:val="20"/>
                <w:szCs w:val="20"/>
                <w:color w:val="auto"/>
              </w:rPr>
            </w:pPr>
            <w:r>
              <w:rPr>
                <w:rFonts w:ascii="Arial" w:cs="Arial" w:eastAsia="Arial" w:hAnsi="Arial"/>
                <w:sz w:val="17"/>
                <w:szCs w:val="17"/>
                <w:b w:val="1"/>
                <w:bCs w:val="1"/>
                <w:color w:val="auto"/>
              </w:rPr>
              <w:t>87-1015499</w:t>
            </w:r>
          </w:p>
        </w:tc>
      </w:tr>
      <w:tr>
        <w:trPr>
          <w:trHeight w:val="271"/>
        </w:trPr>
        <w:tc>
          <w:tcPr>
            <w:tcW w:w="5220" w:type="dxa"/>
            <w:vAlign w:val="bottom"/>
          </w:tcPr>
          <w:p>
            <w:pPr>
              <w:jc w:val="center"/>
              <w:ind w:right="101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3920" w:type="dxa"/>
            <w:vAlign w:val="bottom"/>
          </w:tcPr>
          <w:p>
            <w:pPr>
              <w:jc w:val="center"/>
              <w:ind w:left="1034"/>
              <w:spacing w:after="0"/>
              <w:rPr>
                <w:sz w:val="20"/>
                <w:szCs w:val="20"/>
                <w:color w:val="auto"/>
              </w:rPr>
            </w:pPr>
            <w:r>
              <w:rPr>
                <w:rFonts w:ascii="Arial" w:cs="Arial" w:eastAsia="Arial" w:hAnsi="Arial"/>
                <w:sz w:val="17"/>
                <w:szCs w:val="17"/>
                <w:color w:val="auto"/>
                <w:w w:val="94"/>
              </w:rPr>
              <w:t>(I.R.S. Employer Identification Number)</w:t>
            </w:r>
          </w:p>
        </w:tc>
      </w:tr>
      <w:tr>
        <w:trPr>
          <w:trHeight w:val="254"/>
        </w:trPr>
        <w:tc>
          <w:tcPr>
            <w:tcW w:w="5220" w:type="dxa"/>
            <w:vAlign w:val="bottom"/>
          </w:tcPr>
          <w:p>
            <w:pPr>
              <w:jc w:val="center"/>
              <w:ind w:right="1014"/>
              <w:spacing w:after="0"/>
              <w:rPr>
                <w:sz w:val="20"/>
                <w:szCs w:val="20"/>
                <w:color w:val="auto"/>
              </w:rPr>
            </w:pPr>
            <w:r>
              <w:rPr>
                <w:rFonts w:ascii="Arial" w:cs="Arial" w:eastAsia="Arial" w:hAnsi="Arial"/>
                <w:sz w:val="17"/>
                <w:szCs w:val="17"/>
                <w:b w:val="1"/>
                <w:bCs w:val="1"/>
                <w:color w:val="auto"/>
                <w:w w:val="93"/>
              </w:rPr>
              <w:t>300 Grant Avenue, Third Floor</w:t>
            </w:r>
          </w:p>
        </w:tc>
        <w:tc>
          <w:tcPr>
            <w:tcW w:w="3920" w:type="dxa"/>
            <w:vAlign w:val="bottom"/>
          </w:tcPr>
          <w:p>
            <w:pPr>
              <w:spacing w:after="0"/>
              <w:rPr>
                <w:sz w:val="22"/>
                <w:szCs w:val="22"/>
                <w:color w:val="auto"/>
              </w:rPr>
            </w:pPr>
          </w:p>
        </w:tc>
      </w:tr>
      <w:tr>
        <w:trPr>
          <w:trHeight w:val="236"/>
        </w:trPr>
        <w:tc>
          <w:tcPr>
            <w:tcW w:w="5220" w:type="dxa"/>
            <w:vAlign w:val="bottom"/>
          </w:tcPr>
          <w:p>
            <w:pPr>
              <w:jc w:val="center"/>
              <w:ind w:right="1014"/>
              <w:spacing w:after="0"/>
              <w:rPr>
                <w:sz w:val="20"/>
                <w:szCs w:val="20"/>
                <w:color w:val="auto"/>
              </w:rPr>
            </w:pPr>
            <w:r>
              <w:rPr>
                <w:rFonts w:ascii="Arial" w:cs="Arial" w:eastAsia="Arial" w:hAnsi="Arial"/>
                <w:sz w:val="17"/>
                <w:szCs w:val="17"/>
                <w:b w:val="1"/>
                <w:bCs w:val="1"/>
                <w:color w:val="auto"/>
                <w:w w:val="90"/>
              </w:rPr>
              <w:t>San Francisco, CA</w:t>
            </w:r>
          </w:p>
        </w:tc>
        <w:tc>
          <w:tcPr>
            <w:tcW w:w="3920" w:type="dxa"/>
            <w:vAlign w:val="bottom"/>
          </w:tcPr>
          <w:p>
            <w:pPr>
              <w:jc w:val="right"/>
              <w:ind w:right="1094"/>
              <w:spacing w:after="0"/>
              <w:rPr>
                <w:sz w:val="20"/>
                <w:szCs w:val="20"/>
                <w:color w:val="auto"/>
              </w:rPr>
            </w:pPr>
            <w:r>
              <w:rPr>
                <w:rFonts w:ascii="Arial" w:cs="Arial" w:eastAsia="Arial" w:hAnsi="Arial"/>
                <w:sz w:val="17"/>
                <w:szCs w:val="17"/>
                <w:b w:val="1"/>
                <w:bCs w:val="1"/>
                <w:color w:val="auto"/>
              </w:rPr>
              <w:t>94108</w:t>
            </w:r>
          </w:p>
        </w:tc>
      </w:tr>
      <w:tr>
        <w:trPr>
          <w:trHeight w:val="271"/>
        </w:trPr>
        <w:tc>
          <w:tcPr>
            <w:tcW w:w="5220" w:type="dxa"/>
            <w:vAlign w:val="bottom"/>
          </w:tcPr>
          <w:p>
            <w:pPr>
              <w:jc w:val="center"/>
              <w:ind w:right="1014"/>
              <w:spacing w:after="0"/>
              <w:rPr>
                <w:sz w:val="20"/>
                <w:szCs w:val="20"/>
                <w:color w:val="auto"/>
              </w:rPr>
            </w:pPr>
            <w:r>
              <w:rPr>
                <w:rFonts w:ascii="Arial" w:cs="Arial" w:eastAsia="Arial" w:hAnsi="Arial"/>
                <w:sz w:val="17"/>
                <w:szCs w:val="17"/>
                <w:color w:val="auto"/>
                <w:w w:val="93"/>
              </w:rPr>
              <w:t>(Address of principal executive offices)</w:t>
            </w:r>
          </w:p>
        </w:tc>
        <w:tc>
          <w:tcPr>
            <w:tcW w:w="3920" w:type="dxa"/>
            <w:vAlign w:val="bottom"/>
          </w:tcPr>
          <w:p>
            <w:pPr>
              <w:jc w:val="center"/>
              <w:ind w:left="1034"/>
              <w:spacing w:after="0"/>
              <w:rPr>
                <w:sz w:val="20"/>
                <w:szCs w:val="20"/>
                <w:color w:val="auto"/>
              </w:rPr>
            </w:pPr>
            <w:r>
              <w:rPr>
                <w:rFonts w:ascii="Arial" w:cs="Arial" w:eastAsia="Arial" w:hAnsi="Arial"/>
                <w:sz w:val="17"/>
                <w:szCs w:val="17"/>
                <w:color w:val="auto"/>
                <w:w w:val="94"/>
              </w:rPr>
              <w:t>(Zip Code)</w:t>
            </w: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(800) 691-0952</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24765</wp:posOffset>
            </wp:positionV>
            <wp:extent cx="2226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62"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4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4"/>
              </w:rPr>
              <w:t>Title of each class</w:t>
            </w:r>
          </w:p>
        </w:tc>
        <w:tc>
          <w:tcPr>
            <w:tcW w:w="2000" w:type="dxa"/>
            <w:vAlign w:val="bottom"/>
            <w:gridSpan w:val="2"/>
          </w:tcPr>
          <w:p>
            <w:pPr>
              <w:jc w:val="center"/>
              <w:ind w:left="831"/>
              <w:spacing w:after="0"/>
              <w:rPr>
                <w:sz w:val="20"/>
                <w:szCs w:val="20"/>
                <w:color w:val="auto"/>
              </w:rPr>
            </w:pPr>
            <w:r>
              <w:rPr>
                <w:rFonts w:ascii="Arial" w:cs="Arial" w:eastAsia="Arial" w:hAnsi="Arial"/>
                <w:sz w:val="14"/>
                <w:szCs w:val="14"/>
                <w:b w:val="1"/>
                <w:bCs w:val="1"/>
                <w:color w:val="auto"/>
                <w:w w:val="89"/>
              </w:rPr>
              <w:t>Trading Symbol(s)</w:t>
            </w:r>
          </w:p>
        </w:tc>
        <w:tc>
          <w:tcPr>
            <w:tcW w:w="4520" w:type="dxa"/>
            <w:vAlign w:val="bottom"/>
            <w:gridSpan w:val="2"/>
          </w:tcPr>
          <w:p>
            <w:pPr>
              <w:jc w:val="center"/>
              <w:ind w:left="1891"/>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26"/>
        </w:trPr>
        <w:tc>
          <w:tcPr>
            <w:tcW w:w="3760" w:type="dxa"/>
            <w:vAlign w:val="bottom"/>
            <w:gridSpan w:val="3"/>
          </w:tcPr>
          <w:p>
            <w:pPr>
              <w:jc w:val="center"/>
              <w:ind w:right="900"/>
              <w:spacing w:after="0"/>
              <w:rPr>
                <w:sz w:val="20"/>
                <w:szCs w:val="20"/>
                <w:color w:val="auto"/>
              </w:rPr>
            </w:pPr>
            <w:r>
              <w:rPr>
                <w:rFonts w:ascii="Arial" w:cs="Arial" w:eastAsia="Arial" w:hAnsi="Arial"/>
                <w:sz w:val="14"/>
                <w:szCs w:val="14"/>
                <w:color w:val="auto"/>
                <w:w w:val="87"/>
              </w:rPr>
              <w:t>Class A common stock, $0.0001 par value per share</w:t>
            </w:r>
          </w:p>
        </w:tc>
        <w:tc>
          <w:tcPr>
            <w:tcW w:w="9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BRLT</w:t>
            </w:r>
          </w:p>
        </w:tc>
        <w:tc>
          <w:tcPr>
            <w:tcW w:w="196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89"/>
              </w:rPr>
              <w:t>The Nasdaq Global Market</w:t>
            </w:r>
          </w:p>
        </w:tc>
      </w:tr>
    </w:tbl>
    <w:p>
      <w:pPr>
        <w:spacing w:after="0" w:line="135"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0"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jc w:val="both"/>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9"/>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9"/>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32" w:lineRule="exact"/>
        <w:rPr>
          <w:sz w:val="24"/>
          <w:szCs w:val="24"/>
          <w:color w:val="auto"/>
        </w:rPr>
      </w:pPr>
    </w:p>
    <w:p>
      <w:pPr>
        <w:jc w:val="both"/>
        <w:ind w:firstLine="77"/>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jc w:val="both"/>
        <w:spacing w:after="0" w:line="269" w:lineRule="auto"/>
        <w:rPr>
          <w:sz w:val="20"/>
          <w:szCs w:val="20"/>
          <w:color w:val="auto"/>
        </w:rPr>
      </w:pPr>
      <w:r>
        <w:rPr>
          <w:rFonts w:ascii="Arial" w:cs="Arial" w:eastAsia="Arial" w:hAnsi="Arial"/>
          <w:sz w:val="14"/>
          <w:szCs w:val="14"/>
          <w:color w:val="auto"/>
        </w:rPr>
        <w:t>As of November 4, 2022, there were 10,950,372 shares of the registrant's Class A common stock, $0.0001 par value per share, outstanding, 35,426,668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left="3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231140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80" w:type="dxa"/>
            <w:vAlign w:val="bottom"/>
            <w:gridSpan w:val="3"/>
          </w:tcPr>
          <w:p>
            <w:pPr>
              <w:ind w:left="1700"/>
              <w:spacing w:after="0"/>
              <w:rPr>
                <w:sz w:val="20"/>
                <w:szCs w:val="20"/>
                <w:color w:val="auto"/>
              </w:rPr>
            </w:pPr>
            <w:r>
              <w:rPr>
                <w:rFonts w:ascii="Arial" w:cs="Arial" w:eastAsia="Arial" w:hAnsi="Arial"/>
                <w:sz w:val="17"/>
                <w:szCs w:val="17"/>
                <w:color w:val="auto"/>
              </w:rPr>
              <w:t>Table of Contents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3"/>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gridSpan w:val="3"/>
          </w:tcPr>
          <w:p>
            <w:pPr>
              <w:jc w:val="right"/>
              <w:ind w:right="340"/>
              <w:spacing w:after="0"/>
              <w:rPr>
                <w:sz w:val="20"/>
                <w:szCs w:val="20"/>
                <w:color w:val="auto"/>
              </w:rPr>
            </w:pPr>
            <w:r>
              <w:rPr>
                <w:rFonts w:ascii="Arial" w:cs="Arial" w:eastAsia="Arial" w:hAnsi="Arial"/>
                <w:sz w:val="17"/>
                <w:szCs w:val="17"/>
                <w:color w:val="auto"/>
              </w:rPr>
              <w:t>Page</w:t>
            </w:r>
          </w:p>
        </w:tc>
      </w:tr>
      <w:tr>
        <w:trPr>
          <w:trHeight w:val="234"/>
        </w:trPr>
        <w:tc>
          <w:tcPr>
            <w:tcW w:w="8880" w:type="dxa"/>
            <w:vAlign w:val="bottom"/>
            <w:gridSpan w:val="13"/>
          </w:tcPr>
          <w:p>
            <w:pPr>
              <w:spacing w:after="0"/>
              <w:rPr>
                <w:sz w:val="20"/>
                <w:szCs w:val="20"/>
                <w:color w:val="auto"/>
              </w:rPr>
            </w:pPr>
            <w:r>
              <w:rPr>
                <w:rFonts w:ascii="Arial" w:cs="Arial" w:eastAsia="Arial" w:hAnsi="Arial"/>
                <w:sz w:val="17"/>
                <w:szCs w:val="17"/>
                <w:color w:val="0000FF"/>
              </w:rPr>
              <w:t>Part I - Financial Information</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2"/>
          </w:tcPr>
          <w:p>
            <w:pPr>
              <w:spacing w:after="0"/>
              <w:rPr>
                <w:sz w:val="20"/>
                <w:szCs w:val="20"/>
                <w:color w:val="auto"/>
              </w:rPr>
            </w:pPr>
            <w:r>
              <w:rPr>
                <w:rFonts w:ascii="Arial" w:cs="Arial" w:eastAsia="Arial" w:hAnsi="Arial"/>
                <w:sz w:val="17"/>
                <w:szCs w:val="17"/>
                <w:color w:val="0000FF"/>
              </w:rPr>
              <w:t>Item 1. Financial Statements.</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5</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2"/>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2"/>
          </w:tcPr>
          <w:p>
            <w:pPr>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59</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Arial" w:cs="Arial" w:eastAsia="Arial" w:hAnsi="Arial"/>
                <w:sz w:val="17"/>
                <w:szCs w:val="17"/>
                <w:color w:val="0000FF"/>
                <w:w w:val="89"/>
              </w:rPr>
              <w:t>Item 4. Controls and Procedures.</w:t>
            </w:r>
          </w:p>
        </w:tc>
        <w:tc>
          <w:tcPr>
            <w:tcW w:w="2460" w:type="dxa"/>
            <w:vAlign w:val="bottom"/>
            <w:gridSpan w:val="2"/>
          </w:tcPr>
          <w:p>
            <w:pPr>
              <w:spacing w:after="0"/>
              <w:rPr>
                <w:sz w:val="21"/>
                <w:szCs w:val="21"/>
                <w:color w:val="auto"/>
              </w:rPr>
            </w:pPr>
          </w:p>
        </w:tc>
        <w:tc>
          <w:tcPr>
            <w:tcW w:w="3640" w:type="dxa"/>
            <w:vAlign w:val="bottom"/>
            <w:gridSpan w:val="2"/>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18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4"/>
              </w:rPr>
              <w:t>Part II - Other Information</w:t>
            </w:r>
          </w:p>
        </w:tc>
        <w:tc>
          <w:tcPr>
            <w:tcW w:w="7040" w:type="dxa"/>
            <w:vAlign w:val="bottom"/>
            <w:gridSpan w:val="9"/>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2"/>
          </w:tcPr>
          <w:p>
            <w:pPr>
              <w:spacing w:after="0"/>
              <w:rPr>
                <w:sz w:val="20"/>
                <w:szCs w:val="20"/>
                <w:color w:val="auto"/>
              </w:rPr>
            </w:pPr>
            <w:r>
              <w:rPr>
                <w:rFonts w:ascii="Arial" w:cs="Arial" w:eastAsia="Arial" w:hAnsi="Arial"/>
                <w:sz w:val="17"/>
                <w:szCs w:val="17"/>
                <w:color w:val="0000FF"/>
              </w:rPr>
              <w:t>Item 1. Legal Proceedings.</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560" w:type="dxa"/>
            <w:vAlign w:val="bottom"/>
            <w:gridSpan w:val="5"/>
          </w:tcPr>
          <w:p>
            <w:pPr>
              <w:spacing w:after="0"/>
              <w:rPr>
                <w:sz w:val="20"/>
                <w:szCs w:val="20"/>
                <w:color w:val="auto"/>
              </w:rPr>
            </w:pPr>
            <w:r>
              <w:rPr>
                <w:rFonts w:ascii="Arial" w:cs="Arial" w:eastAsia="Arial" w:hAnsi="Arial"/>
                <w:sz w:val="17"/>
                <w:szCs w:val="17"/>
                <w:color w:val="0000FF"/>
                <w:w w:val="92"/>
              </w:rPr>
              <w:t>Item 1A. Risk Factors.</w:t>
            </w:r>
          </w:p>
        </w:tc>
        <w:tc>
          <w:tcPr>
            <w:tcW w:w="260" w:type="dxa"/>
            <w:vAlign w:val="bottom"/>
          </w:tcPr>
          <w:p>
            <w:pPr>
              <w:spacing w:after="0"/>
              <w:rPr>
                <w:sz w:val="21"/>
                <w:szCs w:val="21"/>
                <w:color w:val="auto"/>
              </w:rPr>
            </w:pPr>
          </w:p>
        </w:tc>
        <w:tc>
          <w:tcPr>
            <w:tcW w:w="6540" w:type="dxa"/>
            <w:vAlign w:val="bottom"/>
            <w:gridSpan w:val="6"/>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720" w:type="dxa"/>
            <w:vAlign w:val="bottom"/>
            <w:gridSpan w:val="10"/>
          </w:tcPr>
          <w:p>
            <w:pPr>
              <w:spacing w:after="0"/>
              <w:rPr>
                <w:sz w:val="20"/>
                <w:szCs w:val="20"/>
                <w:color w:val="auto"/>
              </w:rPr>
            </w:pPr>
            <w:r>
              <w:rPr>
                <w:rFonts w:ascii="Arial" w:cs="Arial" w:eastAsia="Arial" w:hAnsi="Arial"/>
                <w:sz w:val="17"/>
                <w:szCs w:val="17"/>
                <w:color w:val="0000FF"/>
                <w:w w:val="90"/>
              </w:rPr>
              <w:t>Item 2. Unregistered Sales of Equity Securities and Use of Proceeds.</w:t>
            </w:r>
          </w:p>
        </w:tc>
        <w:tc>
          <w:tcPr>
            <w:tcW w:w="3640" w:type="dxa"/>
            <w:vAlign w:val="bottom"/>
            <w:gridSpan w:val="2"/>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720" w:type="dxa"/>
            <w:vAlign w:val="bottom"/>
            <w:gridSpan w:val="10"/>
          </w:tcPr>
          <w:p>
            <w:pPr>
              <w:spacing w:after="0"/>
              <w:rPr>
                <w:sz w:val="20"/>
                <w:szCs w:val="20"/>
                <w:color w:val="auto"/>
              </w:rPr>
            </w:pPr>
            <w:r>
              <w:rPr>
                <w:rFonts w:ascii="Arial" w:cs="Arial" w:eastAsia="Arial" w:hAnsi="Arial"/>
                <w:sz w:val="17"/>
                <w:szCs w:val="17"/>
                <w:color w:val="0000FF"/>
              </w:rPr>
              <w:t>Item 3. Defaults Upon Senior Securities.</w:t>
            </w:r>
          </w:p>
        </w:tc>
        <w:tc>
          <w:tcPr>
            <w:tcW w:w="3640" w:type="dxa"/>
            <w:vAlign w:val="bottom"/>
            <w:gridSpan w:val="2"/>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tcBorders>
              <w:left w:val="single" w:sz="8" w:color="0000FF"/>
            </w:tcBorders>
            <w:gridSpan w:val="6"/>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2"/>
          </w:tcPr>
          <w:p>
            <w:pPr>
              <w:spacing w:after="0"/>
              <w:rPr>
                <w:sz w:val="20"/>
                <w:szCs w:val="20"/>
                <w:color w:val="auto"/>
              </w:rPr>
            </w:pPr>
            <w:r>
              <w:rPr>
                <w:rFonts w:ascii="Arial" w:cs="Arial" w:eastAsia="Arial" w:hAnsi="Arial"/>
                <w:sz w:val="17"/>
                <w:szCs w:val="17"/>
                <w:color w:val="0000FF"/>
              </w:rPr>
              <w:t>Item 4. Mine Safety Disclosures.</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tcBorders>
              <w:left w:val="single" w:sz="8" w:color="0000FF"/>
            </w:tcBorders>
            <w:gridSpan w:val="6"/>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2"/>
          </w:tcPr>
          <w:p>
            <w:pPr>
              <w:spacing w:after="0"/>
              <w:rPr>
                <w:sz w:val="20"/>
                <w:szCs w:val="20"/>
                <w:color w:val="auto"/>
              </w:rPr>
            </w:pPr>
            <w:r>
              <w:rPr>
                <w:rFonts w:ascii="Arial" w:cs="Arial" w:eastAsia="Arial" w:hAnsi="Arial"/>
                <w:sz w:val="17"/>
                <w:szCs w:val="17"/>
                <w:color w:val="0000FF"/>
              </w:rPr>
              <w:t>Item 5. Other Information.</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820" w:type="dxa"/>
            <w:vAlign w:val="bottom"/>
            <w:gridSpan w:val="6"/>
          </w:tcPr>
          <w:p>
            <w:pPr>
              <w:spacing w:after="0"/>
              <w:rPr>
                <w:sz w:val="20"/>
                <w:szCs w:val="20"/>
                <w:color w:val="auto"/>
              </w:rPr>
            </w:pPr>
            <w:r>
              <w:rPr>
                <w:rFonts w:ascii="Arial" w:cs="Arial" w:eastAsia="Arial" w:hAnsi="Arial"/>
                <w:sz w:val="17"/>
                <w:szCs w:val="17"/>
                <w:color w:val="0000FF"/>
              </w:rPr>
              <w:t>Item 6. Exhibits.</w:t>
            </w:r>
          </w:p>
        </w:tc>
        <w:tc>
          <w:tcPr>
            <w:tcW w:w="6540" w:type="dxa"/>
            <w:vAlign w:val="bottom"/>
            <w:gridSpan w:val="6"/>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62</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8880" w:type="dxa"/>
            <w:vAlign w:val="bottom"/>
            <w:gridSpan w:val="13"/>
          </w:tcPr>
          <w:p>
            <w:pPr>
              <w:spacing w:after="0"/>
              <w:rPr>
                <w:sz w:val="20"/>
                <w:szCs w:val="20"/>
                <w:color w:val="auto"/>
              </w:rPr>
            </w:pPr>
            <w:r>
              <w:rPr>
                <w:rFonts w:ascii="Arial" w:cs="Arial" w:eastAsia="Arial" w:hAnsi="Arial"/>
                <w:sz w:val="17"/>
                <w:szCs w:val="17"/>
                <w:color w:val="0000FF"/>
              </w:rPr>
              <w:t>Signatures</w:t>
            </w:r>
          </w:p>
        </w:tc>
        <w:tc>
          <w:tcPr>
            <w:tcW w:w="2320" w:type="dxa"/>
            <w:vAlign w:val="bottom"/>
            <w:gridSpan w:val="3"/>
          </w:tcPr>
          <w:p>
            <w:pPr>
              <w:jc w:val="right"/>
              <w:spacing w:after="0"/>
              <w:rPr>
                <w:sz w:val="20"/>
                <w:szCs w:val="20"/>
                <w:color w:val="auto"/>
              </w:rPr>
            </w:pPr>
            <w:r>
              <w:rPr>
                <w:rFonts w:ascii="Arial" w:cs="Arial" w:eastAsia="Arial" w:hAnsi="Arial"/>
                <w:sz w:val="17"/>
                <w:szCs w:val="17"/>
                <w:color w:val="0000FF"/>
              </w:rPr>
              <w:t>63</w:t>
            </w: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231140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2" w:name="page3"/>
    <w:bookmarkEnd w:id="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future capital expenditures, and debt service obligations, are forward-looking statements. In some cases, you can identify forward-looking statements by terms, such as “anticipate,” “believe,” “contemplates,” “continues,”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 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our rapid growth in recent years and limited operating experience; our ability to manage growth effectively; risks related to increases in costs of diamonds, other gemstones and precious metals; our ability to maintain a low cost of production and distribution;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our ability to cost-effectively turn existing customers into repeat customers or to acquire new customers; risks related to our expansion plans in the U.S.; risks related to an overall decline in the health of the economy and other factors impacting consumer spending, such as recessionary conditions, governmental instability, war or the threat of war, and natural disasters; our history of losses, and we may be unable to sustain profitability; our ability to compete in the fine jewelry retail industry; our ability to manage our inventory balances and inventory shrinkage; risks related to a decline in sales of Create Your Own rings; our ability to maintain and enhance our brand; risks related to the effectiveness of our marketing efforts; risks related to environmental, social, and governance matters impact on our business and reputation; risks related to our e-commerce and omnichannel business; our ability to effectively anticipate and respond to changes in consumer preferences and shopping patterns; risks related to our ability to predict future performance due to quarterly and annual fluctuations of our results of operations and operating cash flow; risks related to our dependence on distributions from Brilliant Earth, LLC to pay our taxes and expenses; risks related to our obligations under the Tax Receivable Agreement (as discussed below) and our organizational structure; and the other risks, uncertainties and the factors described in Part I, Item 1A, “Risk Factors” in our Annual Report on Form 10-K for the fiscal year ended December 31, 2021 (the “2021 Form 10-K”) filed with the Securities and Exchange Commission (the “SEC”) on March 22, 2022. Other sections of this Quarterly Report on Form 10-Q include additional factors that could adversely impact our business and financial performance.</w:t>
      </w:r>
    </w:p>
    <w:p>
      <w:pPr>
        <w:spacing w:after="0" w:line="21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 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BASIS OF PRESENTATION</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 used in this Quarterly Report on Form 10-Q, unless the context otherwise requires, references to:</w:t>
      </w:r>
    </w:p>
    <w:p>
      <w:pPr>
        <w:spacing w:after="0" w:line="256" w:lineRule="exact"/>
        <w:rPr>
          <w:sz w:val="20"/>
          <w:szCs w:val="20"/>
          <w:color w:val="auto"/>
        </w:rPr>
      </w:pPr>
    </w:p>
    <w:p>
      <w:pPr>
        <w:ind w:left="620" w:right="80" w:hanging="307"/>
        <w:spacing w:after="0" w:line="265" w:lineRule="auto"/>
        <w:tabs>
          <w:tab w:leader="none" w:pos="543"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“Brilliant Earth,” and similar references refer: (1) following the consummation of the Reorganization Transactions (as defined below), including our initial public offering (“IPO”) which occurred on September 23, 2021, to Brilliant Earth Group, Inc., and, unless otherwise stated, all of its subsidiaries, including Brilliant Earth, LLC, and (2) prior to the completion of the Reorganization Transactions, including the IPO, to Brilliant Earth, LLC.</w:t>
      </w:r>
    </w:p>
    <w:p>
      <w:pPr>
        <w:ind w:left="620" w:right="40" w:hanging="307"/>
        <w:spacing w:after="0" w:line="261" w:lineRule="auto"/>
        <w:tabs>
          <w:tab w:leader="none" w:pos="543" w:val="left"/>
        </w:tabs>
        <w:numPr>
          <w:ilvl w:val="0"/>
          <w:numId w:val="3"/>
        </w:numPr>
        <w:rPr>
          <w:rFonts w:ascii="Arial" w:cs="Arial" w:eastAsia="Arial" w:hAnsi="Arial"/>
          <w:sz w:val="17"/>
          <w:szCs w:val="17"/>
          <w:color w:val="auto"/>
        </w:rPr>
      </w:pPr>
      <w:r>
        <w:rPr>
          <w:rFonts w:ascii="Arial" w:cs="Arial" w:eastAsia="Arial" w:hAnsi="Arial"/>
          <w:sz w:val="17"/>
          <w:szCs w:val="17"/>
          <w:color w:val="auto"/>
        </w:rPr>
        <w:t>“Brilliant Earth LLC Agreement” refers to Brilliant Earth, LLC’s amended and restated limited liability company agreement, which became effective prior to the consummation of the IPO.</w:t>
      </w:r>
    </w:p>
    <w:p>
      <w:pPr>
        <w:ind w:left="620" w:hanging="307"/>
        <w:spacing w:after="0" w:line="263" w:lineRule="auto"/>
        <w:tabs>
          <w:tab w:leader="none" w:pos="543"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Equity Owners” refers collectively to holders of LLC Interests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3" w:lineRule="exact"/>
        <w:rPr>
          <w:rFonts w:ascii="Arial" w:cs="Arial" w:eastAsia="Arial" w:hAnsi="Arial"/>
          <w:sz w:val="17"/>
          <w:szCs w:val="17"/>
          <w:color w:val="auto"/>
        </w:rPr>
      </w:pPr>
    </w:p>
    <w:p>
      <w:pPr>
        <w:ind w:left="620" w:right="420" w:hanging="307"/>
        <w:spacing w:after="0" w:line="267" w:lineRule="auto"/>
        <w:tabs>
          <w:tab w:leader="none" w:pos="543"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“Founders” refers to Beth Gerstein, our Co-Founder and Chief Executive Officer, Eric Grossberg, our Co-Founder and Executive Chairman, and Just Rocks (as defined below).</w:t>
      </w:r>
    </w:p>
    <w:p>
      <w:pPr>
        <w:spacing w:after="0" w:line="1" w:lineRule="exact"/>
        <w:rPr>
          <w:rFonts w:ascii="Arial" w:cs="Arial" w:eastAsia="Arial" w:hAnsi="Arial"/>
          <w:sz w:val="17"/>
          <w:szCs w:val="17"/>
          <w:color w:val="auto"/>
        </w:rPr>
      </w:pPr>
    </w:p>
    <w:p>
      <w:pPr>
        <w:ind w:left="540" w:hanging="227"/>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“Just Rocks” refers to Just Rocks, Inc., a Delaware corporation, which is jointly owned and controlled by our Founders.</w:t>
      </w:r>
    </w:p>
    <w:p>
      <w:pPr>
        <w:spacing w:after="0" w:line="12" w:lineRule="exact"/>
        <w:rPr>
          <w:rFonts w:ascii="Arial" w:cs="Arial" w:eastAsia="Arial" w:hAnsi="Arial"/>
          <w:sz w:val="17"/>
          <w:szCs w:val="17"/>
          <w:color w:val="auto"/>
        </w:rPr>
      </w:pPr>
    </w:p>
    <w:p>
      <w:pPr>
        <w:ind w:left="540" w:hanging="227"/>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“LLC Interests” or “LLC Units” refers to the common units of Brilliant Earth, LLC, including those that we purchased with the net proceeds from the IPO.</w:t>
      </w:r>
    </w:p>
    <w:p>
      <w:pPr>
        <w:spacing w:after="0" w:line="35" w:lineRule="exact"/>
        <w:rPr>
          <w:rFonts w:ascii="Arial" w:cs="Arial" w:eastAsia="Arial" w:hAnsi="Arial"/>
          <w:sz w:val="16"/>
          <w:szCs w:val="16"/>
          <w:color w:val="auto"/>
        </w:rPr>
      </w:pPr>
    </w:p>
    <w:p>
      <w:pPr>
        <w:ind w:left="620" w:right="320" w:hanging="307"/>
        <w:spacing w:after="0" w:line="267" w:lineRule="auto"/>
        <w:tabs>
          <w:tab w:leader="none" w:pos="543" w:val="left"/>
        </w:tabs>
        <w:numPr>
          <w:ilvl w:val="0"/>
          <w:numId w:val="3"/>
        </w:numPr>
        <w:rPr>
          <w:rFonts w:ascii="Arial" w:cs="Arial" w:eastAsia="Arial" w:hAnsi="Arial"/>
          <w:sz w:val="17"/>
          <w:szCs w:val="17"/>
          <w:color w:val="auto"/>
        </w:rPr>
      </w:pPr>
      <w:r>
        <w:rPr>
          <w:rFonts w:ascii="Arial" w:cs="Arial" w:eastAsia="Arial" w:hAnsi="Arial"/>
          <w:sz w:val="17"/>
          <w:szCs w:val="17"/>
          <w:color w:val="auto"/>
        </w:rPr>
        <w:t>“Original Equity Owners” refers to the owners of LLC Interests in Brilliant Earth, LLC prior to the consummation of the Reorganization Transactions, collectively, which include Mainsail, Just Rocks, and certain executive officers and employees.</w:t>
      </w:r>
    </w:p>
    <w:p>
      <w:pPr>
        <w:spacing w:after="0" w:line="1" w:lineRule="exact"/>
        <w:rPr>
          <w:rFonts w:ascii="Arial" w:cs="Arial" w:eastAsia="Arial" w:hAnsi="Arial"/>
          <w:sz w:val="17"/>
          <w:szCs w:val="17"/>
          <w:color w:val="auto"/>
        </w:rPr>
      </w:pPr>
    </w:p>
    <w:p>
      <w:pPr>
        <w:ind w:left="620" w:hanging="307"/>
        <w:spacing w:after="0" w:line="262" w:lineRule="auto"/>
        <w:tabs>
          <w:tab w:leader="none" w:pos="543" w:val="left"/>
        </w:tabs>
        <w:numPr>
          <w:ilvl w:val="0"/>
          <w:numId w:val="3"/>
        </w:numPr>
        <w:rPr>
          <w:rFonts w:ascii="Arial" w:cs="Arial" w:eastAsia="Arial" w:hAnsi="Arial"/>
          <w:sz w:val="17"/>
          <w:szCs w:val="17"/>
          <w:color w:val="auto"/>
        </w:rPr>
      </w:pPr>
      <w:r>
        <w:rPr>
          <w:rFonts w:ascii="Arial" w:cs="Arial" w:eastAsia="Arial" w:hAnsi="Arial"/>
          <w:sz w:val="17"/>
          <w:szCs w:val="17"/>
          <w:color w:val="auto"/>
        </w:rPr>
        <w:t>“Mainsail” refers to Mainsail Partners III, L.P., our sponsor and a Delaware limited partnership, and certain funds affiliated with Mainsail Partners III, L.P., including Mainsail Incentive Program, LLC, and Mainsail Co-Investors III, L.P.</w:t>
      </w:r>
    </w:p>
    <w:p>
      <w:pPr>
        <w:ind w:left="540" w:hanging="227"/>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“Reorganization Transactions” refers to the organizational transactions and the IPO, and the application of the net proceeds therefrom.</w:t>
      </w:r>
    </w:p>
    <w:p>
      <w:pPr>
        <w:spacing w:after="0" w:line="21" w:lineRule="exact"/>
        <w:rPr>
          <w:rFonts w:ascii="Arial" w:cs="Arial" w:eastAsia="Arial" w:hAnsi="Arial"/>
          <w:sz w:val="17"/>
          <w:szCs w:val="17"/>
          <w:color w:val="auto"/>
        </w:rPr>
      </w:pPr>
    </w:p>
    <w:p>
      <w:pPr>
        <w:ind w:left="620" w:right="260" w:hanging="307"/>
        <w:spacing w:after="0" w:line="300" w:lineRule="auto"/>
        <w:tabs>
          <w:tab w:leader="none" w:pos="5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 w:name="page5"/>
    <w:bookmarkEnd w:id="4"/>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 -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Brilliant Earth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 and 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24"/>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4"/>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9"/>
        </w:trPr>
        <w:tc>
          <w:tcPr>
            <w:tcW w:w="8160" w:type="dxa"/>
            <w:vAlign w:val="bottom"/>
            <w:tcBorders>
              <w:bottom w:val="single" w:sz="8" w:color="CCEEFF"/>
            </w:tcBorders>
            <w:shd w:val="clear" w:color="auto" w:fill="CCEEFF"/>
          </w:tcPr>
          <w:p>
            <w:pPr>
              <w:ind w:left="390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5"/>
        </w:trPr>
        <w:tc>
          <w:tcPr>
            <w:tcW w:w="8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152,931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172,865</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205</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Inventories, net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40,334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24,743</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9,779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8,178</w:t>
            </w:r>
          </w:p>
        </w:tc>
      </w:tr>
      <w:tr>
        <w:trPr>
          <w:trHeight w:val="24"/>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2"/>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203,249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205,991</w:t>
            </w:r>
          </w:p>
        </w:tc>
      </w:tr>
      <w:tr>
        <w:trPr>
          <w:trHeight w:val="195"/>
        </w:trPr>
        <w:tc>
          <w:tcPr>
            <w:tcW w:w="81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14,563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6,732</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4,407</w:t>
            </w:r>
          </w:p>
        </w:tc>
      </w:tr>
      <w:tr>
        <w:trPr>
          <w:trHeight w:val="195"/>
        </w:trPr>
        <w:tc>
          <w:tcPr>
            <w:tcW w:w="8160" w:type="dxa"/>
            <w:vAlign w:val="bottom"/>
          </w:tcPr>
          <w:p>
            <w:pPr>
              <w:ind w:left="20"/>
              <w:spacing w:after="0"/>
              <w:rPr>
                <w:sz w:val="20"/>
                <w:szCs w:val="20"/>
                <w:color w:val="auto"/>
              </w:rPr>
            </w:pPr>
            <w:r>
              <w:rPr>
                <w:rFonts w:ascii="Arial" w:cs="Arial" w:eastAsia="Arial" w:hAnsi="Arial"/>
                <w:sz w:val="14"/>
                <w:szCs w:val="14"/>
                <w:color w:val="auto"/>
              </w:rPr>
              <w:t>Operating lease right of use assets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22,864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3,077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w:t>
            </w:r>
          </w:p>
        </w:tc>
      </w:tr>
      <w:tr>
        <w:trPr>
          <w:trHeight w:val="212"/>
        </w:trPr>
        <w:tc>
          <w:tcPr>
            <w:tcW w:w="8160" w:type="dxa"/>
            <w:vAlign w:val="bottom"/>
          </w:tcPr>
          <w:p>
            <w:pPr>
              <w:ind w:left="2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252,389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217,731</w:t>
            </w:r>
          </w:p>
        </w:tc>
      </w:tr>
      <w:tr>
        <w:trPr>
          <w:trHeight w:val="37"/>
        </w:trPr>
        <w:tc>
          <w:tcPr>
            <w:tcW w:w="8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5"/>
        </w:trPr>
        <w:tc>
          <w:tcPr>
            <w:tcW w:w="8160" w:type="dxa"/>
            <w:vAlign w:val="bottom"/>
          </w:tcPr>
          <w:p>
            <w:pPr>
              <w:ind w:left="346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10,431</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14,480</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37,897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28,756</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rPr>
              <w:t>Current portion of deferred revenue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22,694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18,818</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Current portion of operating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3,250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30,789</w:t>
            </w:r>
          </w:p>
        </w:tc>
      </w:tr>
      <w:tr>
        <w:trPr>
          <w:trHeight w:val="24"/>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2"/>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77,593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92,843</w:t>
            </w:r>
          </w:p>
        </w:tc>
      </w:tr>
      <w:tr>
        <w:trPr>
          <w:trHeight w:val="52"/>
        </w:trPr>
        <w:tc>
          <w:tcPr>
            <w:tcW w:w="8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60,228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32,789</w:t>
            </w:r>
          </w:p>
        </w:tc>
      </w:tr>
      <w:tr>
        <w:trPr>
          <w:trHeight w:val="195"/>
        </w:trPr>
        <w:tc>
          <w:tcPr>
            <w:tcW w:w="816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23,166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rent</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2,507</w:t>
            </w:r>
          </w:p>
        </w:tc>
      </w:tr>
      <w:tr>
        <w:trPr>
          <w:trHeight w:val="195"/>
        </w:trPr>
        <w:tc>
          <w:tcPr>
            <w:tcW w:w="8160" w:type="dxa"/>
            <w:vAlign w:val="bottom"/>
          </w:tcPr>
          <w:p>
            <w:pPr>
              <w:ind w:left="20"/>
              <w:spacing w:after="0"/>
              <w:rPr>
                <w:sz w:val="20"/>
                <w:szCs w:val="20"/>
                <w:color w:val="auto"/>
              </w:rPr>
            </w:pPr>
            <w:r>
              <w:rPr>
                <w:rFonts w:ascii="Arial" w:cs="Arial" w:eastAsia="Arial" w:hAnsi="Arial"/>
                <w:sz w:val="14"/>
                <w:szCs w:val="14"/>
                <w:color w:val="auto"/>
              </w:rPr>
              <w:t>Payable pursuant to the Tax Receivable Agreement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6,734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3,775</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2,979</w:t>
            </w:r>
          </w:p>
        </w:tc>
      </w:tr>
      <w:tr>
        <w:trPr>
          <w:trHeight w:val="188"/>
        </w:trPr>
        <w:tc>
          <w:tcPr>
            <w:tcW w:w="8160" w:type="dxa"/>
            <w:vAlign w:val="bottom"/>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167,797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134,893</w:t>
            </w:r>
          </w:p>
        </w:tc>
      </w:tr>
      <w:tr>
        <w:trPr>
          <w:trHeight w:val="61"/>
        </w:trPr>
        <w:tc>
          <w:tcPr>
            <w:tcW w:w="8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95"/>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Commitments and contingencies (Note 11)</w:t>
            </w:r>
          </w:p>
        </w:tc>
        <w:tc>
          <w:tcPr>
            <w:tcW w:w="22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r>
      <w:tr>
        <w:trPr>
          <w:trHeight w:val="56"/>
        </w:trPr>
        <w:tc>
          <w:tcPr>
            <w:tcW w:w="8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r>
      <w:tr>
        <w:trPr>
          <w:trHeight w:val="195"/>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5"/>
        </w:trPr>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9"/>
              </w:rPr>
              <w:t>Preferred stock, $0.0001 par value, 10,000,000 shares authorized, none issued and outstanding at September 30, 2022 and December 31, 2021,</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5"/>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w w:val="93"/>
              </w:rPr>
              <w:t>Class A common stock, $0.0001 par value, 1,200,000,000 shares authorized; 10,940,372 and 9,614,523 shares issued and outstanding at</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8160" w:type="dxa"/>
            <w:vAlign w:val="bottom"/>
          </w:tcPr>
          <w:p>
            <w:pPr>
              <w:ind w:left="120"/>
              <w:spacing w:after="0"/>
              <w:rPr>
                <w:sz w:val="20"/>
                <w:szCs w:val="20"/>
                <w:color w:val="auto"/>
              </w:rPr>
            </w:pPr>
            <w:r>
              <w:rPr>
                <w:rFonts w:ascii="Arial" w:cs="Arial" w:eastAsia="Arial" w:hAnsi="Arial"/>
                <w:sz w:val="14"/>
                <w:szCs w:val="14"/>
                <w:color w:val="auto"/>
              </w:rPr>
              <w:t>September 30, 2022 and December 31, 2021, respectively</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5"/>
        </w:trPr>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Class B common stock, $0.0001 par value, 150,000,000 shares authorized; 35,395,738 and 35,658,013 shares issued and outstanding at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5"/>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September 30, 2022 and December 31, 2021, 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w w:val="94"/>
              </w:rPr>
              <w:t>Class C common stock, $0.0001 par value, 150,000,000 shares authorized; 49,119,976 and 49,505,250 shares issued and outstanding at</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8160" w:type="dxa"/>
            <w:vAlign w:val="bottom"/>
          </w:tcPr>
          <w:p>
            <w:pPr>
              <w:ind w:left="120"/>
              <w:spacing w:after="0"/>
              <w:rPr>
                <w:sz w:val="20"/>
                <w:szCs w:val="20"/>
                <w:color w:val="auto"/>
              </w:rPr>
            </w:pPr>
            <w:r>
              <w:rPr>
                <w:rFonts w:ascii="Arial" w:cs="Arial" w:eastAsia="Arial" w:hAnsi="Arial"/>
                <w:sz w:val="14"/>
                <w:szCs w:val="14"/>
                <w:color w:val="auto"/>
              </w:rPr>
              <w:t>September 30, 2022 and December 31, 2021, respectively</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5"/>
        </w:trPr>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7"/>
              </w:rPr>
              <w:t>Class D common stock, $0.0001 par value, 150,000,000 shares authorized; none issued and outstanding at September 30, 2022 and December 31,</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5"/>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2021, 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5"/>
        </w:trPr>
        <w:tc>
          <w:tcPr>
            <w:tcW w:w="816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6,731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6,865</w:t>
            </w: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1,528</w:t>
            </w:r>
          </w:p>
        </w:tc>
      </w:tr>
      <w:tr>
        <w:trPr>
          <w:trHeight w:val="188"/>
        </w:trPr>
        <w:tc>
          <w:tcPr>
            <w:tcW w:w="8160" w:type="dxa"/>
            <w:vAlign w:val="bottom"/>
          </w:tcPr>
          <w:p>
            <w:pPr>
              <w:ind w:left="220"/>
              <w:spacing w:after="0"/>
              <w:rPr>
                <w:sz w:val="20"/>
                <w:szCs w:val="20"/>
                <w:color w:val="auto"/>
              </w:rPr>
            </w:pPr>
            <w:r>
              <w:rPr>
                <w:rFonts w:ascii="Arial" w:cs="Arial" w:eastAsia="Arial" w:hAnsi="Arial"/>
                <w:sz w:val="14"/>
                <w:szCs w:val="14"/>
                <w:b w:val="1"/>
                <w:bCs w:val="1"/>
                <w:color w:val="auto"/>
              </w:rPr>
              <w:t>Equity attributable to Brilliant Earth Group, Inc.</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9,695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8,403</w:t>
            </w:r>
          </w:p>
        </w:tc>
      </w:tr>
      <w:tr>
        <w:trPr>
          <w:trHeight w:val="24"/>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NCI attributable to Brilliant Earth, LLC</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74,897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74,435</w:t>
            </w:r>
          </w:p>
        </w:tc>
      </w:tr>
      <w:tr>
        <w:trPr>
          <w:trHeight w:val="188"/>
        </w:trPr>
        <w:tc>
          <w:tcPr>
            <w:tcW w:w="8160" w:type="dxa"/>
            <w:vAlign w:val="bottom"/>
          </w:tcPr>
          <w:p>
            <w:pPr>
              <w:ind w:left="220"/>
              <w:spacing w:after="0"/>
              <w:rPr>
                <w:sz w:val="20"/>
                <w:szCs w:val="20"/>
                <w:color w:val="auto"/>
              </w:rPr>
            </w:pPr>
            <w:r>
              <w:rPr>
                <w:rFonts w:ascii="Arial" w:cs="Arial" w:eastAsia="Arial" w:hAnsi="Arial"/>
                <w:sz w:val="14"/>
                <w:szCs w:val="14"/>
                <w:b w:val="1"/>
                <w:bCs w:val="1"/>
                <w:color w:val="auto"/>
              </w:rPr>
              <w:t>Total equity</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84,592</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82,838</w:t>
            </w:r>
          </w:p>
        </w:tc>
      </w:tr>
      <w:tr>
        <w:trPr>
          <w:trHeight w:val="24"/>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252,389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217,731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81280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Brilliant Earth Group, Inc.</w:t>
      </w:r>
    </w:p>
    <w:p>
      <w:pPr>
        <w:spacing w:after="0" w:line="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3"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(Unaudited and in thousands except share and per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5"/>
                <w:szCs w:val="15"/>
                <w:b w:val="1"/>
                <w:bCs w:val="1"/>
                <w:color w:val="auto"/>
                <w:w w:val="92"/>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63"/>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5"/>
                <w:szCs w:val="15"/>
                <w:b w:val="1"/>
                <w:bCs w:val="1"/>
                <w:color w:val="auto"/>
                <w:w w:val="91"/>
              </w:rPr>
              <w:t>September 30,</w:t>
            </w:r>
          </w:p>
        </w:tc>
        <w:tc>
          <w:tcPr>
            <w:tcW w:w="340" w:type="dxa"/>
            <w:vAlign w:val="bottom"/>
          </w:tcPr>
          <w:p>
            <w:pPr>
              <w:spacing w:after="0"/>
              <w:rPr>
                <w:sz w:val="17"/>
                <w:szCs w:val="17"/>
                <w:color w:val="auto"/>
              </w:rPr>
            </w:pPr>
          </w:p>
        </w:tc>
        <w:tc>
          <w:tcPr>
            <w:tcW w:w="2640" w:type="dxa"/>
            <w:vAlign w:val="bottom"/>
            <w:gridSpan w:val="4"/>
          </w:tcPr>
          <w:p>
            <w:pPr>
              <w:jc w:val="right"/>
              <w:ind w:right="923"/>
              <w:spacing w:after="0"/>
              <w:rPr>
                <w:sz w:val="20"/>
                <w:szCs w:val="20"/>
                <w:color w:val="auto"/>
              </w:rPr>
            </w:pPr>
            <w:r>
              <w:rPr>
                <w:rFonts w:ascii="Arial" w:cs="Arial" w:eastAsia="Arial" w:hAnsi="Arial"/>
                <w:sz w:val="15"/>
                <w:szCs w:val="15"/>
                <w:b w:val="1"/>
                <w:bCs w:val="1"/>
                <w:color w:val="auto"/>
              </w:rPr>
              <w:t>September 30,</w:t>
            </w:r>
          </w:p>
        </w:tc>
      </w:tr>
      <w:tr>
        <w:trPr>
          <w:trHeight w:val="31"/>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6"/>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center"/>
              <w:ind w:right="243"/>
              <w:spacing w:after="0"/>
              <w:rPr>
                <w:sz w:val="20"/>
                <w:szCs w:val="20"/>
                <w:color w:val="auto"/>
              </w:rPr>
            </w:pPr>
            <w:r>
              <w:rPr>
                <w:rFonts w:ascii="Arial" w:cs="Arial" w:eastAsia="Arial" w:hAnsi="Arial"/>
                <w:sz w:val="15"/>
                <w:szCs w:val="15"/>
                <w:b w:val="1"/>
                <w:bCs w:val="1"/>
                <w:color w:val="auto"/>
                <w:w w:val="89"/>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83"/>
              <w:spacing w:after="0"/>
              <w:rPr>
                <w:sz w:val="20"/>
                <w:szCs w:val="20"/>
                <w:color w:val="auto"/>
              </w:rPr>
            </w:pPr>
            <w:r>
              <w:rPr>
                <w:rFonts w:ascii="Arial" w:cs="Arial" w:eastAsia="Arial" w:hAnsi="Arial"/>
                <w:sz w:val="15"/>
                <w:szCs w:val="15"/>
                <w:b w:val="1"/>
                <w:bCs w:val="1"/>
                <w:color w:val="auto"/>
                <w:w w:val="95"/>
              </w:rPr>
              <w:t>2021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ind w:right="263"/>
              <w:spacing w:after="0"/>
              <w:rPr>
                <w:sz w:val="20"/>
                <w:szCs w:val="20"/>
                <w:color w:val="auto"/>
              </w:rPr>
            </w:pPr>
            <w:r>
              <w:rPr>
                <w:rFonts w:ascii="Arial" w:cs="Arial" w:eastAsia="Arial" w:hAnsi="Arial"/>
                <w:sz w:val="15"/>
                <w:szCs w:val="15"/>
                <w:b w:val="1"/>
                <w:bCs w:val="1"/>
                <w:color w:val="auto"/>
                <w:w w:val="89"/>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03"/>
              <w:spacing w:after="0"/>
              <w:rPr>
                <w:sz w:val="20"/>
                <w:szCs w:val="20"/>
                <w:color w:val="auto"/>
              </w:rPr>
            </w:pPr>
            <w:r>
              <w:rPr>
                <w:rFonts w:ascii="Arial" w:cs="Arial" w:eastAsia="Arial" w:hAnsi="Arial"/>
                <w:sz w:val="15"/>
                <w:szCs w:val="15"/>
                <w:b w:val="1"/>
                <w:bCs w:val="1"/>
                <w:color w:val="auto"/>
                <w:w w:val="95"/>
              </w:rPr>
              <w:t>2021</w:t>
            </w:r>
          </w:p>
        </w:tc>
      </w:tr>
      <w:tr>
        <w:trPr>
          <w:trHeight w:val="31"/>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111,405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95,239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320,252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258,283</w:t>
            </w:r>
          </w:p>
        </w:tc>
      </w:tr>
      <w:tr>
        <w:trPr>
          <w:trHeight w:val="214"/>
        </w:trPr>
        <w:tc>
          <w:tcPr>
            <w:tcW w:w="47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50,487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47,224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151,397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133,148</w:t>
            </w:r>
          </w:p>
        </w:tc>
      </w:tr>
      <w:tr>
        <w:trPr>
          <w:trHeight w:val="31"/>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4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b w:val="1"/>
                <w:bCs w:val="1"/>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60,918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48,015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168,855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125,135</w:t>
            </w:r>
          </w:p>
        </w:tc>
      </w:tr>
      <w:tr>
        <w:trPr>
          <w:trHeight w:val="214"/>
        </w:trPr>
        <w:tc>
          <w:tcPr>
            <w:tcW w:w="47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54,615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38,147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151,576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97,961</w:t>
            </w:r>
          </w:p>
        </w:tc>
      </w:tr>
      <w:tr>
        <w:trPr>
          <w:trHeight w:val="206"/>
        </w:trPr>
        <w:tc>
          <w:tcPr>
            <w:tcW w:w="4780" w:type="dxa"/>
            <w:vAlign w:val="bottom"/>
          </w:tcPr>
          <w:p>
            <w:pPr>
              <w:ind w:left="640"/>
              <w:spacing w:after="0"/>
              <w:rPr>
                <w:sz w:val="20"/>
                <w:szCs w:val="20"/>
                <w:color w:val="auto"/>
              </w:rPr>
            </w:pPr>
            <w:r>
              <w:rPr>
                <w:rFonts w:ascii="Arial" w:cs="Arial" w:eastAsia="Arial" w:hAnsi="Arial"/>
                <w:sz w:val="15"/>
                <w:szCs w:val="15"/>
                <w:b w:val="1"/>
                <w:bCs w:val="1"/>
                <w:color w:val="auto"/>
              </w:rPr>
              <w:t>Income from operations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6,303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9,868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17,279</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27,174</w:t>
            </w: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(1,912)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(5,786)</w:t>
            </w:r>
          </w:p>
        </w:tc>
      </w:tr>
      <w:tr>
        <w:trPr>
          <w:trHeight w:val="214"/>
        </w:trPr>
        <w:tc>
          <w:tcPr>
            <w:tcW w:w="4780" w:type="dxa"/>
            <w:vAlign w:val="bottom"/>
          </w:tcPr>
          <w:p>
            <w:pPr>
              <w:ind w:left="320"/>
              <w:spacing w:after="0"/>
              <w:rPr>
                <w:sz w:val="20"/>
                <w:szCs w:val="20"/>
                <w:color w:val="auto"/>
              </w:rPr>
            </w:pPr>
            <w:r>
              <w:rPr>
                <w:rFonts w:ascii="Arial" w:cs="Arial" w:eastAsia="Arial" w:hAnsi="Arial"/>
                <w:sz w:val="15"/>
                <w:szCs w:val="15"/>
                <w:color w:val="auto"/>
              </w:rPr>
              <w:t>Other income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(3,971)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266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(6,518)</w:t>
            </w: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206"/>
        </w:trPr>
        <w:tc>
          <w:tcPr>
            <w:tcW w:w="4780" w:type="dxa"/>
            <w:vAlign w:val="bottom"/>
          </w:tcPr>
          <w:p>
            <w:pPr>
              <w:ind w:left="640"/>
              <w:spacing w:after="0"/>
              <w:rPr>
                <w:sz w:val="20"/>
                <w:szCs w:val="20"/>
                <w:color w:val="auto"/>
              </w:rPr>
            </w:pPr>
            <w:r>
              <w:rPr>
                <w:rFonts w:ascii="Arial" w:cs="Arial" w:eastAsia="Arial" w:hAnsi="Arial"/>
                <w:sz w:val="15"/>
                <w:szCs w:val="15"/>
                <w:b w:val="1"/>
                <w:bCs w:val="1"/>
                <w:color w:val="auto"/>
              </w:rPr>
              <w:t>Income before tax</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5,899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3,985</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13,228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14,870</w:t>
            </w: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w:t>
            </w:r>
          </w:p>
        </w:tc>
      </w:tr>
      <w:tr>
        <w:trPr>
          <w:trHeight w:val="206"/>
        </w:trPr>
        <w:tc>
          <w:tcPr>
            <w:tcW w:w="4780" w:type="dxa"/>
            <w:vAlign w:val="bottom"/>
          </w:tcPr>
          <w:p>
            <w:pPr>
              <w:ind w:left="640"/>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5,719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3,962</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12,839</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14,847</w:t>
            </w: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allocable to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11,413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14,781</w:t>
            </w:r>
          </w:p>
        </w:tc>
      </w:tr>
      <w:tr>
        <w:trPr>
          <w:trHeight w:val="235"/>
        </w:trPr>
        <w:tc>
          <w:tcPr>
            <w:tcW w:w="4780" w:type="dxa"/>
            <w:vAlign w:val="bottom"/>
          </w:tcPr>
          <w:p>
            <w:pPr>
              <w:ind w:left="640"/>
              <w:spacing w:after="0"/>
              <w:rPr>
                <w:sz w:val="20"/>
                <w:szCs w:val="20"/>
                <w:color w:val="auto"/>
              </w:rPr>
            </w:pPr>
            <w:r>
              <w:rPr>
                <w:rFonts w:ascii="Arial" w:cs="Arial" w:eastAsia="Arial" w:hAnsi="Arial"/>
                <w:sz w:val="15"/>
                <w:szCs w:val="15"/>
                <w:b w:val="1"/>
                <w:bCs w:val="1"/>
                <w:color w:val="auto"/>
              </w:rPr>
              <w:t>Net income allocable to Brilliant Earth Group, Inc.</w:t>
            </w: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1,426</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w:t>
            </w:r>
          </w:p>
        </w:tc>
      </w:tr>
      <w:tr>
        <w:trPr>
          <w:trHeight w:val="21"/>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30"/>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Period from</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103"/>
              <w:spacing w:after="0"/>
              <w:rPr>
                <w:sz w:val="20"/>
                <w:szCs w:val="20"/>
                <w:color w:val="auto"/>
              </w:rPr>
            </w:pPr>
            <w:r>
              <w:rPr>
                <w:rFonts w:ascii="Arial" w:cs="Arial" w:eastAsia="Arial" w:hAnsi="Arial"/>
                <w:sz w:val="15"/>
                <w:szCs w:val="15"/>
                <w:b w:val="1"/>
                <w:bCs w:val="1"/>
                <w:color w:val="auto"/>
                <w:w w:val="94"/>
              </w:rPr>
              <w:t>Period from</w:t>
            </w:r>
          </w:p>
        </w:tc>
      </w:tr>
      <w:tr>
        <w:trPr>
          <w:trHeight w:val="193"/>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September 23,</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83"/>
              <w:spacing w:after="0"/>
              <w:rPr>
                <w:sz w:val="20"/>
                <w:szCs w:val="20"/>
                <w:color w:val="auto"/>
              </w:rPr>
            </w:pPr>
            <w:r>
              <w:rPr>
                <w:rFonts w:ascii="Arial" w:cs="Arial" w:eastAsia="Arial" w:hAnsi="Arial"/>
                <w:sz w:val="15"/>
                <w:szCs w:val="15"/>
                <w:b w:val="1"/>
                <w:bCs w:val="1"/>
                <w:color w:val="auto"/>
                <w:w w:val="91"/>
              </w:rPr>
              <w:t>September 23,</w:t>
            </w:r>
          </w:p>
        </w:tc>
      </w:tr>
      <w:tr>
        <w:trPr>
          <w:trHeight w:val="193"/>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2021 to</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5"/>
                <w:szCs w:val="15"/>
                <w:b w:val="1"/>
                <w:bCs w:val="1"/>
                <w:color w:val="auto"/>
                <w:w w:val="92"/>
              </w:rPr>
              <w:t>2021 to</w:t>
            </w:r>
          </w:p>
        </w:tc>
      </w:tr>
      <w:tr>
        <w:trPr>
          <w:trHeight w:val="193"/>
        </w:trPr>
        <w:tc>
          <w:tcPr>
            <w:tcW w:w="478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Three months ended</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September 30,</w:t>
            </w:r>
          </w:p>
        </w:tc>
        <w:tc>
          <w:tcPr>
            <w:tcW w:w="154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0"/>
              </w:rPr>
              <w:t>Nine months ended</w:t>
            </w:r>
          </w:p>
        </w:tc>
        <w:tc>
          <w:tcPr>
            <w:tcW w:w="180" w:type="dxa"/>
            <w:vAlign w:val="bottom"/>
          </w:tcPr>
          <w:p>
            <w:pPr>
              <w:spacing w:after="0"/>
              <w:rPr>
                <w:sz w:val="16"/>
                <w:szCs w:val="16"/>
                <w:color w:val="auto"/>
              </w:rPr>
            </w:pPr>
          </w:p>
        </w:tc>
        <w:tc>
          <w:tcPr>
            <w:tcW w:w="1260" w:type="dxa"/>
            <w:vAlign w:val="bottom"/>
          </w:tcPr>
          <w:p>
            <w:pPr>
              <w:jc w:val="center"/>
              <w:ind w:right="83"/>
              <w:spacing w:after="0"/>
              <w:rPr>
                <w:sz w:val="20"/>
                <w:szCs w:val="20"/>
                <w:color w:val="auto"/>
              </w:rPr>
            </w:pPr>
            <w:r>
              <w:rPr>
                <w:rFonts w:ascii="Arial" w:cs="Arial" w:eastAsia="Arial" w:hAnsi="Arial"/>
                <w:sz w:val="15"/>
                <w:szCs w:val="15"/>
                <w:b w:val="1"/>
                <w:bCs w:val="1"/>
                <w:color w:val="auto"/>
                <w:w w:val="91"/>
              </w:rPr>
              <w:t>September 30,</w:t>
            </w:r>
          </w:p>
        </w:tc>
      </w:tr>
      <w:tr>
        <w:trPr>
          <w:trHeight w:val="202"/>
        </w:trPr>
        <w:tc>
          <w:tcPr>
            <w:tcW w:w="478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2"/>
              </w:rPr>
              <w:t>September 30, 2022</w:t>
            </w:r>
          </w:p>
        </w:tc>
        <w:tc>
          <w:tcPr>
            <w:tcW w:w="160" w:type="dxa"/>
            <w:vAlign w:val="bottom"/>
          </w:tcPr>
          <w:p>
            <w:pPr>
              <w:spacing w:after="0"/>
              <w:rPr>
                <w:sz w:val="17"/>
                <w:szCs w:val="17"/>
                <w:color w:val="auto"/>
              </w:rPr>
            </w:pPr>
          </w:p>
        </w:tc>
        <w:tc>
          <w:tcPr>
            <w:tcW w:w="1280" w:type="dxa"/>
            <w:vAlign w:val="bottom"/>
          </w:tcPr>
          <w:p>
            <w:pPr>
              <w:jc w:val="center"/>
              <w:ind w:right="83"/>
              <w:spacing w:after="0"/>
              <w:rPr>
                <w:sz w:val="20"/>
                <w:szCs w:val="20"/>
                <w:color w:val="auto"/>
              </w:rPr>
            </w:pPr>
            <w:r>
              <w:rPr>
                <w:rFonts w:ascii="Arial" w:cs="Arial" w:eastAsia="Arial" w:hAnsi="Arial"/>
                <w:sz w:val="15"/>
                <w:szCs w:val="15"/>
                <w:b w:val="1"/>
                <w:bCs w:val="1"/>
                <w:color w:val="auto"/>
                <w:w w:val="95"/>
              </w:rPr>
              <w:t>2021</w:t>
            </w:r>
          </w:p>
        </w:tc>
        <w:tc>
          <w:tcPr>
            <w:tcW w:w="8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2"/>
              </w:rPr>
              <w:t>September 30, 2022</w:t>
            </w:r>
          </w:p>
        </w:tc>
        <w:tc>
          <w:tcPr>
            <w:tcW w:w="180" w:type="dxa"/>
            <w:vAlign w:val="bottom"/>
          </w:tcPr>
          <w:p>
            <w:pPr>
              <w:spacing w:after="0"/>
              <w:rPr>
                <w:sz w:val="17"/>
                <w:szCs w:val="17"/>
                <w:color w:val="auto"/>
              </w:rPr>
            </w:pPr>
          </w:p>
        </w:tc>
        <w:tc>
          <w:tcPr>
            <w:tcW w:w="1260" w:type="dxa"/>
            <w:vAlign w:val="bottom"/>
          </w:tcPr>
          <w:p>
            <w:pPr>
              <w:jc w:val="center"/>
              <w:ind w:right="103"/>
              <w:spacing w:after="0"/>
              <w:rPr>
                <w:sz w:val="20"/>
                <w:szCs w:val="20"/>
                <w:color w:val="auto"/>
              </w:rPr>
            </w:pPr>
            <w:r>
              <w:rPr>
                <w:rFonts w:ascii="Arial" w:cs="Arial" w:eastAsia="Arial" w:hAnsi="Arial"/>
                <w:sz w:val="15"/>
                <w:szCs w:val="15"/>
                <w:b w:val="1"/>
                <w:bCs w:val="1"/>
                <w:color w:val="auto"/>
                <w:w w:val="95"/>
              </w:rPr>
              <w:t>2021</w:t>
            </w: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Earnings per share:</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4"/>
        </w:trPr>
        <w:tc>
          <w:tcPr>
            <w:tcW w:w="4780" w:type="dxa"/>
            <w:vAlign w:val="bottom"/>
          </w:tcPr>
          <w:p>
            <w:pPr>
              <w:ind w:left="320"/>
              <w:spacing w:after="0"/>
              <w:rPr>
                <w:sz w:val="20"/>
                <w:szCs w:val="20"/>
                <w:color w:val="auto"/>
              </w:rPr>
            </w:pPr>
            <w:r>
              <w:rPr>
                <w:rFonts w:ascii="Arial" w:cs="Arial" w:eastAsia="Arial" w:hAnsi="Arial"/>
                <w:sz w:val="15"/>
                <w:szCs w:val="15"/>
                <w:color w:val="auto"/>
              </w:rPr>
              <w:t>Basic</w:t>
            </w:r>
          </w:p>
        </w:tc>
        <w:tc>
          <w:tcPr>
            <w:tcW w:w="320" w:type="dxa"/>
            <w:vAlign w:val="bottom"/>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0.06</w:t>
            </w:r>
          </w:p>
        </w:tc>
        <w:tc>
          <w:tcPr>
            <w:tcW w:w="1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0.01</w:t>
            </w:r>
          </w:p>
        </w:tc>
        <w:tc>
          <w:tcPr>
            <w:tcW w:w="8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0.13</w:t>
            </w:r>
          </w:p>
        </w:tc>
        <w:tc>
          <w:tcPr>
            <w:tcW w:w="8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0.01</w:t>
            </w: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0.10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r>
      <w:tr>
        <w:trPr>
          <w:trHeight w:val="214"/>
        </w:trPr>
        <w:tc>
          <w:tcPr>
            <w:tcW w:w="4780" w:type="dxa"/>
            <w:vAlign w:val="bottom"/>
          </w:tcPr>
          <w:p>
            <w:pPr>
              <w:ind w:left="20"/>
              <w:spacing w:after="0"/>
              <w:rPr>
                <w:sz w:val="20"/>
                <w:szCs w:val="20"/>
                <w:color w:val="auto"/>
              </w:rPr>
            </w:pPr>
            <w:r>
              <w:rPr>
                <w:rFonts w:ascii="Arial" w:cs="Arial" w:eastAsia="Arial" w:hAnsi="Arial"/>
                <w:sz w:val="15"/>
                <w:szCs w:val="15"/>
                <w:color w:val="auto"/>
              </w:rPr>
              <w:t>Weighted average shares of common stock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10,884,306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9,583,332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10,571,777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9,583,332</w:t>
            </w:r>
          </w:p>
        </w:tc>
      </w:tr>
      <w:tr>
        <w:trPr>
          <w:trHeight w:val="214"/>
        </w:trPr>
        <w:tc>
          <w:tcPr>
            <w:tcW w:w="4780" w:type="dxa"/>
            <w:vAlign w:val="bottom"/>
          </w:tcPr>
          <w:p>
            <w:pPr>
              <w:ind w:left="320"/>
              <w:spacing w:after="0"/>
              <w:rPr>
                <w:sz w:val="20"/>
                <w:szCs w:val="20"/>
                <w:color w:val="auto"/>
              </w:rPr>
            </w:pPr>
            <w:r>
              <w:rPr>
                <w:rFonts w:ascii="Arial" w:cs="Arial" w:eastAsia="Arial" w:hAnsi="Arial"/>
                <w:sz w:val="15"/>
                <w:szCs w:val="15"/>
                <w:color w:val="auto"/>
              </w:rPr>
              <w:t>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96,574,462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96,621,427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96,488,889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96,621,427</w:t>
            </w:r>
          </w:p>
        </w:tc>
      </w:tr>
    </w:tbl>
    <w:p>
      <w:pPr>
        <w:spacing w:after="0" w:line="346" w:lineRule="exact"/>
        <w:rPr>
          <w:sz w:val="20"/>
          <w:szCs w:val="20"/>
          <w:color w:val="auto"/>
        </w:rPr>
      </w:pPr>
    </w:p>
    <w:p>
      <w:pPr>
        <w:ind w:left="254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36" w:right="779" w:bottom="1440" w:gutter="0" w:footer="0" w:header="0"/>
        </w:sectPr>
      </w:pPr>
    </w:p>
    <w:bookmarkStart w:id="6" w:name="page7"/>
    <w:bookmarkEnd w:id="6"/>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Brilliant Earth Group, Inc.</w:t>
      </w:r>
    </w:p>
    <w:p>
      <w:pPr>
        <w:spacing w:after="0" w:line="2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CONDENSED CONSOLIDATED STATEMENTS OF EQUITY AND</w:t>
      </w:r>
    </w:p>
    <w:p>
      <w:pPr>
        <w:spacing w:after="0" w:line="1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CHANGES IN REDEEMABLE CONVERTIBLE PREFERRED UNITS AND EQUITY/ MEMBERS’ (DEFICIT)</w:t>
      </w:r>
    </w:p>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(Unaudited and in thousands except share amounts)</w:t>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134"/>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20" w:type="dxa"/>
            <w:vAlign w:val="bottom"/>
            <w:gridSpan w:val="18"/>
          </w:tcPr>
          <w:p>
            <w:pPr>
              <w:jc w:val="right"/>
              <w:ind w:right="540"/>
              <w:spacing w:after="0"/>
              <w:rPr>
                <w:sz w:val="20"/>
                <w:szCs w:val="20"/>
                <w:color w:val="auto"/>
              </w:rPr>
            </w:pPr>
            <w:r>
              <w:rPr>
                <w:rFonts w:ascii="Arial" w:cs="Arial" w:eastAsia="Arial" w:hAnsi="Arial"/>
                <w:sz w:val="10"/>
                <w:szCs w:val="10"/>
                <w:b w:val="1"/>
                <w:bCs w:val="1"/>
                <w:color w:val="auto"/>
                <w:w w:val="96"/>
              </w:rPr>
              <w:t>Brilliant Earth Group, Inc. 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8"/>
          </w:tcPr>
          <w:p>
            <w:pPr>
              <w:jc w:val="right"/>
              <w:ind w:right="68"/>
              <w:spacing w:after="0"/>
              <w:rPr>
                <w:sz w:val="20"/>
                <w:szCs w:val="20"/>
                <w:color w:val="auto"/>
              </w:rPr>
            </w:pPr>
            <w:r>
              <w:rPr>
                <w:rFonts w:ascii="Arial" w:cs="Arial" w:eastAsia="Arial" w:hAnsi="Arial"/>
                <w:sz w:val="10"/>
                <w:szCs w:val="10"/>
                <w:b w:val="1"/>
                <w:bCs w:val="1"/>
                <w:color w:val="auto"/>
              </w:rPr>
              <w:t>Class A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9"/>
          </w:tcPr>
          <w:p>
            <w:pPr>
              <w:jc w:val="center"/>
              <w:spacing w:after="0"/>
              <w:rPr>
                <w:sz w:val="20"/>
                <w:szCs w:val="20"/>
                <w:color w:val="auto"/>
              </w:rPr>
            </w:pPr>
            <w:r>
              <w:rPr>
                <w:rFonts w:ascii="Arial" w:cs="Arial" w:eastAsia="Arial" w:hAnsi="Arial"/>
                <w:sz w:val="10"/>
                <w:szCs w:val="10"/>
                <w:b w:val="1"/>
                <w:bCs w:val="1"/>
                <w:color w:val="auto"/>
                <w:w w:val="92"/>
              </w:rPr>
              <w:t>Class B Common 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7"/>
          </w:tcPr>
          <w:p>
            <w:pPr>
              <w:ind w:left="40"/>
              <w:spacing w:after="0"/>
              <w:rPr>
                <w:sz w:val="20"/>
                <w:szCs w:val="20"/>
                <w:color w:val="auto"/>
              </w:rPr>
            </w:pPr>
            <w:r>
              <w:rPr>
                <w:rFonts w:ascii="Arial" w:cs="Arial" w:eastAsia="Arial" w:hAnsi="Arial"/>
                <w:sz w:val="10"/>
                <w:szCs w:val="10"/>
                <w:b w:val="1"/>
                <w:bCs w:val="1"/>
                <w:color w:val="auto"/>
              </w:rPr>
              <w:t>Class C Common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7"/>
          </w:tcPr>
          <w:p>
            <w:pPr>
              <w:jc w:val="right"/>
              <w:ind w:right="180"/>
              <w:spacing w:after="0"/>
              <w:rPr>
                <w:sz w:val="20"/>
                <w:szCs w:val="20"/>
                <w:color w:val="auto"/>
              </w:rPr>
            </w:pPr>
            <w:r>
              <w:rPr>
                <w:rFonts w:ascii="Arial" w:cs="Arial" w:eastAsia="Arial" w:hAnsi="Arial"/>
                <w:sz w:val="10"/>
                <w:szCs w:val="10"/>
                <w:b w:val="1"/>
                <w:bCs w:val="1"/>
                <w:color w:val="auto"/>
                <w:w w:val="99"/>
              </w:rPr>
              <w:t>Non-Controlling Interest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gridSpan w:val="6"/>
          </w:tcPr>
          <w:p>
            <w:pPr>
              <w:spacing w:after="0"/>
              <w:rPr>
                <w:sz w:val="2"/>
                <w:szCs w:val="2"/>
                <w:color w:val="auto"/>
              </w:rPr>
            </w:pPr>
          </w:p>
        </w:tc>
        <w:tc>
          <w:tcPr>
            <w:tcW w:w="1340" w:type="dxa"/>
            <w:vAlign w:val="bottom"/>
            <w:tcBorders>
              <w:bottom w:val="single" w:sz="8" w:color="auto"/>
            </w:tcBorders>
            <w:gridSpan w:val="9"/>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9"/>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6"/>
          </w:tcPr>
          <w:p>
            <w:pPr>
              <w:spacing w:after="0"/>
              <w:rPr>
                <w:sz w:val="2"/>
                <w:szCs w:val="2"/>
                <w:color w:val="auto"/>
              </w:rPr>
            </w:pPr>
          </w:p>
        </w:tc>
        <w:tc>
          <w:tcPr>
            <w:tcW w:w="160" w:type="dxa"/>
            <w:vAlign w:val="bottom"/>
            <w:gridSpan w:val="4"/>
          </w:tcPr>
          <w:p>
            <w:pPr>
              <w:spacing w:after="0"/>
              <w:rPr>
                <w:sz w:val="2"/>
                <w:szCs w:val="2"/>
                <w:color w:val="auto"/>
              </w:rPr>
            </w:pPr>
          </w:p>
        </w:tc>
        <w:tc>
          <w:tcPr>
            <w:tcW w:w="600" w:type="dxa"/>
            <w:vAlign w:val="bottom"/>
            <w:gridSpan w:val="3"/>
            <w:vMerge w:val="restart"/>
          </w:tcPr>
          <w:p>
            <w:pPr>
              <w:jc w:val="center"/>
              <w:ind w:right="40"/>
              <w:spacing w:after="0"/>
              <w:rPr>
                <w:sz w:val="20"/>
                <w:szCs w:val="20"/>
                <w:color w:val="auto"/>
              </w:rPr>
            </w:pPr>
            <w:r>
              <w:rPr>
                <w:rFonts w:ascii="Arial" w:cs="Arial" w:eastAsia="Arial" w:hAnsi="Arial"/>
                <w:sz w:val="10"/>
                <w:szCs w:val="10"/>
                <w:b w:val="1"/>
                <w:bCs w:val="1"/>
                <w:color w:val="auto"/>
                <w:w w:val="98"/>
              </w:rPr>
              <w:t>Additional</w:t>
            </w:r>
          </w:p>
        </w:tc>
        <w:tc>
          <w:tcPr>
            <w:tcW w:w="1820" w:type="dxa"/>
            <w:vAlign w:val="bottom"/>
            <w:gridSpan w:val="12"/>
          </w:tcPr>
          <w:p>
            <w:pPr>
              <w:spacing w:after="0"/>
              <w:rPr>
                <w:sz w:val="2"/>
                <w:szCs w:val="2"/>
                <w:color w:val="auto"/>
              </w:rPr>
            </w:pPr>
          </w:p>
        </w:tc>
        <w:tc>
          <w:tcPr>
            <w:tcW w:w="1440" w:type="dxa"/>
            <w:vAlign w:val="bottom"/>
            <w:tcBorders>
              <w:bottom w:val="single" w:sz="8" w:color="auto"/>
            </w:tcBorders>
            <w:gridSpan w:val="9"/>
          </w:tcPr>
          <w:p>
            <w:pPr>
              <w:spacing w:after="0"/>
              <w:rPr>
                <w:sz w:val="2"/>
                <w:szCs w:val="2"/>
                <w:color w:val="auto"/>
              </w:rPr>
            </w:pPr>
          </w:p>
        </w:tc>
        <w:tc>
          <w:tcPr>
            <w:tcW w:w="7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6180" w:type="dxa"/>
            <w:vAlign w:val="bottom"/>
            <w:gridSpan w:val="36"/>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404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90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w w:val="94"/>
              </w:rPr>
              <w:t>Stockholders'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tcPr>
          <w:p>
            <w:pPr>
              <w:jc w:val="right"/>
              <w:ind w:right="168"/>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480" w:type="dxa"/>
            <w:vAlign w:val="bottom"/>
            <w:gridSpan w:val="3"/>
          </w:tcPr>
          <w:p>
            <w:pPr>
              <w:jc w:val="right"/>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ind w:left="2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0"/>
                <w:szCs w:val="10"/>
                <w:b w:val="1"/>
                <w:bCs w:val="1"/>
                <w:color w:val="auto"/>
                <w:w w:val="89"/>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5"/>
              </w:rPr>
              <w:t>Amount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5"/>
          </w:tcPr>
          <w:p>
            <w:pPr>
              <w:jc w:val="center"/>
              <w:ind w:right="300"/>
              <w:spacing w:after="0"/>
              <w:rPr>
                <w:sz w:val="20"/>
                <w:szCs w:val="20"/>
                <w:color w:val="auto"/>
              </w:rPr>
            </w:pPr>
            <w:r>
              <w:rPr>
                <w:rFonts w:ascii="Arial" w:cs="Arial" w:eastAsia="Arial" w:hAnsi="Arial"/>
                <w:sz w:val="10"/>
                <w:szCs w:val="10"/>
                <w:b w:val="1"/>
                <w:bCs w:val="1"/>
                <w:color w:val="auto"/>
                <w:w w:val="98"/>
              </w:rPr>
              <w:t>Equity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88"/>
              <w:spacing w:after="0"/>
              <w:rPr>
                <w:sz w:val="20"/>
                <w:szCs w:val="20"/>
                <w:color w:val="auto"/>
              </w:rPr>
            </w:pPr>
            <w:r>
              <w:rPr>
                <w:rFonts w:ascii="Arial" w:cs="Arial" w:eastAsia="Arial" w:hAnsi="Arial"/>
                <w:sz w:val="10"/>
                <w:szCs w:val="10"/>
                <w:b w:val="1"/>
                <w:bCs w:val="1"/>
                <w:color w:val="auto"/>
              </w:rPr>
              <w:t>Units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Amounts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1540" w:type="dxa"/>
            <w:vAlign w:val="bottom"/>
            <w:tcBorders>
              <w:bottom w:val="single" w:sz="8" w:color="CCEEFF"/>
            </w:tcBorders>
            <w:gridSpan w:val="5"/>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0"/>
                <w:szCs w:val="10"/>
                <w:b w:val="1"/>
                <w:bCs w:val="1"/>
                <w:color w:val="auto"/>
              </w:rPr>
              <w:t>Balance, July 1, 2022</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0"/>
                <w:szCs w:val="10"/>
                <w:b w:val="1"/>
                <w:bCs w:val="1"/>
                <w:color w:val="auto"/>
              </w:rPr>
              <w:t>10,835,394</w:t>
            </w:r>
          </w:p>
        </w:tc>
        <w:tc>
          <w:tcPr>
            <w:tcW w:w="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0"/>
                <w:szCs w:val="10"/>
                <w:b w:val="1"/>
                <w:bCs w:val="1"/>
                <w:color w:val="auto"/>
              </w:rPr>
              <w:t>35,357,593</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49,119,976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5</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6,749</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2,308</w:t>
            </w: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9,067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91"/>
              </w:rPr>
              <w:t>84,477,569</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70,687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79,754</w:t>
            </w: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1460" w:type="dxa"/>
            <w:vAlign w:val="bottom"/>
            <w:gridSpan w:val="3"/>
          </w:tcPr>
          <w:p>
            <w:pPr>
              <w:ind w:left="20"/>
              <w:spacing w:after="0"/>
              <w:rPr>
                <w:sz w:val="20"/>
                <w:szCs w:val="20"/>
                <w:color w:val="auto"/>
              </w:rPr>
            </w:pPr>
            <w:r>
              <w:rPr>
                <w:rFonts w:ascii="Arial" w:cs="Arial" w:eastAsia="Arial" w:hAnsi="Arial"/>
                <w:sz w:val="10"/>
                <w:szCs w:val="10"/>
                <w:color w:val="auto"/>
              </w:rPr>
              <w:t>Tax distributions to members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(3,322)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b w:val="1"/>
                <w:bCs w:val="1"/>
                <w:color w:val="auto"/>
              </w:rPr>
              <w:t>(3,322)</w:t>
            </w:r>
          </w:p>
        </w:tc>
        <w:tc>
          <w:tcPr>
            <w:tcW w:w="0" w:type="dxa"/>
            <w:vAlign w:val="bottom"/>
          </w:tcPr>
          <w:p>
            <w:pPr>
              <w:spacing w:after="0"/>
              <w:rPr>
                <w:sz w:val="1"/>
                <w:szCs w:val="1"/>
                <w:color w:val="auto"/>
              </w:rPr>
            </w:pPr>
          </w:p>
        </w:tc>
      </w:tr>
      <w:tr>
        <w:trPr>
          <w:trHeight w:val="34"/>
        </w:trPr>
        <w:tc>
          <w:tcPr>
            <w:tcW w:w="10820" w:type="dxa"/>
            <w:vAlign w:val="bottom"/>
            <w:gridSpan w:val="6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360" w:type="dxa"/>
            <w:vAlign w:val="bottom"/>
            <w:tcBorders>
              <w:right w:val="single" w:sz="8" w:color="CCEEFF"/>
            </w:tcBorders>
            <w:gridSpan w:val="9"/>
          </w:tcPr>
          <w:p>
            <w:pPr>
              <w:spacing w:after="0"/>
              <w:rPr>
                <w:sz w:val="20"/>
                <w:szCs w:val="20"/>
                <w:color w:val="auto"/>
              </w:rPr>
            </w:pPr>
            <w:r>
              <w:rPr>
                <w:rFonts w:ascii="Arial" w:cs="Arial" w:eastAsia="Arial" w:hAnsi="Arial"/>
                <w:sz w:val="10"/>
                <w:szCs w:val="10"/>
                <w:color w:val="auto"/>
              </w:rPr>
              <w:t>Conversion of Class B and Class C</w:t>
            </w:r>
          </w:p>
        </w:tc>
        <w:tc>
          <w:tcPr>
            <w:tcW w:w="8220" w:type="dxa"/>
            <w:vAlign w:val="bottom"/>
            <w:gridSpan w:val="54"/>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0"/>
                <w:szCs w:val="10"/>
                <w:color w:val="auto"/>
              </w:rPr>
              <w:t>to Class A common stock</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84"/>
              </w:rPr>
              <w:t>85,708</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(85,708)</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(85,708)</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1460" w:type="dxa"/>
            <w:vAlign w:val="bottom"/>
            <w:gridSpan w:val="3"/>
          </w:tcPr>
          <w:p>
            <w:pPr>
              <w:ind w:left="20"/>
              <w:spacing w:after="0"/>
              <w:rPr>
                <w:sz w:val="20"/>
                <w:szCs w:val="20"/>
                <w:color w:val="auto"/>
              </w:rPr>
            </w:pPr>
            <w:r>
              <w:rPr>
                <w:rFonts w:ascii="Arial" w:cs="Arial" w:eastAsia="Arial" w:hAnsi="Arial"/>
                <w:sz w:val="10"/>
                <w:szCs w:val="10"/>
                <w:color w:val="auto"/>
              </w:rPr>
              <w:t>RSU vesting during period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0"/>
                <w:szCs w:val="10"/>
                <w:color w:val="auto"/>
                <w:w w:val="84"/>
              </w:rPr>
              <w:t>19,270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34"/>
        </w:trPr>
        <w:tc>
          <w:tcPr>
            <w:tcW w:w="10820" w:type="dxa"/>
            <w:vAlign w:val="bottom"/>
            <w:gridSpan w:val="6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0"/>
                <w:szCs w:val="10"/>
                <w:color w:val="auto"/>
              </w:rPr>
              <w:t>LLC Units vesting during period</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9"/>
              </w:rPr>
              <w:t>123,853</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123,853</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5"/>
        </w:trPr>
        <w:tc>
          <w:tcPr>
            <w:tcW w:w="10820" w:type="dxa"/>
            <w:vAlign w:val="bottom"/>
            <w:gridSpan w:val="64"/>
          </w:tcPr>
          <w:p>
            <w:pPr>
              <w:spacing w:after="0"/>
              <w:rPr>
                <w:sz w:val="20"/>
                <w:szCs w:val="20"/>
                <w:color w:val="auto"/>
              </w:rPr>
            </w:pPr>
            <w:r>
              <w:rPr>
                <w:rFonts w:ascii="Arial" w:cs="Arial" w:eastAsia="Arial" w:hAnsi="Arial"/>
                <w:sz w:val="10"/>
                <w:szCs w:val="10"/>
                <w:color w:val="auto"/>
              </w:rPr>
              <w:t>Increase in deferred tax asset from</w:t>
            </w:r>
          </w:p>
        </w:tc>
        <w:tc>
          <w:tcPr>
            <w:tcW w:w="0" w:type="dxa"/>
            <w:vAlign w:val="bottom"/>
          </w:tcPr>
          <w:p>
            <w:pPr>
              <w:spacing w:after="0"/>
              <w:rPr>
                <w:sz w:val="1"/>
                <w:szCs w:val="1"/>
                <w:color w:val="auto"/>
              </w:rPr>
            </w:pPr>
          </w:p>
        </w:tc>
      </w:tr>
      <w:tr>
        <w:trPr>
          <w:trHeight w:val="129"/>
        </w:trPr>
        <w:tc>
          <w:tcPr>
            <w:tcW w:w="10820" w:type="dxa"/>
            <w:vAlign w:val="bottom"/>
            <w:gridSpan w:val="64"/>
          </w:tcPr>
          <w:p>
            <w:pPr>
              <w:spacing w:after="0"/>
              <w:rPr>
                <w:sz w:val="20"/>
                <w:szCs w:val="20"/>
                <w:color w:val="auto"/>
              </w:rPr>
            </w:pPr>
            <w:r>
              <w:rPr>
                <w:rFonts w:ascii="Arial" w:cs="Arial" w:eastAsia="Arial" w:hAnsi="Arial"/>
                <w:sz w:val="10"/>
                <w:szCs w:val="10"/>
                <w:color w:val="auto"/>
              </w:rPr>
              <w:t>step-up tax basis related to</w:t>
            </w:r>
          </w:p>
        </w:tc>
        <w:tc>
          <w:tcPr>
            <w:tcW w:w="0" w:type="dxa"/>
            <w:vAlign w:val="bottom"/>
          </w:tcPr>
          <w:p>
            <w:pPr>
              <w:spacing w:after="0"/>
              <w:rPr>
                <w:sz w:val="1"/>
                <w:szCs w:val="1"/>
                <w:color w:val="auto"/>
              </w:rPr>
            </w:pPr>
          </w:p>
        </w:tc>
      </w:tr>
      <w:tr>
        <w:trPr>
          <w:trHeight w:val="129"/>
        </w:trPr>
        <w:tc>
          <w:tcPr>
            <w:tcW w:w="10180" w:type="dxa"/>
            <w:vAlign w:val="bottom"/>
            <w:gridSpan w:val="62"/>
          </w:tcPr>
          <w:p>
            <w:pPr>
              <w:spacing w:after="0"/>
              <w:rPr>
                <w:sz w:val="20"/>
                <w:szCs w:val="20"/>
                <w:color w:val="auto"/>
              </w:rPr>
            </w:pPr>
            <w:r>
              <w:rPr>
                <w:rFonts w:ascii="Arial" w:cs="Arial" w:eastAsia="Arial" w:hAnsi="Arial"/>
                <w:sz w:val="10"/>
                <w:szCs w:val="10"/>
                <w:color w:val="auto"/>
              </w:rPr>
              <w:t>redemption of LLC Units and set-up</w:t>
            </w:r>
          </w:p>
        </w:tc>
        <w:tc>
          <w:tcPr>
            <w:tcW w:w="6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130</w:t>
            </w: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10"/>
                <w:szCs w:val="10"/>
                <w:color w:val="auto"/>
              </w:rPr>
              <w:t>of TRA liability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0"/>
                <w:szCs w:val="10"/>
                <w:color w:val="auto"/>
              </w:rPr>
              <w:t>130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820" w:type="dxa"/>
            <w:vAlign w:val="bottom"/>
            <w:gridSpan w:val="6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0"/>
                <w:szCs w:val="10"/>
                <w:color w:val="auto"/>
              </w:rPr>
              <w:t>Equity-based compensation</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2,243</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2,243</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68</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2,311</w:t>
            </w: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8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0"/>
                <w:szCs w:val="10"/>
                <w:color w:val="auto"/>
              </w:rPr>
              <w:t>646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646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5,073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b w:val="1"/>
                <w:bCs w:val="1"/>
                <w:color w:val="auto"/>
              </w:rPr>
              <w:t>5,719</w:t>
            </w:r>
          </w:p>
        </w:tc>
        <w:tc>
          <w:tcPr>
            <w:tcW w:w="0" w:type="dxa"/>
            <w:vAlign w:val="bottom"/>
          </w:tcPr>
          <w:p>
            <w:pPr>
              <w:spacing w:after="0"/>
              <w:rPr>
                <w:sz w:val="1"/>
                <w:szCs w:val="1"/>
                <w:color w:val="auto"/>
              </w:rPr>
            </w:pPr>
          </w:p>
        </w:tc>
      </w:tr>
      <w:tr>
        <w:trPr>
          <w:trHeight w:val="34"/>
        </w:trPr>
        <w:tc>
          <w:tcPr>
            <w:tcW w:w="10820" w:type="dxa"/>
            <w:vAlign w:val="bottom"/>
            <w:gridSpan w:val="6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360" w:type="dxa"/>
            <w:vAlign w:val="bottom"/>
            <w:tcBorders>
              <w:right w:val="single" w:sz="8" w:color="CCEEFF"/>
            </w:tcBorders>
            <w:gridSpan w:val="9"/>
          </w:tcPr>
          <w:p>
            <w:pPr>
              <w:spacing w:after="0"/>
              <w:rPr>
                <w:sz w:val="20"/>
                <w:szCs w:val="20"/>
                <w:color w:val="auto"/>
              </w:rPr>
            </w:pPr>
            <w:r>
              <w:rPr>
                <w:rFonts w:ascii="Arial" w:cs="Arial" w:eastAsia="Arial" w:hAnsi="Arial"/>
                <w:sz w:val="10"/>
                <w:szCs w:val="10"/>
                <w:color w:val="auto"/>
              </w:rPr>
              <w:t>Rebalancing of controlling and non-</w:t>
            </w:r>
          </w:p>
        </w:tc>
        <w:tc>
          <w:tcPr>
            <w:tcW w:w="8220" w:type="dxa"/>
            <w:vAlign w:val="bottom"/>
            <w:gridSpan w:val="54"/>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3"/>
              </w:rPr>
              <w:t>controlling interest</w:t>
            </w: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0"/>
                <w:szCs w:val="10"/>
                <w:color w:val="auto"/>
              </w:rPr>
              <w:t>(2,391)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(2,391)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2,391</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0"/>
                <w:szCs w:val="10"/>
                <w:b w:val="1"/>
                <w:bCs w:val="1"/>
                <w:color w:val="auto"/>
              </w:rPr>
              <w:t>Balance, September 30, 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10,940,372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35,395,738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49,119,976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6,731</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2,954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9,695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91"/>
              </w:rPr>
              <w:t>84,515,714</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74,897</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84,592</w:t>
            </w:r>
          </w:p>
        </w:tc>
        <w:tc>
          <w:tcPr>
            <w:tcW w:w="0" w:type="dxa"/>
            <w:vAlign w:val="bottom"/>
          </w:tcPr>
          <w:p>
            <w:pPr>
              <w:spacing w:after="0"/>
              <w:rPr>
                <w:sz w:val="1"/>
                <w:szCs w:val="1"/>
                <w:color w:val="auto"/>
              </w:rPr>
            </w:pPr>
          </w:p>
        </w:tc>
      </w:tr>
      <w:tr>
        <w:trPr>
          <w:trHeight w:val="23"/>
        </w:trPr>
        <w:tc>
          <w:tcPr>
            <w:tcW w:w="1800" w:type="dxa"/>
            <w:vAlign w:val="bottom"/>
            <w:gridSpan w:val="6"/>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5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720" w:type="dxa"/>
            <w:vAlign w:val="bottom"/>
            <w:tcBorders>
              <w:bottom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80" w:type="dxa"/>
            <w:vAlign w:val="bottom"/>
            <w:gridSpan w:val="2"/>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6"/>
          </w:tcPr>
          <w:p>
            <w:pPr>
              <w:jc w:val="right"/>
              <w:ind w:right="108"/>
              <w:spacing w:after="0"/>
              <w:rPr>
                <w:sz w:val="20"/>
                <w:szCs w:val="20"/>
                <w:color w:val="auto"/>
              </w:rPr>
            </w:pPr>
            <w:r>
              <w:rPr>
                <w:rFonts w:ascii="Arial" w:cs="Arial" w:eastAsia="Arial" w:hAnsi="Arial"/>
                <w:sz w:val="10"/>
                <w:szCs w:val="10"/>
                <w:b w:val="1"/>
                <w:bCs w:val="1"/>
                <w:color w:val="auto"/>
              </w:rPr>
              <w:t>Brilliant Earth, LLC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gridSpan w:val="16"/>
          </w:tcPr>
          <w:p>
            <w:pPr>
              <w:jc w:val="center"/>
              <w:ind w:left="408"/>
              <w:spacing w:after="0"/>
              <w:rPr>
                <w:sz w:val="20"/>
                <w:szCs w:val="20"/>
                <w:color w:val="auto"/>
              </w:rPr>
            </w:pPr>
            <w:r>
              <w:rPr>
                <w:rFonts w:ascii="Arial" w:cs="Arial" w:eastAsia="Arial" w:hAnsi="Arial"/>
                <w:sz w:val="10"/>
                <w:szCs w:val="10"/>
                <w:b w:val="1"/>
                <w:bCs w:val="1"/>
                <w:color w:val="auto"/>
                <w:w w:val="95"/>
              </w:rPr>
              <w:t>Brilliant Earth Group, Inc. Stockholders' Equity</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060" w:type="dxa"/>
            <w:vAlign w:val="bottom"/>
            <w:gridSpan w:val="2"/>
          </w:tcPr>
          <w:p>
            <w:pPr>
              <w:spacing w:after="0"/>
              <w:rPr>
                <w:sz w:val="2"/>
                <w:szCs w:val="2"/>
                <w:color w:val="auto"/>
              </w:rPr>
            </w:pPr>
          </w:p>
        </w:tc>
        <w:tc>
          <w:tcPr>
            <w:tcW w:w="2500" w:type="dxa"/>
            <w:vAlign w:val="bottom"/>
            <w:tcBorders>
              <w:bottom w:val="single" w:sz="8" w:color="auto"/>
            </w:tcBorders>
            <w:gridSpan w:val="15"/>
          </w:tcPr>
          <w:p>
            <w:pPr>
              <w:spacing w:after="0"/>
              <w:rPr>
                <w:sz w:val="2"/>
                <w:szCs w:val="2"/>
                <w:color w:val="auto"/>
              </w:rPr>
            </w:pPr>
          </w:p>
        </w:tc>
        <w:tc>
          <w:tcPr>
            <w:tcW w:w="80" w:type="dxa"/>
            <w:vAlign w:val="bottom"/>
          </w:tcPr>
          <w:p>
            <w:pPr>
              <w:spacing w:after="0"/>
              <w:rPr>
                <w:sz w:val="2"/>
                <w:szCs w:val="2"/>
                <w:color w:val="auto"/>
              </w:rPr>
            </w:pPr>
          </w:p>
        </w:tc>
        <w:tc>
          <w:tcPr>
            <w:tcW w:w="5660" w:type="dxa"/>
            <w:vAlign w:val="bottom"/>
            <w:tcBorders>
              <w:bottom w:val="single" w:sz="8" w:color="auto"/>
            </w:tcBorders>
            <w:gridSpan w:val="38"/>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0820" w:type="dxa"/>
            <w:vAlign w:val="bottom"/>
            <w:gridSpan w:val="64"/>
          </w:tcPr>
          <w:p>
            <w:pPr>
              <w:spacing w:after="0"/>
              <w:rPr>
                <w:sz w:val="20"/>
                <w:szCs w:val="20"/>
                <w:color w:val="auto"/>
              </w:rPr>
            </w:pPr>
            <w:r>
              <w:rPr>
                <w:rFonts w:ascii="Arial" w:cs="Arial" w:eastAsia="Arial" w:hAnsi="Arial"/>
                <w:sz w:val="10"/>
                <w:szCs w:val="10"/>
                <w:b w:val="1"/>
                <w:bCs w:val="1"/>
                <w:color w:val="auto"/>
              </w:rPr>
              <w:t>Non-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8"/>
          </w:tcPr>
          <w:p>
            <w:pPr>
              <w:jc w:val="right"/>
              <w:spacing w:after="0"/>
              <w:rPr>
                <w:sz w:val="20"/>
                <w:szCs w:val="20"/>
                <w:color w:val="auto"/>
              </w:rPr>
            </w:pPr>
            <w:r>
              <w:rPr>
                <w:rFonts w:ascii="Arial" w:cs="Arial" w:eastAsia="Arial" w:hAnsi="Arial"/>
                <w:sz w:val="10"/>
                <w:szCs w:val="10"/>
                <w:b w:val="1"/>
                <w:bCs w:val="1"/>
                <w:color w:val="auto"/>
                <w:w w:val="91"/>
              </w:rPr>
              <w:t>Class F Units and Class M</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Controlling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5"/>
          </w:tcPr>
          <w:p>
            <w:pPr>
              <w:jc w:val="right"/>
              <w:ind w:right="248"/>
              <w:spacing w:after="0"/>
              <w:rPr>
                <w:sz w:val="20"/>
                <w:szCs w:val="20"/>
                <w:color w:val="auto"/>
              </w:rPr>
            </w:pPr>
            <w:r>
              <w:rPr>
                <w:rFonts w:ascii="Arial" w:cs="Arial" w:eastAsia="Arial" w:hAnsi="Arial"/>
                <w:sz w:val="10"/>
                <w:szCs w:val="10"/>
                <w:b w:val="1"/>
                <w:bCs w:val="1"/>
                <w:color w:val="auto"/>
              </w:rPr>
              <w:t>Class P Units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0"/>
                <w:szCs w:val="10"/>
                <w:b w:val="1"/>
                <w:bCs w:val="1"/>
                <w:color w:val="auto"/>
              </w:rPr>
              <w:t>Units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9"/>
          </w:tcPr>
          <w:p>
            <w:pPr>
              <w:jc w:val="right"/>
              <w:ind w:right="60"/>
              <w:spacing w:after="0"/>
              <w:rPr>
                <w:sz w:val="20"/>
                <w:szCs w:val="20"/>
                <w:color w:val="auto"/>
              </w:rPr>
            </w:pPr>
            <w:r>
              <w:rPr>
                <w:rFonts w:ascii="Arial" w:cs="Arial" w:eastAsia="Arial" w:hAnsi="Arial"/>
                <w:sz w:val="10"/>
                <w:szCs w:val="10"/>
                <w:b w:val="1"/>
                <w:bCs w:val="1"/>
                <w:color w:val="auto"/>
                <w:w w:val="93"/>
              </w:rPr>
              <w:t>Class A Common Stock</w:t>
            </w:r>
          </w:p>
        </w:tc>
        <w:tc>
          <w:tcPr>
            <w:tcW w:w="80" w:type="dxa"/>
            <w:vAlign w:val="bottom"/>
          </w:tcPr>
          <w:p>
            <w:pPr>
              <w:spacing w:after="0"/>
              <w:rPr>
                <w:sz w:val="11"/>
                <w:szCs w:val="11"/>
                <w:color w:val="auto"/>
              </w:rPr>
            </w:pPr>
          </w:p>
        </w:tc>
        <w:tc>
          <w:tcPr>
            <w:tcW w:w="1240" w:type="dxa"/>
            <w:vAlign w:val="bottom"/>
            <w:gridSpan w:val="6"/>
          </w:tcPr>
          <w:p>
            <w:pPr>
              <w:ind w:left="80"/>
              <w:spacing w:after="0"/>
              <w:rPr>
                <w:sz w:val="20"/>
                <w:szCs w:val="20"/>
                <w:color w:val="auto"/>
              </w:rPr>
            </w:pPr>
            <w:r>
              <w:rPr>
                <w:rFonts w:ascii="Arial" w:cs="Arial" w:eastAsia="Arial" w:hAnsi="Arial"/>
                <w:sz w:val="10"/>
                <w:szCs w:val="10"/>
                <w:b w:val="1"/>
                <w:bCs w:val="1"/>
                <w:color w:val="auto"/>
              </w:rPr>
              <w:t>Class B 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6"/>
          </w:tcPr>
          <w:p>
            <w:pPr>
              <w:jc w:val="right"/>
              <w:ind w:right="8"/>
              <w:spacing w:after="0"/>
              <w:rPr>
                <w:sz w:val="20"/>
                <w:szCs w:val="20"/>
                <w:color w:val="auto"/>
              </w:rPr>
            </w:pPr>
            <w:r>
              <w:rPr>
                <w:rFonts w:ascii="Arial" w:cs="Arial" w:eastAsia="Arial" w:hAnsi="Arial"/>
                <w:sz w:val="10"/>
                <w:szCs w:val="10"/>
                <w:b w:val="1"/>
                <w:bCs w:val="1"/>
                <w:color w:val="auto"/>
                <w:w w:val="90"/>
              </w:rPr>
              <w:t>Class C Common Stock</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Interest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60" w:type="dxa"/>
            <w:vAlign w:val="bottom"/>
            <w:gridSpan w:val="2"/>
          </w:tcPr>
          <w:p>
            <w:pPr>
              <w:spacing w:after="0"/>
              <w:rPr>
                <w:sz w:val="2"/>
                <w:szCs w:val="2"/>
                <w:color w:val="auto"/>
              </w:rPr>
            </w:pPr>
          </w:p>
        </w:tc>
        <w:tc>
          <w:tcPr>
            <w:tcW w:w="2500" w:type="dxa"/>
            <w:vAlign w:val="bottom"/>
            <w:tcBorders>
              <w:bottom w:val="single" w:sz="8" w:color="auto"/>
            </w:tcBorders>
            <w:gridSpan w:val="15"/>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9"/>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1160" w:type="dxa"/>
            <w:vAlign w:val="bottom"/>
            <w:tcBorders>
              <w:bottom w:val="single" w:sz="8" w:color="auto"/>
            </w:tcBorders>
            <w:gridSpan w:val="7"/>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Additional</w:t>
            </w:r>
          </w:p>
        </w:tc>
        <w:tc>
          <w:tcPr>
            <w:tcW w:w="1460" w:type="dxa"/>
            <w:vAlign w:val="bottom"/>
            <w:gridSpan w:val="11"/>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2360" w:type="dxa"/>
            <w:vAlign w:val="bottom"/>
            <w:tcBorders>
              <w:right w:val="single" w:sz="8" w:color="auto"/>
            </w:tcBorders>
            <w:gridSpan w:val="9"/>
          </w:tcPr>
          <w:p>
            <w:pPr>
              <w:spacing w:after="0"/>
              <w:rPr>
                <w:sz w:val="10"/>
                <w:szCs w:val="10"/>
                <w:color w:val="auto"/>
              </w:rPr>
            </w:pPr>
          </w:p>
        </w:tc>
        <w:tc>
          <w:tcPr>
            <w:tcW w:w="5000" w:type="dxa"/>
            <w:vAlign w:val="bottom"/>
            <w:gridSpan w:val="34"/>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2900" w:type="dxa"/>
            <w:vAlign w:val="bottom"/>
            <w:gridSpan w:val="18"/>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right"/>
              <w:ind w:right="88"/>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jc w:val="right"/>
              <w:ind w:right="128"/>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11"/>
                <w:szCs w:val="11"/>
                <w:color w:val="auto"/>
              </w:rPr>
            </w:pPr>
          </w:p>
        </w:tc>
        <w:tc>
          <w:tcPr>
            <w:tcW w:w="380" w:type="dxa"/>
            <w:vAlign w:val="bottom"/>
            <w:gridSpan w:val="2"/>
          </w:tcPr>
          <w:p>
            <w:pPr>
              <w:jc w:val="center"/>
              <w:ind w:left="108"/>
              <w:spacing w:after="0"/>
              <w:rPr>
                <w:sz w:val="20"/>
                <w:szCs w:val="20"/>
                <w:color w:val="auto"/>
              </w:rPr>
            </w:pPr>
            <w:r>
              <w:rPr>
                <w:rFonts w:ascii="Arial" w:cs="Arial" w:eastAsia="Arial" w:hAnsi="Arial"/>
                <w:sz w:val="10"/>
                <w:szCs w:val="10"/>
                <w:b w:val="1"/>
                <w:bCs w:val="1"/>
                <w:color w:val="auto"/>
                <w:w w:val="91"/>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64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5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1"/>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88"/>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11"/>
                <w:szCs w:val="11"/>
                <w:color w:val="auto"/>
              </w:rPr>
            </w:pPr>
          </w:p>
        </w:tc>
        <w:tc>
          <w:tcPr>
            <w:tcW w:w="560" w:type="dxa"/>
            <w:vAlign w:val="bottom"/>
            <w:gridSpan w:val="3"/>
          </w:tcPr>
          <w:p>
            <w:pPr>
              <w:jc w:val="right"/>
              <w:ind w:right="68"/>
              <w:spacing w:after="0"/>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spacing w:after="0"/>
              <w:rPr>
                <w:sz w:val="20"/>
                <w:szCs w:val="20"/>
                <w:color w:val="auto"/>
              </w:rPr>
            </w:pPr>
            <w:r>
              <w:rPr>
                <w:rFonts w:ascii="Arial" w:cs="Arial" w:eastAsia="Arial" w:hAnsi="Arial"/>
                <w:sz w:val="10"/>
                <w:szCs w:val="10"/>
                <w:b w:val="1"/>
                <w:bCs w:val="1"/>
                <w:color w:val="auto"/>
              </w:rPr>
              <w:t>Retained</w:t>
            </w:r>
          </w:p>
        </w:tc>
        <w:tc>
          <w:tcPr>
            <w:tcW w:w="20" w:type="dxa"/>
            <w:vAlign w:val="bottom"/>
          </w:tcPr>
          <w:p>
            <w:pPr>
              <w:spacing w:after="0"/>
              <w:rPr>
                <w:sz w:val="11"/>
                <w:szCs w:val="11"/>
                <w:color w:val="auto"/>
              </w:rPr>
            </w:pPr>
          </w:p>
        </w:tc>
        <w:tc>
          <w:tcPr>
            <w:tcW w:w="760" w:type="dxa"/>
            <w:vAlign w:val="bottom"/>
            <w:gridSpan w:val="5"/>
          </w:tcPr>
          <w:p>
            <w:pPr>
              <w:jc w:val="right"/>
              <w:ind w:right="68"/>
              <w:spacing w:after="0"/>
              <w:rPr>
                <w:sz w:val="20"/>
                <w:szCs w:val="20"/>
                <w:color w:val="auto"/>
              </w:rPr>
            </w:pPr>
            <w:r>
              <w:rPr>
                <w:rFonts w:ascii="Arial" w:cs="Arial" w:eastAsia="Arial" w:hAnsi="Arial"/>
                <w:sz w:val="10"/>
                <w:szCs w:val="10"/>
                <w:b w:val="1"/>
                <w:bCs w:val="1"/>
                <w:color w:val="auto"/>
                <w:w w:val="94"/>
              </w:rPr>
              <w:t>Stockholders'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34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Total Units</w:t>
            </w:r>
          </w:p>
        </w:tc>
        <w:tc>
          <w:tcPr>
            <w:tcW w:w="60" w:type="dxa"/>
            <w:vAlign w:val="bottom"/>
          </w:tcPr>
          <w:p>
            <w:pPr>
              <w:spacing w:after="0"/>
              <w:rPr>
                <w:sz w:val="11"/>
                <w:szCs w:val="11"/>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w w:val="87"/>
              </w:rPr>
              <w:t>Amounts</w:t>
            </w: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60" w:type="dxa"/>
            <w:vAlign w:val="bottom"/>
            <w:gridSpan w:val="3"/>
          </w:tcPr>
          <w:p>
            <w:pPr>
              <w:jc w:val="right"/>
              <w:spacing w:after="0"/>
              <w:rPr>
                <w:sz w:val="20"/>
                <w:szCs w:val="20"/>
                <w:color w:val="auto"/>
              </w:rPr>
            </w:pPr>
            <w:r>
              <w:rPr>
                <w:rFonts w:ascii="Arial" w:cs="Arial" w:eastAsia="Arial" w:hAnsi="Arial"/>
                <w:sz w:val="10"/>
                <w:szCs w:val="10"/>
                <w:b w:val="1"/>
                <w:bCs w:val="1"/>
                <w:color w:val="auto"/>
                <w:w w:val="96"/>
              </w:rPr>
              <w:t>Total Units</w:t>
            </w:r>
          </w:p>
        </w:tc>
        <w:tc>
          <w:tcPr>
            <w:tcW w:w="80" w:type="dxa"/>
            <w:vAlign w:val="bottom"/>
          </w:tcPr>
          <w:p>
            <w:pPr>
              <w:spacing w:after="0"/>
              <w:rPr>
                <w:sz w:val="11"/>
                <w:szCs w:val="11"/>
                <w:color w:val="auto"/>
              </w:rPr>
            </w:pPr>
          </w:p>
        </w:tc>
        <w:tc>
          <w:tcPr>
            <w:tcW w:w="560" w:type="dxa"/>
            <w:vAlign w:val="bottom"/>
            <w:gridSpan w:val="4"/>
          </w:tcPr>
          <w:p>
            <w:pPr>
              <w:jc w:val="right"/>
              <w:ind w:right="28"/>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11"/>
                <w:szCs w:val="11"/>
                <w:color w:val="auto"/>
              </w:rPr>
            </w:pPr>
          </w:p>
        </w:tc>
        <w:tc>
          <w:tcPr>
            <w:tcW w:w="500" w:type="dxa"/>
            <w:vAlign w:val="bottom"/>
            <w:gridSpan w:val="4"/>
          </w:tcPr>
          <w:p>
            <w:pPr>
              <w:jc w:val="center"/>
              <w:spacing w:after="0"/>
              <w:rPr>
                <w:sz w:val="20"/>
                <w:szCs w:val="20"/>
                <w:color w:val="auto"/>
              </w:rPr>
            </w:pPr>
            <w:r>
              <w:rPr>
                <w:rFonts w:ascii="Arial" w:cs="Arial" w:eastAsia="Arial" w:hAnsi="Arial"/>
                <w:sz w:val="10"/>
                <w:szCs w:val="10"/>
                <w:b w:val="1"/>
                <w:bCs w:val="1"/>
                <w:color w:val="auto"/>
                <w:w w:val="89"/>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11"/>
                <w:szCs w:val="11"/>
                <w:color w:val="auto"/>
              </w:rPr>
            </w:pP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96"/>
              </w:rPr>
              <w:t>Amounts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jc w:val="right"/>
              <w:ind w:right="8"/>
              <w:spacing w:after="0"/>
              <w:rPr>
                <w:sz w:val="20"/>
                <w:szCs w:val="20"/>
                <w:color w:val="auto"/>
              </w:rPr>
            </w:pPr>
            <w:r>
              <w:rPr>
                <w:rFonts w:ascii="Arial" w:cs="Arial" w:eastAsia="Arial" w:hAnsi="Arial"/>
                <w:sz w:val="10"/>
                <w:szCs w:val="10"/>
                <w:b w:val="1"/>
                <w:bCs w:val="1"/>
                <w:color w:val="auto"/>
                <w:w w:val="96"/>
              </w:rPr>
              <w:t>Amounts</w:t>
            </w:r>
          </w:p>
        </w:tc>
        <w:tc>
          <w:tcPr>
            <w:tcW w:w="80" w:type="dxa"/>
            <w:vAlign w:val="bottom"/>
          </w:tcPr>
          <w:p>
            <w:pPr>
              <w:spacing w:after="0"/>
              <w:rPr>
                <w:sz w:val="11"/>
                <w:szCs w:val="11"/>
                <w:color w:val="auto"/>
              </w:rPr>
            </w:pPr>
          </w:p>
        </w:tc>
        <w:tc>
          <w:tcPr>
            <w:tcW w:w="560" w:type="dxa"/>
            <w:vAlign w:val="bottom"/>
            <w:gridSpan w:val="3"/>
          </w:tcPr>
          <w:p>
            <w:pPr>
              <w:jc w:val="right"/>
              <w:ind w:right="68"/>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spacing w:after="0"/>
              <w:rPr>
                <w:sz w:val="20"/>
                <w:szCs w:val="20"/>
                <w:color w:val="auto"/>
              </w:rPr>
            </w:pPr>
            <w:r>
              <w:rPr>
                <w:rFonts w:ascii="Arial" w:cs="Arial" w:eastAsia="Arial" w:hAnsi="Arial"/>
                <w:sz w:val="10"/>
                <w:szCs w:val="10"/>
                <w:b w:val="1"/>
                <w:bCs w:val="1"/>
                <w:color w:val="auto"/>
              </w:rPr>
              <w:t>Earnings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8"/>
              <w:spacing w:after="0"/>
              <w:rPr>
                <w:sz w:val="20"/>
                <w:szCs w:val="20"/>
                <w:color w:val="auto"/>
              </w:rPr>
            </w:pPr>
            <w:r>
              <w:rPr>
                <w:rFonts w:ascii="Arial" w:cs="Arial" w:eastAsia="Arial" w:hAnsi="Arial"/>
                <w:sz w:val="10"/>
                <w:szCs w:val="10"/>
                <w:b w:val="1"/>
                <w:bCs w:val="1"/>
                <w:color w:val="auto"/>
              </w:rPr>
              <w:t>Equity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Amounts</w:t>
            </w:r>
          </w:p>
        </w:tc>
        <w:tc>
          <w:tcPr>
            <w:tcW w:w="60" w:type="dxa"/>
            <w:vAlign w:val="bottom"/>
          </w:tcPr>
          <w:p>
            <w:pPr>
              <w:spacing w:after="0"/>
              <w:rPr>
                <w:sz w:val="11"/>
                <w:szCs w:val="11"/>
                <w:color w:val="auto"/>
              </w:rPr>
            </w:pPr>
          </w:p>
        </w:tc>
        <w:tc>
          <w:tcPr>
            <w:tcW w:w="720" w:type="dxa"/>
            <w:vAlign w:val="bottom"/>
            <w:gridSpan w:val="3"/>
          </w:tcPr>
          <w:p>
            <w:pPr>
              <w:jc w:val="right"/>
              <w:ind w:right="3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34"/>
        </w:trPr>
        <w:tc>
          <w:tcPr>
            <w:tcW w:w="106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9"/>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gridSpan w:val="1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Balance, July 1, 2021</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9"/>
              </w:rPr>
              <w:t>32,435,595</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250,746</w:t>
            </w:r>
          </w:p>
        </w:tc>
        <w:tc>
          <w:tcPr>
            <w:tcW w:w="120" w:type="dxa"/>
            <w:vAlign w:val="bottom"/>
            <w:tcBorders>
              <w:bottom w:val="single" w:sz="8" w:color="CCEEFF"/>
              <w:right w:val="single" w:sz="8" w:color="auto"/>
            </w:tcBorders>
            <w:gridSpan w:val="2"/>
            <w:shd w:val="clear" w:color="auto" w:fill="CCEEFF"/>
          </w:tcPr>
          <w:p>
            <w:pPr>
              <w:spacing w:after="0"/>
              <w:rPr>
                <w:sz w:val="13"/>
                <w:szCs w:val="13"/>
                <w:color w:val="auto"/>
              </w:rPr>
            </w:pPr>
          </w:p>
        </w:tc>
        <w:tc>
          <w:tcPr>
            <w:tcW w:w="5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5"/>
              </w:rPr>
              <w:t>53,235,187</w:t>
            </w: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93"/>
              </w:rPr>
              <w:t>(277,342)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97"/>
              </w:rPr>
              <w:t>$ (277,342)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60" w:type="dxa"/>
            <w:vAlign w:val="bottom"/>
            <w:tcBorders>
              <w:right w:val="single" w:sz="8" w:color="auto"/>
            </w:tcBorders>
            <w:gridSpan w:val="9"/>
          </w:tcPr>
          <w:p>
            <w:pPr>
              <w:ind w:left="20"/>
              <w:spacing w:after="0"/>
              <w:rPr>
                <w:sz w:val="20"/>
                <w:szCs w:val="20"/>
                <w:color w:val="auto"/>
              </w:rPr>
            </w:pPr>
            <w:r>
              <w:rPr>
                <w:rFonts w:ascii="Arial" w:cs="Arial" w:eastAsia="Arial" w:hAnsi="Arial"/>
                <w:sz w:val="10"/>
                <w:szCs w:val="10"/>
                <w:color w:val="auto"/>
              </w:rPr>
              <w:t>Tax distributions to</w:t>
            </w:r>
          </w:p>
        </w:tc>
        <w:tc>
          <w:tcPr>
            <w:tcW w:w="7820" w:type="dxa"/>
            <w:vAlign w:val="bottom"/>
            <w:gridSpan w:val="53"/>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(1,697)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members</w:t>
            </w:r>
          </w:p>
        </w:tc>
        <w:tc>
          <w:tcPr>
            <w:tcW w:w="720" w:type="dxa"/>
            <w:vAlign w:val="bottom"/>
            <w:gridSpan w:val="3"/>
          </w:tcPr>
          <w:p>
            <w:pPr>
              <w:jc w:val="right"/>
              <w:ind w:right="148"/>
              <w:spacing w:after="0"/>
              <w:rPr>
                <w:sz w:val="20"/>
                <w:szCs w:val="20"/>
                <w:color w:val="auto"/>
              </w:rPr>
            </w:pPr>
            <w:r>
              <w:rPr>
                <w:rFonts w:ascii="Arial" w:cs="Arial" w:eastAsia="Arial" w:hAnsi="Arial"/>
                <w:sz w:val="10"/>
                <w:szCs w:val="10"/>
                <w:color w:val="auto"/>
              </w:rPr>
              <w:t>—</w:t>
            </w:r>
          </w:p>
        </w:tc>
        <w:tc>
          <w:tcPr>
            <w:tcW w:w="58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0"/>
                <w:szCs w:val="10"/>
                <w:color w:val="auto"/>
              </w:rPr>
              <w:t>(1,100)</w:t>
            </w:r>
          </w:p>
        </w:tc>
        <w:tc>
          <w:tcPr>
            <w:tcW w:w="760" w:type="dxa"/>
            <w:vAlign w:val="bottom"/>
            <w:gridSpan w:val="5"/>
          </w:tcPr>
          <w:p>
            <w:pPr>
              <w:spacing w:after="0"/>
              <w:rPr>
                <w:sz w:val="20"/>
                <w:szCs w:val="20"/>
                <w:color w:val="auto"/>
              </w:rPr>
            </w:pPr>
            <w:r>
              <w:rPr>
                <w:rFonts w:ascii="Arial" w:cs="Arial" w:eastAsia="Arial" w:hAnsi="Arial"/>
                <w:sz w:val="10"/>
                <w:szCs w:val="10"/>
                <w:color w:val="auto"/>
              </w:rPr>
              <w:t>—</w:t>
            </w:r>
          </w:p>
        </w:tc>
        <w:tc>
          <w:tcPr>
            <w:tcW w:w="7060" w:type="dxa"/>
            <w:vAlign w:val="bottom"/>
            <w:gridSpan w:val="48"/>
          </w:tcPr>
          <w:p>
            <w:pPr>
              <w:jc w:val="right"/>
              <w:ind w:right="6588"/>
              <w:spacing w:after="0"/>
              <w:rPr>
                <w:sz w:val="20"/>
                <w:szCs w:val="20"/>
                <w:color w:val="auto"/>
              </w:rPr>
            </w:pPr>
            <w:r>
              <w:rPr>
                <w:rFonts w:ascii="Arial" w:cs="Arial" w:eastAsia="Arial" w:hAnsi="Arial"/>
                <w:sz w:val="10"/>
                <w:szCs w:val="10"/>
                <w:color w:val="auto"/>
              </w:rPr>
              <w:t>(1,697)</w:t>
            </w:r>
          </w:p>
        </w:tc>
        <w:tc>
          <w:tcPr>
            <w:tcW w:w="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360" w:type="dxa"/>
            <w:vAlign w:val="bottom"/>
            <w:tcBorders>
              <w:right w:val="single" w:sz="8" w:color="auto"/>
            </w:tcBorders>
            <w:gridSpan w:val="9"/>
          </w:tcPr>
          <w:p>
            <w:pPr>
              <w:spacing w:after="0"/>
              <w:rPr>
                <w:sz w:val="2"/>
                <w:szCs w:val="2"/>
                <w:color w:val="auto"/>
              </w:rPr>
            </w:pPr>
          </w:p>
        </w:tc>
        <w:tc>
          <w:tcPr>
            <w:tcW w:w="8460" w:type="dxa"/>
            <w:vAlign w:val="bottom"/>
            <w:gridSpan w:val="5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Vested Class M Units</w:t>
            </w:r>
          </w:p>
        </w:tc>
        <w:tc>
          <w:tcPr>
            <w:tcW w:w="740" w:type="dxa"/>
            <w:vAlign w:val="bottom"/>
            <w:tcBorders>
              <w:bottom w:val="single" w:sz="8" w:color="CCEEFF"/>
            </w:tcBorders>
            <w:gridSpan w:val="4"/>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EEFF"/>
            </w:tcBorders>
            <w:gridSpan w:val="7"/>
            <w:shd w:val="clear" w:color="auto" w:fill="CCEEFF"/>
          </w:tcPr>
          <w:p>
            <w:pPr>
              <w:jc w:val="right"/>
              <w:ind w:right="808"/>
              <w:spacing w:after="0"/>
              <w:rPr>
                <w:sz w:val="20"/>
                <w:szCs w:val="20"/>
                <w:color w:val="auto"/>
              </w:rPr>
            </w:pPr>
            <w:r>
              <w:rPr>
                <w:rFonts w:ascii="Arial" w:cs="Arial" w:eastAsia="Arial" w:hAnsi="Arial"/>
                <w:sz w:val="10"/>
                <w:szCs w:val="10"/>
                <w:color w:val="auto"/>
              </w:rPr>
              <w:t>91,913</w:t>
            </w:r>
          </w:p>
        </w:tc>
        <w:tc>
          <w:tcPr>
            <w:tcW w:w="6960" w:type="dxa"/>
            <w:vAlign w:val="bottom"/>
            <w:tcBorders>
              <w:bottom w:val="single" w:sz="8" w:color="CCEEFF"/>
            </w:tcBorders>
            <w:gridSpan w:val="46"/>
            <w:shd w:val="clear" w:color="auto" w:fill="CCEEFF"/>
          </w:tcPr>
          <w:p>
            <w:pPr>
              <w:jc w:val="right"/>
              <w:ind w:right="6628"/>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60" w:type="dxa"/>
            <w:vAlign w:val="bottom"/>
            <w:tcBorders>
              <w:right w:val="single" w:sz="8" w:color="auto"/>
            </w:tcBorders>
            <w:gridSpan w:val="9"/>
          </w:tcPr>
          <w:p>
            <w:pPr>
              <w:ind w:left="20"/>
              <w:spacing w:after="0"/>
              <w:rPr>
                <w:sz w:val="20"/>
                <w:szCs w:val="20"/>
                <w:color w:val="auto"/>
              </w:rPr>
            </w:pPr>
            <w:r>
              <w:rPr>
                <w:rFonts w:ascii="Arial" w:cs="Arial" w:eastAsia="Arial" w:hAnsi="Arial"/>
                <w:sz w:val="10"/>
                <w:szCs w:val="10"/>
                <w:color w:val="auto"/>
              </w:rPr>
              <w:t>Equity-based</w:t>
            </w:r>
          </w:p>
        </w:tc>
        <w:tc>
          <w:tcPr>
            <w:tcW w:w="7820" w:type="dxa"/>
            <w:vAlign w:val="bottom"/>
            <w:gridSpan w:val="53"/>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compensation</w:t>
            </w:r>
          </w:p>
        </w:tc>
        <w:tc>
          <w:tcPr>
            <w:tcW w:w="740" w:type="dxa"/>
            <w:vAlign w:val="bottom"/>
            <w:gridSpan w:val="4"/>
          </w:tcPr>
          <w:p>
            <w:pPr>
              <w:jc w:val="right"/>
              <w:ind w:right="168"/>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gridSpan w:val="5"/>
          </w:tcPr>
          <w:p>
            <w:pPr>
              <w:spacing w:after="0"/>
              <w:rPr>
                <w:sz w:val="20"/>
                <w:szCs w:val="20"/>
                <w:color w:val="auto"/>
              </w:rPr>
            </w:pPr>
            <w:r>
              <w:rPr>
                <w:rFonts w:ascii="Arial" w:cs="Arial" w:eastAsia="Arial" w:hAnsi="Arial"/>
                <w:sz w:val="10"/>
                <w:szCs w:val="10"/>
                <w:color w:val="auto"/>
              </w:rPr>
              <w:t>—</w:t>
            </w:r>
          </w:p>
        </w:tc>
        <w:tc>
          <w:tcPr>
            <w:tcW w:w="7060" w:type="dxa"/>
            <w:vAlign w:val="bottom"/>
            <w:gridSpan w:val="48"/>
          </w:tcPr>
          <w:p>
            <w:pPr>
              <w:jc w:val="right"/>
              <w:ind w:right="6628"/>
              <w:spacing w:after="0"/>
              <w:rPr>
                <w:sz w:val="20"/>
                <w:szCs w:val="20"/>
                <w:color w:val="auto"/>
              </w:rPr>
            </w:pPr>
            <w:r>
              <w:rPr>
                <w:rFonts w:ascii="Arial" w:cs="Arial" w:eastAsia="Arial" w:hAnsi="Arial"/>
                <w:sz w:val="10"/>
                <w:szCs w:val="10"/>
                <w:color w:val="auto"/>
              </w:rPr>
              <w:t>58</w:t>
            </w:r>
          </w:p>
        </w:tc>
        <w:tc>
          <w:tcPr>
            <w:tcW w:w="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360" w:type="dxa"/>
            <w:vAlign w:val="bottom"/>
            <w:tcBorders>
              <w:right w:val="single" w:sz="8" w:color="auto"/>
            </w:tcBorders>
            <w:gridSpan w:val="9"/>
          </w:tcPr>
          <w:p>
            <w:pPr>
              <w:spacing w:after="0"/>
              <w:rPr>
                <w:sz w:val="2"/>
                <w:szCs w:val="2"/>
                <w:color w:val="auto"/>
              </w:rPr>
            </w:pPr>
          </w:p>
        </w:tc>
        <w:tc>
          <w:tcPr>
            <w:tcW w:w="8460" w:type="dxa"/>
            <w:vAlign w:val="bottom"/>
            <w:gridSpan w:val="5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rPr>
              <w:t>Net income prior to</w:t>
            </w:r>
          </w:p>
        </w:tc>
        <w:tc>
          <w:tcPr>
            <w:tcW w:w="8460" w:type="dxa"/>
            <w:vAlign w:val="bottom"/>
            <w:gridSpan w:val="5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rPr>
              <w:t>Reorganization</w:t>
            </w:r>
          </w:p>
        </w:tc>
        <w:tc>
          <w:tcPr>
            <w:tcW w:w="7820" w:type="dxa"/>
            <w:vAlign w:val="bottom"/>
            <w:gridSpan w:val="53"/>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1,893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Transactions and IPO</w:t>
            </w:r>
          </w:p>
        </w:tc>
        <w:tc>
          <w:tcPr>
            <w:tcW w:w="7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righ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0"/>
                <w:szCs w:val="10"/>
                <w:color w:val="auto"/>
              </w:rPr>
              <w:t>1,214</w:t>
            </w:r>
          </w:p>
        </w:tc>
        <w:tc>
          <w:tcPr>
            <w:tcW w:w="7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7060" w:type="dxa"/>
            <w:vAlign w:val="bottom"/>
            <w:tcBorders>
              <w:bottom w:val="single" w:sz="8" w:color="CCEEFF"/>
            </w:tcBorders>
            <w:gridSpan w:val="48"/>
            <w:shd w:val="clear" w:color="auto" w:fill="CCEEFF"/>
          </w:tcPr>
          <w:p>
            <w:pPr>
              <w:jc w:val="right"/>
              <w:ind w:right="6628"/>
              <w:spacing w:after="0"/>
              <w:rPr>
                <w:sz w:val="20"/>
                <w:szCs w:val="20"/>
                <w:color w:val="auto"/>
              </w:rPr>
            </w:pPr>
            <w:r>
              <w:rPr>
                <w:rFonts w:ascii="Arial" w:cs="Arial" w:eastAsia="Arial" w:hAnsi="Arial"/>
                <w:sz w:val="10"/>
                <w:szCs w:val="10"/>
                <w:color w:val="auto"/>
              </w:rPr>
              <w:t>1,893</w:t>
            </w: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60" w:type="dxa"/>
            <w:vAlign w:val="bottom"/>
            <w:tcBorders>
              <w:right w:val="single" w:sz="8" w:color="auto"/>
            </w:tcBorders>
            <w:gridSpan w:val="9"/>
          </w:tcPr>
          <w:p>
            <w:pPr>
              <w:ind w:left="20"/>
              <w:spacing w:after="0"/>
              <w:rPr>
                <w:sz w:val="20"/>
                <w:szCs w:val="20"/>
                <w:color w:val="auto"/>
              </w:rPr>
            </w:pPr>
            <w:r>
              <w:rPr>
                <w:rFonts w:ascii="Arial" w:cs="Arial" w:eastAsia="Arial" w:hAnsi="Arial"/>
                <w:sz w:val="10"/>
                <w:szCs w:val="10"/>
                <w:color w:val="auto"/>
              </w:rPr>
              <w:t>Adjustment of</w:t>
            </w:r>
          </w:p>
        </w:tc>
        <w:tc>
          <w:tcPr>
            <w:tcW w:w="8460" w:type="dxa"/>
            <w:vAlign w:val="bottom"/>
            <w:gridSpan w:val="55"/>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60" w:type="dxa"/>
            <w:vAlign w:val="bottom"/>
            <w:tcBorders>
              <w:right w:val="single" w:sz="8" w:color="auto"/>
            </w:tcBorders>
            <w:gridSpan w:val="9"/>
          </w:tcPr>
          <w:p>
            <w:pPr>
              <w:ind w:left="20"/>
              <w:spacing w:after="0"/>
              <w:rPr>
                <w:sz w:val="20"/>
                <w:szCs w:val="20"/>
                <w:color w:val="auto"/>
              </w:rPr>
            </w:pPr>
            <w:r>
              <w:rPr>
                <w:rFonts w:ascii="Arial" w:cs="Arial" w:eastAsia="Arial" w:hAnsi="Arial"/>
                <w:sz w:val="10"/>
                <w:szCs w:val="10"/>
                <w:color w:val="auto"/>
                <w:w w:val="98"/>
              </w:rPr>
              <w:t>redeemable convertible</w:t>
            </w:r>
          </w:p>
        </w:tc>
        <w:tc>
          <w:tcPr>
            <w:tcW w:w="8460" w:type="dxa"/>
            <w:vAlign w:val="bottom"/>
            <w:gridSpan w:val="5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Borders>
              <w:right w:val="single" w:sz="8" w:color="auto"/>
            </w:tcBorders>
            <w:gridSpan w:val="9"/>
          </w:tcPr>
          <w:p>
            <w:pPr>
              <w:ind w:left="20"/>
              <w:spacing w:after="0"/>
              <w:rPr>
                <w:sz w:val="20"/>
                <w:szCs w:val="20"/>
                <w:color w:val="auto"/>
              </w:rPr>
            </w:pPr>
            <w:r>
              <w:rPr>
                <w:rFonts w:ascii="Arial" w:cs="Arial" w:eastAsia="Arial" w:hAnsi="Arial"/>
                <w:sz w:val="10"/>
                <w:szCs w:val="10"/>
                <w:color w:val="auto"/>
              </w:rPr>
              <w:t>preferred units to</w:t>
            </w:r>
          </w:p>
        </w:tc>
        <w:tc>
          <w:tcPr>
            <w:tcW w:w="7680" w:type="dxa"/>
            <w:vAlign w:val="bottom"/>
            <w:gridSpan w:val="51"/>
          </w:tcPr>
          <w:p>
            <w:pPr>
              <w:spacing w:after="0"/>
              <w:rPr>
                <w:sz w:val="11"/>
                <w:szCs w:val="11"/>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(138,367)</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redemption value</w:t>
            </w:r>
          </w:p>
        </w:tc>
        <w:tc>
          <w:tcPr>
            <w:tcW w:w="720" w:type="dxa"/>
            <w:vAlign w:val="bottom"/>
            <w:gridSpan w:val="3"/>
          </w:tcPr>
          <w:p>
            <w:pPr>
              <w:jc w:val="right"/>
              <w:ind w:right="148"/>
              <w:spacing w:after="0"/>
              <w:rPr>
                <w:sz w:val="20"/>
                <w:szCs w:val="20"/>
                <w:color w:val="auto"/>
              </w:rPr>
            </w:pPr>
            <w:r>
              <w:rPr>
                <w:rFonts w:ascii="Arial" w:cs="Arial" w:eastAsia="Arial" w:hAnsi="Arial"/>
                <w:sz w:val="10"/>
                <w:szCs w:val="10"/>
                <w:color w:val="auto"/>
              </w:rPr>
              <w:t>—</w:t>
            </w:r>
          </w:p>
        </w:tc>
        <w:tc>
          <w:tcPr>
            <w:tcW w:w="580" w:type="dxa"/>
            <w:vAlign w:val="bottom"/>
            <w:tcBorders>
              <w:right w:val="single" w:sz="8" w:color="auto"/>
            </w:tcBorders>
            <w:gridSpan w:val="4"/>
          </w:tcPr>
          <w:p>
            <w:pPr>
              <w:jc w:val="right"/>
              <w:ind w:right="160"/>
              <w:spacing w:after="0"/>
              <w:rPr>
                <w:sz w:val="20"/>
                <w:szCs w:val="20"/>
                <w:color w:val="auto"/>
              </w:rPr>
            </w:pPr>
            <w:r>
              <w:rPr>
                <w:rFonts w:ascii="Arial" w:cs="Arial" w:eastAsia="Arial" w:hAnsi="Arial"/>
                <w:sz w:val="10"/>
                <w:szCs w:val="10"/>
                <w:color w:val="auto"/>
              </w:rPr>
              <w:t>138,367</w:t>
            </w:r>
          </w:p>
        </w:tc>
        <w:tc>
          <w:tcPr>
            <w:tcW w:w="760" w:type="dxa"/>
            <w:vAlign w:val="bottom"/>
            <w:gridSpan w:val="5"/>
          </w:tcPr>
          <w:p>
            <w:pPr>
              <w:spacing w:after="0"/>
              <w:rPr>
                <w:sz w:val="20"/>
                <w:szCs w:val="20"/>
                <w:color w:val="auto"/>
              </w:rPr>
            </w:pPr>
            <w:r>
              <w:rPr>
                <w:rFonts w:ascii="Arial" w:cs="Arial" w:eastAsia="Arial" w:hAnsi="Arial"/>
                <w:sz w:val="10"/>
                <w:szCs w:val="10"/>
                <w:color w:val="auto"/>
              </w:rPr>
              <w:t>—</w:t>
            </w:r>
          </w:p>
        </w:tc>
        <w:tc>
          <w:tcPr>
            <w:tcW w:w="6920" w:type="dxa"/>
            <w:vAlign w:val="bottom"/>
            <w:gridSpan w:val="46"/>
          </w:tcPr>
          <w:p>
            <w:pPr>
              <w:jc w:val="right"/>
              <w:ind w:right="6500"/>
              <w:spacing w:after="0"/>
              <w:rPr>
                <w:sz w:val="20"/>
                <w:szCs w:val="20"/>
                <w:color w:val="auto"/>
              </w:rPr>
            </w:pPr>
            <w:r>
              <w:rPr>
                <w:rFonts w:ascii="Arial" w:cs="Arial" w:eastAsia="Arial" w:hAnsi="Arial"/>
                <w:sz w:val="10"/>
                <w:szCs w:val="10"/>
                <w:color w:val="auto"/>
                <w:w w:val="93"/>
              </w:rPr>
              <w:t>(138,367)</w:t>
            </w:r>
          </w:p>
        </w:tc>
        <w:tc>
          <w:tcPr>
            <w:tcW w:w="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360" w:type="dxa"/>
            <w:vAlign w:val="bottom"/>
            <w:tcBorders>
              <w:right w:val="single" w:sz="8" w:color="auto"/>
            </w:tcBorders>
            <w:gridSpan w:val="9"/>
          </w:tcPr>
          <w:p>
            <w:pPr>
              <w:spacing w:after="0"/>
              <w:rPr>
                <w:sz w:val="2"/>
                <w:szCs w:val="2"/>
                <w:color w:val="auto"/>
              </w:rPr>
            </w:pPr>
          </w:p>
        </w:tc>
        <w:tc>
          <w:tcPr>
            <w:tcW w:w="8460" w:type="dxa"/>
            <w:vAlign w:val="bottom"/>
            <w:gridSpan w:val="5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rPr>
              <w:t>Reorganization</w:t>
            </w:r>
          </w:p>
        </w:tc>
        <w:tc>
          <w:tcPr>
            <w:tcW w:w="7680" w:type="dxa"/>
            <w:vAlign w:val="bottom"/>
            <w:gridSpan w:val="51"/>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93"/>
              </w:rPr>
              <w:t>395,651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Transactions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(32,435,595)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(389,227)</w:t>
            </w:r>
          </w:p>
        </w:tc>
        <w:tc>
          <w:tcPr>
            <w:tcW w:w="120" w:type="dxa"/>
            <w:vAlign w:val="bottom"/>
            <w:tcBorders>
              <w:bottom w:val="single" w:sz="8" w:color="CCEEFF"/>
              <w:right w:val="single" w:sz="8" w:color="auto"/>
            </w:tcBorders>
            <w:gridSpan w:val="2"/>
            <w:shd w:val="clear" w:color="auto" w:fill="CCEEFF"/>
          </w:tcPr>
          <w:p>
            <w:pPr>
              <w:spacing w:after="0"/>
              <w:rPr>
                <w:sz w:val="12"/>
                <w:szCs w:val="12"/>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91"/>
              </w:rPr>
              <w:t>(53,327,100)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0"/>
                <w:szCs w:val="10"/>
                <w:color w:val="auto"/>
                <w:w w:val="99"/>
              </w:rPr>
              <w:t>415,455</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9"/>
              </w:rPr>
              <w:t>—</w:t>
            </w:r>
          </w:p>
        </w:tc>
        <w:tc>
          <w:tcPr>
            <w:tcW w:w="44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36,064,421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0"/>
                <w:szCs w:val="10"/>
                <w:color w:val="auto"/>
                <w:w w:val="99"/>
              </w:rPr>
              <w:t>50,232,863</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3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(19,813)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gridSpan w:val="2"/>
            <w:vMerge w:val="continue"/>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IPO Transactions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580" w:type="dxa"/>
            <w:vAlign w:val="bottom"/>
            <w:gridSpan w:val="5"/>
          </w:tcPr>
          <w:p>
            <w:pPr>
              <w:jc w:val="right"/>
              <w:spacing w:after="0"/>
              <w:rPr>
                <w:sz w:val="20"/>
                <w:szCs w:val="20"/>
                <w:color w:val="auto"/>
              </w:rPr>
            </w:pPr>
            <w:r>
              <w:rPr>
                <w:rFonts w:ascii="Arial" w:cs="Arial" w:eastAsia="Arial" w:hAnsi="Arial"/>
                <w:sz w:val="10"/>
                <w:szCs w:val="10"/>
                <w:color w:val="auto"/>
              </w:rPr>
              <w:t>9,583,332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1</w:t>
            </w:r>
          </w:p>
        </w:tc>
        <w:tc>
          <w:tcPr>
            <w:tcW w:w="640" w:type="dxa"/>
            <w:vAlign w:val="bottom"/>
            <w:gridSpan w:val="2"/>
          </w:tcPr>
          <w:p>
            <w:pPr>
              <w:ind w:left="220"/>
              <w:spacing w:after="0"/>
              <w:rPr>
                <w:sz w:val="20"/>
                <w:szCs w:val="20"/>
                <w:color w:val="auto"/>
              </w:rPr>
            </w:pPr>
            <w:r>
              <w:rPr>
                <w:rFonts w:ascii="Arial" w:cs="Arial" w:eastAsia="Arial" w:hAnsi="Arial"/>
                <w:sz w:val="10"/>
                <w:szCs w:val="10"/>
                <w:color w:val="auto"/>
                <w:w w:val="93"/>
              </w:rPr>
              <w:t>(522,386)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0"/>
                <w:szCs w:val="10"/>
                <w:color w:val="auto"/>
                <w:w w:val="98"/>
              </w:rPr>
              <w:t>(727,613)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0"/>
                <w:szCs w:val="10"/>
                <w:color w:val="auto"/>
                <w:w w:val="87"/>
              </w:rPr>
              <w:t>5,936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0"/>
                <w:szCs w:val="10"/>
                <w:color w:val="auto"/>
              </w:rPr>
              <w:t>5,937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81,917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87,854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360" w:type="dxa"/>
            <w:vAlign w:val="bottom"/>
            <w:tcBorders>
              <w:right w:val="single" w:sz="8" w:color="auto"/>
            </w:tcBorders>
            <w:gridSpan w:val="9"/>
          </w:tcPr>
          <w:p>
            <w:pPr>
              <w:spacing w:after="0"/>
              <w:rPr>
                <w:sz w:val="2"/>
                <w:szCs w:val="2"/>
                <w:color w:val="auto"/>
              </w:rPr>
            </w:pPr>
          </w:p>
        </w:tc>
        <w:tc>
          <w:tcPr>
            <w:tcW w:w="8460" w:type="dxa"/>
            <w:vAlign w:val="bottom"/>
            <w:gridSpan w:val="5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w w:val="97"/>
              </w:rPr>
              <w:t>Increase in deferred tax</w:t>
            </w:r>
          </w:p>
        </w:tc>
        <w:tc>
          <w:tcPr>
            <w:tcW w:w="8460" w:type="dxa"/>
            <w:vAlign w:val="bottom"/>
            <w:gridSpan w:val="5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rPr>
              <w:t>asset from step-up tax</w:t>
            </w:r>
          </w:p>
        </w:tc>
        <w:tc>
          <w:tcPr>
            <w:tcW w:w="8460" w:type="dxa"/>
            <w:vAlign w:val="bottom"/>
            <w:gridSpan w:val="5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rPr>
              <w:t>basis related to</w:t>
            </w:r>
          </w:p>
        </w:tc>
        <w:tc>
          <w:tcPr>
            <w:tcW w:w="8460" w:type="dxa"/>
            <w:vAlign w:val="bottom"/>
            <w:gridSpan w:val="5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Borders>
              <w:right w:val="single" w:sz="8" w:color="auto"/>
            </w:tcBorders>
            <w:gridSpan w:val="9"/>
            <w:shd w:val="clear" w:color="auto" w:fill="CCEEFF"/>
          </w:tcPr>
          <w:p>
            <w:pPr>
              <w:ind w:left="20"/>
              <w:spacing w:after="0"/>
              <w:rPr>
                <w:sz w:val="20"/>
                <w:szCs w:val="20"/>
                <w:color w:val="auto"/>
              </w:rPr>
            </w:pPr>
            <w:r>
              <w:rPr>
                <w:rFonts w:ascii="Arial" w:cs="Arial" w:eastAsia="Arial" w:hAnsi="Arial"/>
                <w:sz w:val="10"/>
                <w:szCs w:val="10"/>
                <w:color w:val="auto"/>
              </w:rPr>
              <w:t>redemption of LLC</w:t>
            </w:r>
          </w:p>
        </w:tc>
        <w:tc>
          <w:tcPr>
            <w:tcW w:w="8460" w:type="dxa"/>
            <w:vAlign w:val="bottom"/>
            <w:gridSpan w:val="5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5"/>
              </w:rPr>
              <w:t>Units and set-up of TRA</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80" w:type="dxa"/>
            <w:vAlign w:val="bottom"/>
            <w:gridSpan w:val="2"/>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right w:val="single" w:sz="8" w:color="auto"/>
            </w:tcBorders>
            <w:gridSpan w:val="2"/>
            <w:shd w:val="clear" w:color="auto" w:fill="CCEEFF"/>
          </w:tcPr>
          <w:p>
            <w:pPr>
              <w:spacing w:after="0"/>
              <w:rPr>
                <w:sz w:val="11"/>
                <w:szCs w:val="11"/>
                <w:color w:val="auto"/>
              </w:rPr>
            </w:pPr>
          </w:p>
        </w:tc>
        <w:tc>
          <w:tcPr>
            <w:tcW w:w="860" w:type="dxa"/>
            <w:vAlign w:val="bottom"/>
            <w:gridSpan w:val="7"/>
            <w:shd w:val="clear" w:color="auto" w:fill="CCEEFF"/>
          </w:tcPr>
          <w:p>
            <w:pPr>
              <w:spacing w:after="0"/>
              <w:rPr>
                <w:sz w:val="11"/>
                <w:szCs w:val="11"/>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620" w:type="dxa"/>
            <w:vAlign w:val="bottom"/>
            <w:gridSpan w:val="45"/>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456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liability</w:t>
            </w: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9"/>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456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456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LLC Units vesting</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w:t>
            </w:r>
          </w:p>
        </w:tc>
        <w:tc>
          <w:tcPr>
            <w:tcW w:w="80" w:type="dxa"/>
            <w:vAlign w:val="bottom"/>
            <w:gridSpan w:val="2"/>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right w:val="single" w:sz="8" w:color="auto"/>
            </w:tcBorders>
            <w:gridSpan w:val="2"/>
          </w:tcPr>
          <w:p>
            <w:pPr>
              <w:spacing w:after="0"/>
              <w:rPr>
                <w:sz w:val="12"/>
                <w:szCs w:val="12"/>
                <w:color w:val="auto"/>
              </w:rPr>
            </w:pPr>
          </w:p>
        </w:tc>
        <w:tc>
          <w:tcPr>
            <w:tcW w:w="860" w:type="dxa"/>
            <w:vAlign w:val="bottom"/>
            <w:gridSpan w:val="7"/>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6620" w:type="dxa"/>
            <w:vAlign w:val="bottom"/>
            <w:gridSpan w:val="45"/>
          </w:tcPr>
          <w:p>
            <w:pPr>
              <w:spacing w:after="0"/>
              <w:rPr>
                <w:sz w:val="12"/>
                <w:szCs w:val="12"/>
                <w:color w:val="auto"/>
              </w:rPr>
            </w:pPr>
          </w:p>
        </w:tc>
        <w:tc>
          <w:tcPr>
            <w:tcW w:w="640" w:type="dxa"/>
            <w:vAlign w:val="bottom"/>
            <w:gridSpan w:val="2"/>
            <w:vMerge w:val="restart"/>
          </w:tcPr>
          <w:p>
            <w:pPr>
              <w:jc w:val="right"/>
              <w:ind w:right="228"/>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0"/>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during period</w:t>
            </w: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34,365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jc w:val="right"/>
              <w:ind w:right="8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360" w:type="dxa"/>
            <w:vAlign w:val="bottom"/>
            <w:tcBorders>
              <w:right w:val="single" w:sz="8" w:color="auto"/>
            </w:tcBorders>
            <w:gridSpan w:val="9"/>
          </w:tcPr>
          <w:p>
            <w:pPr>
              <w:spacing w:after="0"/>
              <w:rPr>
                <w:sz w:val="2"/>
                <w:szCs w:val="2"/>
                <w:color w:val="auto"/>
              </w:rPr>
            </w:pPr>
          </w:p>
        </w:tc>
        <w:tc>
          <w:tcPr>
            <w:tcW w:w="8460" w:type="dxa"/>
            <w:vAlign w:val="bottom"/>
            <w:gridSpan w:val="5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0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Equity-based</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80" w:type="dxa"/>
            <w:vAlign w:val="bottom"/>
            <w:gridSpan w:val="2"/>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right w:val="single" w:sz="8" w:color="auto"/>
            </w:tcBorders>
            <w:gridSpan w:val="2"/>
            <w:shd w:val="clear" w:color="auto" w:fill="CCEEFF"/>
          </w:tcPr>
          <w:p>
            <w:pPr>
              <w:spacing w:after="0"/>
              <w:rPr>
                <w:sz w:val="12"/>
                <w:szCs w:val="12"/>
                <w:color w:val="auto"/>
              </w:rPr>
            </w:pPr>
          </w:p>
        </w:tc>
        <w:tc>
          <w:tcPr>
            <w:tcW w:w="860" w:type="dxa"/>
            <w:vAlign w:val="bottom"/>
            <w:gridSpan w:val="7"/>
            <w:shd w:val="clear" w:color="auto" w:fill="CCEEFF"/>
          </w:tcPr>
          <w:p>
            <w:pPr>
              <w:spacing w:after="0"/>
              <w:rPr>
                <w:sz w:val="12"/>
                <w:szCs w:val="12"/>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620" w:type="dxa"/>
            <w:vAlign w:val="bottom"/>
            <w:gridSpan w:val="45"/>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626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compensation</w:t>
            </w: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9"/>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620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620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60" w:type="dxa"/>
            <w:vAlign w:val="bottom"/>
            <w:tcBorders>
              <w:right w:val="single" w:sz="8" w:color="auto"/>
            </w:tcBorders>
            <w:gridSpan w:val="9"/>
          </w:tcPr>
          <w:p>
            <w:pPr>
              <w:ind w:left="20"/>
              <w:spacing w:after="0"/>
              <w:rPr>
                <w:sz w:val="20"/>
                <w:szCs w:val="20"/>
                <w:color w:val="auto"/>
              </w:rPr>
            </w:pPr>
            <w:r>
              <w:rPr>
                <w:rFonts w:ascii="Arial" w:cs="Arial" w:eastAsia="Arial" w:hAnsi="Arial"/>
                <w:sz w:val="10"/>
                <w:szCs w:val="10"/>
                <w:color w:val="auto"/>
                <w:w w:val="97"/>
              </w:rPr>
              <w:t>Net income subsequent</w:t>
            </w:r>
          </w:p>
        </w:tc>
        <w:tc>
          <w:tcPr>
            <w:tcW w:w="8460" w:type="dxa"/>
            <w:vAlign w:val="bottom"/>
            <w:gridSpan w:val="55"/>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to Reorganization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w:t>
            </w:r>
          </w:p>
        </w:tc>
        <w:tc>
          <w:tcPr>
            <w:tcW w:w="80" w:type="dxa"/>
            <w:vAlign w:val="bottom"/>
            <w:gridSpan w:val="2"/>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right w:val="single" w:sz="8" w:color="auto"/>
            </w:tcBorders>
            <w:gridSpan w:val="2"/>
          </w:tcPr>
          <w:p>
            <w:pPr>
              <w:spacing w:after="0"/>
              <w:rPr>
                <w:sz w:val="11"/>
                <w:szCs w:val="11"/>
                <w:color w:val="auto"/>
              </w:rPr>
            </w:pPr>
          </w:p>
        </w:tc>
        <w:tc>
          <w:tcPr>
            <w:tcW w:w="860" w:type="dxa"/>
            <w:vAlign w:val="bottom"/>
            <w:gridSpan w:val="7"/>
          </w:tcPr>
          <w:p>
            <w:pPr>
              <w:spacing w:after="0"/>
              <w:rPr>
                <w:sz w:val="11"/>
                <w:szCs w:val="11"/>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6620" w:type="dxa"/>
            <w:vAlign w:val="bottom"/>
            <w:gridSpan w:val="45"/>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855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gridSpan w:val="2"/>
          </w:tcPr>
          <w:p>
            <w:pPr>
              <w:ind w:left="20"/>
              <w:spacing w:after="0"/>
              <w:rPr>
                <w:sz w:val="20"/>
                <w:szCs w:val="20"/>
                <w:color w:val="auto"/>
              </w:rPr>
            </w:pPr>
            <w:r>
              <w:rPr>
                <w:rFonts w:ascii="Arial" w:cs="Arial" w:eastAsia="Arial" w:hAnsi="Arial"/>
                <w:sz w:val="10"/>
                <w:szCs w:val="10"/>
                <w:color w:val="auto"/>
              </w:rPr>
              <w:t>Transactions and IPO</w:t>
            </w: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6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Balance,</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580" w:type="dxa"/>
            <w:vAlign w:val="bottom"/>
            <w:gridSpan w:val="5"/>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9,583,332</w:t>
            </w:r>
          </w:p>
        </w:tc>
        <w:tc>
          <w:tcPr>
            <w:tcW w:w="440" w:type="dxa"/>
            <w:vAlign w:val="bottom"/>
            <w:gridSpan w:val="3"/>
            <w:vMerge w:val="restart"/>
            <w:shd w:val="clear" w:color="auto" w:fill="CCEEFF"/>
          </w:tcPr>
          <w:p>
            <w:pPr>
              <w:jc w:val="right"/>
              <w:ind w:right="208"/>
              <w:spacing w:after="0"/>
              <w:rPr>
                <w:sz w:val="20"/>
                <w:szCs w:val="20"/>
                <w:color w:val="auto"/>
              </w:rPr>
            </w:pPr>
            <w:r>
              <w:rPr>
                <w:rFonts w:ascii="Arial" w:cs="Arial" w:eastAsia="Arial" w:hAnsi="Arial"/>
                <w:sz w:val="10"/>
                <w:szCs w:val="10"/>
                <w:b w:val="1"/>
                <w:bCs w:val="1"/>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1</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35,576,400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9"/>
              </w:rPr>
              <w:t>49,505,250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5"/>
                <w:szCs w:val="5"/>
                <w:b w:val="1"/>
                <w:bCs w:val="1"/>
                <w:color w:val="auto"/>
                <w:w w:val="70"/>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5</w:t>
            </w:r>
          </w:p>
        </w:tc>
        <w:tc>
          <w:tcPr>
            <w:tcW w:w="3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rPr>
              <w:t>$</w:t>
            </w:r>
          </w:p>
        </w:tc>
        <w:tc>
          <w:tcPr>
            <w:tcW w:w="3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87"/>
              </w:rPr>
              <w:t>7,012</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7,088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62,899</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69,987</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0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September 30, 2021</w:t>
            </w:r>
          </w:p>
        </w:tc>
        <w:tc>
          <w:tcPr>
            <w:tcW w:w="660" w:type="dxa"/>
            <w:vAlign w:val="bottom"/>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580" w:type="dxa"/>
            <w:vAlign w:val="bottom"/>
            <w:gridSpan w:val="5"/>
            <w:vMerge w:val="continue"/>
            <w:shd w:val="clear" w:color="auto" w:fill="CCEEFF"/>
          </w:tcPr>
          <w:p>
            <w:pPr>
              <w:spacing w:after="0"/>
              <w:rPr>
                <w:sz w:val="13"/>
                <w:szCs w:val="13"/>
                <w:color w:val="auto"/>
              </w:rPr>
            </w:pPr>
          </w:p>
        </w:tc>
        <w:tc>
          <w:tcPr>
            <w:tcW w:w="440" w:type="dxa"/>
            <w:vAlign w:val="bottom"/>
            <w:gridSpan w:val="3"/>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54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1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36" w:right="679" w:bottom="1440" w:gutter="0" w:footer="0" w:header="0"/>
        </w:sectPr>
      </w:pPr>
    </w:p>
    <w:bookmarkStart w:id="7" w:name="page8"/>
    <w:bookmarkEnd w:id="7"/>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Brilliant Earth Group, Inc.</w:t>
      </w:r>
    </w:p>
    <w:p>
      <w:pPr>
        <w:spacing w:after="0" w:line="2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CONDENSED CONSOLIDATED STATEMENTS OF EQUITY AND</w:t>
      </w:r>
    </w:p>
    <w:p>
      <w:pPr>
        <w:spacing w:after="0" w:line="1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CHANGES IN REDEEMABLE CONVERTIBLE PREFERRED UNITS AND EQUITY/ MEMBERS’ (DEFICIT)</w:t>
      </w:r>
    </w:p>
    <w:p>
      <w:pPr>
        <w:spacing w:after="0" w:line="2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(Unaudited and in thousands except share amounts)</w:t>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134"/>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60" w:type="dxa"/>
            <w:vAlign w:val="bottom"/>
            <w:gridSpan w:val="17"/>
          </w:tcPr>
          <w:p>
            <w:pPr>
              <w:jc w:val="right"/>
              <w:ind w:right="248"/>
              <w:spacing w:after="0"/>
              <w:rPr>
                <w:sz w:val="20"/>
                <w:szCs w:val="20"/>
                <w:color w:val="auto"/>
              </w:rPr>
            </w:pPr>
            <w:r>
              <w:rPr>
                <w:rFonts w:ascii="Arial" w:cs="Arial" w:eastAsia="Arial" w:hAnsi="Arial"/>
                <w:sz w:val="10"/>
                <w:szCs w:val="10"/>
                <w:b w:val="1"/>
                <w:bCs w:val="1"/>
                <w:color w:val="auto"/>
                <w:w w:val="95"/>
              </w:rPr>
              <w:t>Brilliant Earth Group, Inc. 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8"/>
          </w:tcPr>
          <w:p>
            <w:pPr>
              <w:jc w:val="right"/>
              <w:ind w:right="108"/>
              <w:spacing w:after="0"/>
              <w:rPr>
                <w:sz w:val="20"/>
                <w:szCs w:val="20"/>
                <w:color w:val="auto"/>
              </w:rPr>
            </w:pPr>
            <w:r>
              <w:rPr>
                <w:rFonts w:ascii="Arial" w:cs="Arial" w:eastAsia="Arial" w:hAnsi="Arial"/>
                <w:sz w:val="10"/>
                <w:szCs w:val="10"/>
                <w:b w:val="1"/>
                <w:bCs w:val="1"/>
                <w:color w:val="auto"/>
                <w:w w:val="95"/>
              </w:rPr>
              <w:t>Class A Common Stock</w:t>
            </w:r>
          </w:p>
        </w:tc>
        <w:tc>
          <w:tcPr>
            <w:tcW w:w="80" w:type="dxa"/>
            <w:vAlign w:val="bottom"/>
          </w:tcPr>
          <w:p>
            <w:pPr>
              <w:spacing w:after="0"/>
              <w:rPr>
                <w:sz w:val="12"/>
                <w:szCs w:val="12"/>
                <w:color w:val="auto"/>
              </w:rPr>
            </w:pPr>
          </w:p>
        </w:tc>
        <w:tc>
          <w:tcPr>
            <w:tcW w:w="1320" w:type="dxa"/>
            <w:vAlign w:val="bottom"/>
            <w:gridSpan w:val="9"/>
          </w:tcPr>
          <w:p>
            <w:pPr>
              <w:jc w:val="center"/>
              <w:spacing w:after="0"/>
              <w:rPr>
                <w:sz w:val="20"/>
                <w:szCs w:val="20"/>
                <w:color w:val="auto"/>
              </w:rPr>
            </w:pPr>
            <w:r>
              <w:rPr>
                <w:rFonts w:ascii="Arial" w:cs="Arial" w:eastAsia="Arial" w:hAnsi="Arial"/>
                <w:sz w:val="10"/>
                <w:szCs w:val="10"/>
                <w:b w:val="1"/>
                <w:bCs w:val="1"/>
                <w:color w:val="auto"/>
                <w:w w:val="92"/>
              </w:rPr>
              <w:t>Class B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7"/>
          </w:tcPr>
          <w:p>
            <w:pPr>
              <w:jc w:val="right"/>
              <w:ind w:right="160"/>
              <w:spacing w:after="0"/>
              <w:rPr>
                <w:sz w:val="20"/>
                <w:szCs w:val="20"/>
                <w:color w:val="auto"/>
              </w:rPr>
            </w:pPr>
            <w:r>
              <w:rPr>
                <w:rFonts w:ascii="Arial" w:cs="Arial" w:eastAsia="Arial" w:hAnsi="Arial"/>
                <w:sz w:val="10"/>
                <w:szCs w:val="10"/>
                <w:b w:val="1"/>
                <w:bCs w:val="1"/>
                <w:color w:val="auto"/>
                <w:w w:val="92"/>
              </w:rPr>
              <w:t>Class C Common Stock</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right"/>
              <w:ind w:right="180"/>
              <w:spacing w:after="0"/>
              <w:rPr>
                <w:sz w:val="20"/>
                <w:szCs w:val="20"/>
                <w:color w:val="auto"/>
              </w:rPr>
            </w:pPr>
            <w:r>
              <w:rPr>
                <w:rFonts w:ascii="Arial" w:cs="Arial" w:eastAsia="Arial" w:hAnsi="Arial"/>
                <w:sz w:val="10"/>
                <w:szCs w:val="10"/>
                <w:b w:val="1"/>
                <w:bCs w:val="1"/>
                <w:color w:val="auto"/>
              </w:rPr>
              <w:t>Non-Controlling Interest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gridSpan w:val="4"/>
          </w:tcPr>
          <w:p>
            <w:pPr>
              <w:spacing w:after="0"/>
              <w:rPr>
                <w:sz w:val="2"/>
                <w:szCs w:val="2"/>
                <w:color w:val="auto"/>
              </w:rPr>
            </w:pPr>
          </w:p>
        </w:tc>
        <w:tc>
          <w:tcPr>
            <w:tcW w:w="1340" w:type="dxa"/>
            <w:vAlign w:val="bottom"/>
            <w:tcBorders>
              <w:bottom w:val="single" w:sz="8" w:color="auto"/>
            </w:tcBorders>
            <w:gridSpan w:val="9"/>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10"/>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9"/>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5"/>
            <w:vMerge w:val="restart"/>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700" w:type="dxa"/>
            <w:vAlign w:val="bottom"/>
            <w:gridSpan w:val="14"/>
          </w:tcPr>
          <w:p>
            <w:pPr>
              <w:spacing w:after="0"/>
              <w:rPr>
                <w:sz w:val="2"/>
                <w:szCs w:val="2"/>
                <w:color w:val="auto"/>
              </w:rPr>
            </w:pPr>
          </w:p>
        </w:tc>
        <w:tc>
          <w:tcPr>
            <w:tcW w:w="1440" w:type="dxa"/>
            <w:vAlign w:val="bottom"/>
            <w:tcBorders>
              <w:bottom w:val="single" w:sz="8" w:color="auto"/>
            </w:tcBorders>
            <w:gridSpan w:val="7"/>
          </w:tcPr>
          <w:p>
            <w:pPr>
              <w:spacing w:after="0"/>
              <w:rPr>
                <w:sz w:val="2"/>
                <w:szCs w:val="2"/>
                <w:color w:val="auto"/>
              </w:rPr>
            </w:pPr>
          </w:p>
        </w:tc>
        <w:tc>
          <w:tcPr>
            <w:tcW w:w="80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6100" w:type="dxa"/>
            <w:vAlign w:val="bottom"/>
            <w:gridSpan w:val="35"/>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394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5"/>
              </w:rPr>
              <w:t>Paid-In</w:t>
            </w:r>
          </w:p>
        </w:tc>
        <w:tc>
          <w:tcPr>
            <w:tcW w:w="6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4"/>
              </w:rPr>
              <w:t>Retained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5"/>
          </w:tcPr>
          <w:p>
            <w:pPr>
              <w:ind w:left="20"/>
              <w:spacing w:after="0"/>
              <w:rPr>
                <w:sz w:val="20"/>
                <w:szCs w:val="20"/>
                <w:color w:val="auto"/>
              </w:rPr>
            </w:pPr>
            <w:r>
              <w:rPr>
                <w:rFonts w:ascii="Arial" w:cs="Arial" w:eastAsia="Arial" w:hAnsi="Arial"/>
                <w:sz w:val="10"/>
                <w:szCs w:val="10"/>
                <w:b w:val="1"/>
                <w:bCs w:val="1"/>
                <w:color w:val="auto"/>
              </w:rPr>
              <w:t>Stockholders'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16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28"/>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780" w:type="dxa"/>
            <w:vAlign w:val="bottom"/>
            <w:gridSpan w:val="4"/>
          </w:tcPr>
          <w:p>
            <w:pPr>
              <w:ind w:left="2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3"/>
          </w:tcPr>
          <w:p>
            <w:pPr>
              <w:jc w:val="right"/>
              <w:spacing w:after="0"/>
              <w:rPr>
                <w:sz w:val="20"/>
                <w:szCs w:val="20"/>
                <w:color w:val="auto"/>
              </w:rPr>
            </w:pPr>
            <w:r>
              <w:rPr>
                <w:rFonts w:ascii="Arial" w:cs="Arial" w:eastAsia="Arial" w:hAnsi="Arial"/>
                <w:sz w:val="10"/>
                <w:szCs w:val="10"/>
                <w:b w:val="1"/>
                <w:bCs w:val="1"/>
                <w:color w:val="auto"/>
                <w:w w:val="89"/>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8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5"/>
              </w:rPr>
              <w:t>Capital</w:t>
            </w:r>
          </w:p>
        </w:tc>
        <w:tc>
          <w:tcPr>
            <w:tcW w:w="6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3"/>
              </w:rPr>
              <w:t>Earnings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0"/>
                <w:szCs w:val="10"/>
                <w:b w:val="1"/>
                <w:bCs w:val="1"/>
                <w:color w:val="auto"/>
              </w:rPr>
              <w:t>Equity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Units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Amounts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1580" w:type="dxa"/>
            <w:vAlign w:val="bottom"/>
            <w:tcBorders>
              <w:bottom w:val="single" w:sz="8" w:color="CCEEFF"/>
            </w:tcBorders>
            <w:gridSpan w:val="3"/>
          </w:tcPr>
          <w:p>
            <w:pPr>
              <w:spacing w:after="0"/>
              <w:rPr>
                <w:sz w:val="2"/>
                <w:szCs w:val="2"/>
                <w:color w:val="auto"/>
              </w:rPr>
            </w:pPr>
          </w:p>
        </w:tc>
        <w:tc>
          <w:tcPr>
            <w:tcW w:w="7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0"/>
                <w:szCs w:val="10"/>
                <w:b w:val="1"/>
                <w:bCs w:val="1"/>
                <w:color w:val="auto"/>
              </w:rPr>
              <w:t>Balance, January 1, 2022</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9,614,523</w:t>
            </w:r>
          </w:p>
        </w:tc>
        <w:tc>
          <w:tcPr>
            <w:tcW w:w="4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w:t>
            </w: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0"/>
                <w:szCs w:val="10"/>
                <w:b w:val="1"/>
                <w:bCs w:val="1"/>
                <w:color w:val="auto"/>
              </w:rPr>
              <w:t>35,658,013</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49,505,250</w:t>
            </w: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5</w:t>
            </w:r>
          </w:p>
        </w:tc>
        <w:tc>
          <w:tcPr>
            <w:tcW w:w="5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9"/>
              </w:rPr>
              <w:t>6,865</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87"/>
              </w:rPr>
              <w:t>1,528</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8,403</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5"/>
              </w:rPr>
              <w:t>85,163,263</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74,435</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82,838</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1580" w:type="dxa"/>
            <w:vAlign w:val="bottom"/>
            <w:gridSpan w:val="3"/>
          </w:tcPr>
          <w:p>
            <w:pPr>
              <w:ind w:left="20"/>
              <w:spacing w:after="0"/>
              <w:rPr>
                <w:sz w:val="20"/>
                <w:szCs w:val="20"/>
                <w:color w:val="auto"/>
              </w:rPr>
            </w:pPr>
            <w:r>
              <w:rPr>
                <w:rFonts w:ascii="Arial" w:cs="Arial" w:eastAsia="Arial" w:hAnsi="Arial"/>
                <w:sz w:val="10"/>
                <w:szCs w:val="10"/>
                <w:color w:val="auto"/>
              </w:rPr>
              <w:t>Tax distributions to members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(18,296)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rPr>
              <w:t>(18,296)</w:t>
            </w:r>
          </w:p>
        </w:tc>
        <w:tc>
          <w:tcPr>
            <w:tcW w:w="0" w:type="dxa"/>
            <w:vAlign w:val="bottom"/>
          </w:tcPr>
          <w:p>
            <w:pPr>
              <w:spacing w:after="0"/>
              <w:rPr>
                <w:sz w:val="1"/>
                <w:szCs w:val="1"/>
                <w:color w:val="auto"/>
              </w:rPr>
            </w:pPr>
          </w:p>
        </w:tc>
      </w:tr>
      <w:tr>
        <w:trPr>
          <w:trHeight w:val="34"/>
        </w:trPr>
        <w:tc>
          <w:tcPr>
            <w:tcW w:w="10840" w:type="dxa"/>
            <w:vAlign w:val="bottom"/>
            <w:gridSpan w:val="6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tcBorders>
              <w:right w:val="single" w:sz="8" w:color="CCEEFF"/>
            </w:tcBorders>
            <w:gridSpan w:val="7"/>
          </w:tcPr>
          <w:p>
            <w:pPr>
              <w:spacing w:after="0"/>
              <w:rPr>
                <w:sz w:val="20"/>
                <w:szCs w:val="20"/>
                <w:color w:val="auto"/>
              </w:rPr>
            </w:pPr>
            <w:r>
              <w:rPr>
                <w:rFonts w:ascii="Arial" w:cs="Arial" w:eastAsia="Arial" w:hAnsi="Arial"/>
                <w:sz w:val="10"/>
                <w:szCs w:val="10"/>
                <w:color w:val="auto"/>
              </w:rPr>
              <w:t>Conversion of Class B and Class C</w:t>
            </w:r>
          </w:p>
        </w:tc>
        <w:tc>
          <w:tcPr>
            <w:tcW w:w="8220" w:type="dxa"/>
            <w:vAlign w:val="bottom"/>
            <w:gridSpan w:val="58"/>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0"/>
                <w:szCs w:val="10"/>
                <w:color w:val="auto"/>
              </w:rPr>
              <w:t>to Class A common stock</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rPr>
              <w:t>1,249,622</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8"/>
              </w:rPr>
              <w:t>(864,348)</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(385,274)</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7"/>
              </w:rPr>
              <w:t>(1,249,622)</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1580" w:type="dxa"/>
            <w:vAlign w:val="bottom"/>
            <w:gridSpan w:val="3"/>
          </w:tcPr>
          <w:p>
            <w:pPr>
              <w:ind w:left="20"/>
              <w:spacing w:after="0"/>
              <w:rPr>
                <w:sz w:val="20"/>
                <w:szCs w:val="20"/>
                <w:color w:val="auto"/>
              </w:rPr>
            </w:pPr>
            <w:r>
              <w:rPr>
                <w:rFonts w:ascii="Arial" w:cs="Arial" w:eastAsia="Arial" w:hAnsi="Arial"/>
                <w:sz w:val="10"/>
                <w:szCs w:val="10"/>
                <w:color w:val="auto"/>
              </w:rPr>
              <w:t>RSU vesting during period</w:t>
            </w:r>
          </w:p>
        </w:tc>
        <w:tc>
          <w:tcPr>
            <w:tcW w:w="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0"/>
                <w:szCs w:val="10"/>
                <w:color w:val="auto"/>
              </w:rPr>
              <w:t>76,227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34"/>
        </w:trPr>
        <w:tc>
          <w:tcPr>
            <w:tcW w:w="10840" w:type="dxa"/>
            <w:vAlign w:val="bottom"/>
            <w:gridSpan w:val="6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2160" w:type="dxa"/>
            <w:vAlign w:val="bottom"/>
            <w:tcBorders>
              <w:bottom w:val="single" w:sz="8" w:color="CCEEFF"/>
              <w:right w:val="single" w:sz="8" w:color="CCEEFF"/>
            </w:tcBorders>
            <w:gridSpan w:val="6"/>
            <w:shd w:val="clear" w:color="auto" w:fill="CCEEFF"/>
          </w:tcPr>
          <w:p>
            <w:pPr>
              <w:ind w:left="20"/>
              <w:spacing w:after="0"/>
              <w:rPr>
                <w:sz w:val="20"/>
                <w:szCs w:val="20"/>
                <w:color w:val="auto"/>
              </w:rPr>
            </w:pPr>
            <w:r>
              <w:rPr>
                <w:rFonts w:ascii="Arial" w:cs="Arial" w:eastAsia="Arial" w:hAnsi="Arial"/>
                <w:sz w:val="10"/>
                <w:szCs w:val="10"/>
                <w:color w:val="auto"/>
              </w:rPr>
              <w:t>LLC Units vesting during period</w:t>
            </w:r>
          </w:p>
        </w:tc>
        <w:tc>
          <w:tcPr>
            <w:tcW w:w="56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7"/>
            <w:shd w:val="clear" w:color="auto" w:fill="CCEEFF"/>
          </w:tcPr>
          <w:p>
            <w:pPr>
              <w:jc w:val="right"/>
              <w:ind w:right="300"/>
              <w:spacing w:after="0"/>
              <w:rPr>
                <w:sz w:val="20"/>
                <w:szCs w:val="20"/>
                <w:color w:val="auto"/>
              </w:rPr>
            </w:pPr>
            <w:r>
              <w:rPr>
                <w:rFonts w:ascii="Arial" w:cs="Arial" w:eastAsia="Arial" w:hAnsi="Arial"/>
                <w:sz w:val="10"/>
                <w:szCs w:val="10"/>
                <w:color w:val="auto"/>
              </w:rPr>
              <w:t>602,073</w:t>
            </w:r>
          </w:p>
        </w:tc>
        <w:tc>
          <w:tcPr>
            <w:tcW w:w="54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gridSpan w:val="5"/>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CCEEFF"/>
            </w:tcBorders>
            <w:gridSpan w:val="6"/>
            <w:shd w:val="clear" w:color="auto" w:fill="CCEEFF"/>
          </w:tcPr>
          <w:p>
            <w:pPr>
              <w:jc w:val="right"/>
              <w:ind w:right="7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5"/>
            <w:shd w:val="clear" w:color="auto" w:fill="CCEEFF"/>
          </w:tcPr>
          <w:p>
            <w:pPr>
              <w:jc w:val="right"/>
              <w:ind w:right="508"/>
              <w:spacing w:after="0"/>
              <w:rPr>
                <w:sz w:val="20"/>
                <w:szCs w:val="20"/>
                <w:color w:val="auto"/>
              </w:rPr>
            </w:pPr>
            <w:r>
              <w:rPr>
                <w:rFonts w:ascii="Arial" w:cs="Arial" w:eastAsia="Arial" w:hAnsi="Arial"/>
                <w:sz w:val="10"/>
                <w:szCs w:val="10"/>
                <w:color w:val="auto"/>
                <w:w w:val="79"/>
              </w:rPr>
              <w:t>—</w:t>
            </w:r>
          </w:p>
        </w:tc>
        <w:tc>
          <w:tcPr>
            <w:tcW w:w="640" w:type="dxa"/>
            <w:vAlign w:val="bottom"/>
            <w:tcBorders>
              <w:bottom w:val="single" w:sz="8" w:color="CCEEFF"/>
            </w:tcBorders>
            <w:gridSpan w:val="7"/>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5"/>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gridSpan w:val="4"/>
            <w:shd w:val="clear" w:color="auto" w:fill="CCEEFF"/>
          </w:tcPr>
          <w:p>
            <w:pPr>
              <w:jc w:val="right"/>
              <w:ind w:right="228"/>
              <w:spacing w:after="0"/>
              <w:rPr>
                <w:sz w:val="20"/>
                <w:szCs w:val="20"/>
                <w:color w:val="auto"/>
              </w:rPr>
            </w:pPr>
            <w:r>
              <w:rPr>
                <w:rFonts w:ascii="Arial" w:cs="Arial" w:eastAsia="Arial" w:hAnsi="Arial"/>
                <w:sz w:val="10"/>
                <w:szCs w:val="10"/>
                <w:color w:val="auto"/>
              </w:rPr>
              <w:t>602,073</w:t>
            </w:r>
          </w:p>
        </w:tc>
        <w:tc>
          <w:tcPr>
            <w:tcW w:w="1160" w:type="dxa"/>
            <w:vAlign w:val="bottom"/>
            <w:tcBorders>
              <w:bottom w:val="single" w:sz="8" w:color="CCEEFF"/>
            </w:tcBorders>
            <w:gridSpan w:val="6"/>
            <w:shd w:val="clear" w:color="auto" w:fill="CCEEFF"/>
          </w:tcPr>
          <w:p>
            <w:pPr>
              <w:jc w:val="right"/>
              <w:ind w:right="588"/>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5"/>
        </w:trPr>
        <w:tc>
          <w:tcPr>
            <w:tcW w:w="10840" w:type="dxa"/>
            <w:vAlign w:val="bottom"/>
            <w:gridSpan w:val="66"/>
          </w:tcPr>
          <w:p>
            <w:pPr>
              <w:spacing w:after="0"/>
              <w:rPr>
                <w:sz w:val="20"/>
                <w:szCs w:val="20"/>
                <w:color w:val="auto"/>
              </w:rPr>
            </w:pPr>
            <w:r>
              <w:rPr>
                <w:rFonts w:ascii="Arial" w:cs="Arial" w:eastAsia="Arial" w:hAnsi="Arial"/>
                <w:sz w:val="10"/>
                <w:szCs w:val="10"/>
                <w:color w:val="auto"/>
              </w:rPr>
              <w:t>Increase in deferred tax asset from</w:t>
            </w:r>
          </w:p>
        </w:tc>
        <w:tc>
          <w:tcPr>
            <w:tcW w:w="0" w:type="dxa"/>
            <w:vAlign w:val="bottom"/>
          </w:tcPr>
          <w:p>
            <w:pPr>
              <w:spacing w:after="0"/>
              <w:rPr>
                <w:sz w:val="1"/>
                <w:szCs w:val="1"/>
                <w:color w:val="auto"/>
              </w:rPr>
            </w:pPr>
          </w:p>
        </w:tc>
      </w:tr>
      <w:tr>
        <w:trPr>
          <w:trHeight w:val="129"/>
        </w:trPr>
        <w:tc>
          <w:tcPr>
            <w:tcW w:w="10840" w:type="dxa"/>
            <w:vAlign w:val="bottom"/>
            <w:gridSpan w:val="66"/>
          </w:tcPr>
          <w:p>
            <w:pPr>
              <w:spacing w:after="0"/>
              <w:rPr>
                <w:sz w:val="20"/>
                <w:szCs w:val="20"/>
                <w:color w:val="auto"/>
              </w:rPr>
            </w:pPr>
            <w:r>
              <w:rPr>
                <w:rFonts w:ascii="Arial" w:cs="Arial" w:eastAsia="Arial" w:hAnsi="Arial"/>
                <w:sz w:val="10"/>
                <w:szCs w:val="10"/>
                <w:color w:val="auto"/>
              </w:rPr>
              <w:t>step-up tax basis related to</w:t>
            </w:r>
          </w:p>
        </w:tc>
        <w:tc>
          <w:tcPr>
            <w:tcW w:w="0" w:type="dxa"/>
            <w:vAlign w:val="bottom"/>
          </w:tcPr>
          <w:p>
            <w:pPr>
              <w:spacing w:after="0"/>
              <w:rPr>
                <w:sz w:val="1"/>
                <w:szCs w:val="1"/>
                <w:color w:val="auto"/>
              </w:rPr>
            </w:pPr>
          </w:p>
        </w:tc>
      </w:tr>
      <w:tr>
        <w:trPr>
          <w:trHeight w:val="129"/>
        </w:trPr>
        <w:tc>
          <w:tcPr>
            <w:tcW w:w="10180" w:type="dxa"/>
            <w:vAlign w:val="bottom"/>
            <w:gridSpan w:val="64"/>
          </w:tcPr>
          <w:p>
            <w:pPr>
              <w:spacing w:after="0"/>
              <w:rPr>
                <w:sz w:val="20"/>
                <w:szCs w:val="20"/>
                <w:color w:val="auto"/>
              </w:rPr>
            </w:pPr>
            <w:r>
              <w:rPr>
                <w:rFonts w:ascii="Arial" w:cs="Arial" w:eastAsia="Arial" w:hAnsi="Arial"/>
                <w:sz w:val="10"/>
                <w:szCs w:val="10"/>
                <w:color w:val="auto"/>
              </w:rPr>
              <w:t>redemption of LLC Units and set-up</w:t>
            </w:r>
          </w:p>
        </w:tc>
        <w:tc>
          <w:tcPr>
            <w:tcW w:w="6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648</w:t>
            </w:r>
          </w:p>
        </w:tc>
        <w:tc>
          <w:tcPr>
            <w:tcW w:w="0" w:type="dxa"/>
            <w:vAlign w:val="bottom"/>
          </w:tcPr>
          <w:p>
            <w:pPr>
              <w:spacing w:after="0"/>
              <w:rPr>
                <w:sz w:val="1"/>
                <w:szCs w:val="1"/>
                <w:color w:val="auto"/>
              </w:rPr>
            </w:pPr>
          </w:p>
        </w:tc>
      </w:tr>
      <w:tr>
        <w:trPr>
          <w:trHeight w:val="130"/>
        </w:trPr>
        <w:tc>
          <w:tcPr>
            <w:tcW w:w="2400" w:type="dxa"/>
            <w:vAlign w:val="bottom"/>
            <w:gridSpan w:val="7"/>
          </w:tcPr>
          <w:p>
            <w:pPr>
              <w:spacing w:after="0"/>
              <w:rPr>
                <w:sz w:val="20"/>
                <w:szCs w:val="20"/>
                <w:color w:val="auto"/>
              </w:rPr>
            </w:pPr>
            <w:r>
              <w:rPr>
                <w:rFonts w:ascii="Arial" w:cs="Arial" w:eastAsia="Arial" w:hAnsi="Arial"/>
                <w:sz w:val="10"/>
                <w:szCs w:val="10"/>
                <w:color w:val="auto"/>
              </w:rPr>
              <w:t>of TRA liability</w:t>
            </w:r>
          </w:p>
        </w:tc>
        <w:tc>
          <w:tcPr>
            <w:tcW w:w="560" w:type="dxa"/>
            <w:vAlign w:val="bottom"/>
            <w:gridSpan w:val="4"/>
          </w:tcPr>
          <w:p>
            <w:pPr>
              <w:jc w:val="right"/>
              <w:ind w:right="388"/>
              <w:spacing w:after="0"/>
              <w:rPr>
                <w:sz w:val="20"/>
                <w:szCs w:val="20"/>
                <w:color w:val="auto"/>
              </w:rPr>
            </w:pPr>
            <w:r>
              <w:rPr>
                <w:rFonts w:ascii="Arial" w:cs="Arial" w:eastAsia="Arial" w:hAnsi="Arial"/>
                <w:sz w:val="10"/>
                <w:szCs w:val="10"/>
                <w:color w:val="auto"/>
                <w:w w:val="99"/>
              </w:rPr>
              <w:t>—</w:t>
            </w:r>
          </w:p>
        </w:tc>
        <w:tc>
          <w:tcPr>
            <w:tcW w:w="660" w:type="dxa"/>
            <w:vAlign w:val="bottom"/>
            <w:gridSpan w:val="5"/>
          </w:tcPr>
          <w:p>
            <w:pPr>
              <w:jc w:val="right"/>
              <w:ind w:right="468"/>
              <w:spacing w:after="0"/>
              <w:rPr>
                <w:sz w:val="20"/>
                <w:szCs w:val="20"/>
                <w:color w:val="auto"/>
              </w:rPr>
            </w:pPr>
            <w:r>
              <w:rPr>
                <w:rFonts w:ascii="Arial" w:cs="Arial" w:eastAsia="Arial" w:hAnsi="Arial"/>
                <w:sz w:val="10"/>
                <w:szCs w:val="10"/>
                <w:color w:val="auto"/>
              </w:rPr>
              <w:t>—</w:t>
            </w:r>
          </w:p>
        </w:tc>
        <w:tc>
          <w:tcPr>
            <w:tcW w:w="640" w:type="dxa"/>
            <w:vAlign w:val="bottom"/>
            <w:gridSpan w:val="6"/>
          </w:tcPr>
          <w:p>
            <w:pPr>
              <w:jc w:val="right"/>
              <w:ind w:right="300"/>
              <w:spacing w:after="0"/>
              <w:rPr>
                <w:sz w:val="20"/>
                <w:szCs w:val="20"/>
                <w:color w:val="auto"/>
              </w:rPr>
            </w:pPr>
            <w:r>
              <w:rPr>
                <w:rFonts w:ascii="Arial" w:cs="Arial" w:eastAsia="Arial" w:hAnsi="Arial"/>
                <w:sz w:val="10"/>
                <w:szCs w:val="10"/>
                <w:color w:val="auto"/>
              </w:rPr>
              <w:t>—</w:t>
            </w:r>
          </w:p>
        </w:tc>
        <w:tc>
          <w:tcPr>
            <w:tcW w:w="540" w:type="dxa"/>
            <w:vAlign w:val="bottom"/>
            <w:gridSpan w:val="5"/>
          </w:tcPr>
          <w:p>
            <w:pPr>
              <w:jc w:val="right"/>
              <w:ind w:right="260"/>
              <w:spacing w:after="0"/>
              <w:rPr>
                <w:sz w:val="20"/>
                <w:szCs w:val="20"/>
                <w:color w:val="auto"/>
              </w:rPr>
            </w:pPr>
            <w:r>
              <w:rPr>
                <w:rFonts w:ascii="Arial" w:cs="Arial" w:eastAsia="Arial" w:hAnsi="Arial"/>
                <w:sz w:val="10"/>
                <w:szCs w:val="10"/>
                <w:color w:val="auto"/>
              </w:rPr>
              <w:t>—</w:t>
            </w:r>
          </w:p>
        </w:tc>
        <w:tc>
          <w:tcPr>
            <w:tcW w:w="780" w:type="dxa"/>
            <w:vAlign w:val="bottom"/>
            <w:gridSpan w:val="5"/>
          </w:tcPr>
          <w:p>
            <w:pPr>
              <w:jc w:val="right"/>
              <w:ind w:right="148"/>
              <w:spacing w:after="0"/>
              <w:rPr>
                <w:sz w:val="20"/>
                <w:szCs w:val="20"/>
                <w:color w:val="auto"/>
              </w:rPr>
            </w:pPr>
            <w:r>
              <w:rPr>
                <w:rFonts w:ascii="Arial" w:cs="Arial" w:eastAsia="Arial" w:hAnsi="Arial"/>
                <w:sz w:val="10"/>
                <w:szCs w:val="10"/>
                <w:color w:val="auto"/>
              </w:rPr>
              <w:t>—</w:t>
            </w:r>
          </w:p>
        </w:tc>
        <w:tc>
          <w:tcPr>
            <w:tcW w:w="960" w:type="dxa"/>
            <w:vAlign w:val="bottom"/>
            <w:gridSpan w:val="4"/>
          </w:tcPr>
          <w:p>
            <w:pPr>
              <w:jc w:val="right"/>
              <w:ind w:right="528"/>
              <w:spacing w:after="0"/>
              <w:rPr>
                <w:sz w:val="20"/>
                <w:szCs w:val="20"/>
                <w:color w:val="auto"/>
              </w:rPr>
            </w:pPr>
            <w:r>
              <w:rPr>
                <w:rFonts w:ascii="Arial" w:cs="Arial" w:eastAsia="Arial" w:hAnsi="Arial"/>
                <w:sz w:val="10"/>
                <w:szCs w:val="10"/>
                <w:color w:val="auto"/>
              </w:rPr>
              <w:t>—</w:t>
            </w:r>
          </w:p>
        </w:tc>
        <w:tc>
          <w:tcPr>
            <w:tcW w:w="780" w:type="dxa"/>
            <w:vAlign w:val="bottom"/>
            <w:gridSpan w:val="7"/>
          </w:tcPr>
          <w:p>
            <w:pPr>
              <w:jc w:val="right"/>
              <w:ind w:right="508"/>
              <w:spacing w:after="0"/>
              <w:rPr>
                <w:sz w:val="20"/>
                <w:szCs w:val="20"/>
                <w:color w:val="auto"/>
              </w:rPr>
            </w:pPr>
            <w:r>
              <w:rPr>
                <w:rFonts w:ascii="Arial" w:cs="Arial" w:eastAsia="Arial" w:hAnsi="Arial"/>
                <w:sz w:val="10"/>
                <w:szCs w:val="10"/>
                <w:color w:val="auto"/>
              </w:rPr>
              <w:t>648</w:t>
            </w:r>
          </w:p>
        </w:tc>
        <w:tc>
          <w:tcPr>
            <w:tcW w:w="640" w:type="dxa"/>
            <w:vAlign w:val="bottom"/>
            <w:gridSpan w:val="7"/>
          </w:tcPr>
          <w:p>
            <w:pPr>
              <w:jc w:val="right"/>
              <w:ind w:right="400"/>
              <w:spacing w:after="0"/>
              <w:rPr>
                <w:sz w:val="20"/>
                <w:szCs w:val="20"/>
                <w:color w:val="auto"/>
              </w:rPr>
            </w:pPr>
            <w:r>
              <w:rPr>
                <w:rFonts w:ascii="Arial" w:cs="Arial" w:eastAsia="Arial" w:hAnsi="Arial"/>
                <w:sz w:val="10"/>
                <w:szCs w:val="10"/>
                <w:color w:val="auto"/>
              </w:rPr>
              <w:t>—</w:t>
            </w:r>
          </w:p>
        </w:tc>
        <w:tc>
          <w:tcPr>
            <w:tcW w:w="720" w:type="dxa"/>
            <w:vAlign w:val="bottom"/>
            <w:gridSpan w:val="5"/>
          </w:tcPr>
          <w:p>
            <w:pPr>
              <w:jc w:val="right"/>
              <w:ind w:right="148"/>
              <w:spacing w:after="0"/>
              <w:rPr>
                <w:sz w:val="20"/>
                <w:szCs w:val="20"/>
                <w:color w:val="auto"/>
              </w:rPr>
            </w:pPr>
            <w:r>
              <w:rPr>
                <w:rFonts w:ascii="Arial" w:cs="Arial" w:eastAsia="Arial" w:hAnsi="Arial"/>
                <w:sz w:val="10"/>
                <w:szCs w:val="10"/>
                <w:color w:val="auto"/>
              </w:rPr>
              <w:t>648</w:t>
            </w:r>
          </w:p>
        </w:tc>
        <w:tc>
          <w:tcPr>
            <w:tcW w:w="780" w:type="dxa"/>
            <w:vAlign w:val="bottom"/>
            <w:gridSpan w:val="4"/>
          </w:tcPr>
          <w:p>
            <w:pPr>
              <w:jc w:val="right"/>
              <w:ind w:right="228"/>
              <w:spacing w:after="0"/>
              <w:rPr>
                <w:sz w:val="20"/>
                <w:szCs w:val="20"/>
                <w:color w:val="auto"/>
              </w:rPr>
            </w:pPr>
            <w:r>
              <w:rPr>
                <w:rFonts w:ascii="Arial" w:cs="Arial" w:eastAsia="Arial" w:hAnsi="Arial"/>
                <w:sz w:val="10"/>
                <w:szCs w:val="10"/>
                <w:color w:val="auto"/>
              </w:rPr>
              <w:t>—</w:t>
            </w:r>
          </w:p>
        </w:tc>
        <w:tc>
          <w:tcPr>
            <w:tcW w:w="720" w:type="dxa"/>
            <w:vAlign w:val="bottom"/>
            <w:gridSpan w:val="5"/>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840" w:type="dxa"/>
            <w:vAlign w:val="bottom"/>
            <w:gridSpan w:val="6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2160" w:type="dxa"/>
            <w:vAlign w:val="bottom"/>
            <w:tcBorders>
              <w:bottom w:val="single" w:sz="8" w:color="CCEEFF"/>
              <w:right w:val="single" w:sz="8" w:color="CCEEFF"/>
            </w:tcBorders>
            <w:gridSpan w:val="6"/>
            <w:shd w:val="clear" w:color="auto" w:fill="CCEEFF"/>
          </w:tcPr>
          <w:p>
            <w:pPr>
              <w:ind w:left="20"/>
              <w:spacing w:after="0"/>
              <w:rPr>
                <w:sz w:val="20"/>
                <w:szCs w:val="20"/>
                <w:color w:val="auto"/>
              </w:rPr>
            </w:pPr>
            <w:r>
              <w:rPr>
                <w:rFonts w:ascii="Arial" w:cs="Arial" w:eastAsia="Arial" w:hAnsi="Arial"/>
                <w:sz w:val="10"/>
                <w:szCs w:val="10"/>
                <w:color w:val="auto"/>
              </w:rPr>
              <w:t>Equity-based compensation</w:t>
            </w:r>
          </w:p>
        </w:tc>
        <w:tc>
          <w:tcPr>
            <w:tcW w:w="56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gridSpan w:val="5"/>
            <w:shd w:val="clear" w:color="auto" w:fill="CCEEFF"/>
          </w:tcPr>
          <w:p>
            <w:pPr>
              <w:jc w:val="right"/>
              <w:ind w:right="468"/>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6"/>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gridSpan w:val="5"/>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CCEEFF"/>
            </w:tcBorders>
            <w:gridSpan w:val="4"/>
            <w:shd w:val="clear" w:color="auto" w:fill="CCEEFF"/>
          </w:tcPr>
          <w:p>
            <w:pPr>
              <w:jc w:val="right"/>
              <w:ind w:right="5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gridSpan w:val="7"/>
            <w:shd w:val="clear" w:color="auto" w:fill="CCEEFF"/>
          </w:tcPr>
          <w:p>
            <w:pPr>
              <w:jc w:val="right"/>
              <w:ind w:right="508"/>
              <w:spacing w:after="0"/>
              <w:rPr>
                <w:sz w:val="20"/>
                <w:szCs w:val="20"/>
                <w:color w:val="auto"/>
              </w:rPr>
            </w:pPr>
            <w:r>
              <w:rPr>
                <w:rFonts w:ascii="Arial" w:cs="Arial" w:eastAsia="Arial" w:hAnsi="Arial"/>
                <w:sz w:val="10"/>
                <w:szCs w:val="10"/>
                <w:color w:val="auto"/>
                <w:w w:val="79"/>
              </w:rPr>
              <w:t>6,350</w:t>
            </w:r>
          </w:p>
        </w:tc>
        <w:tc>
          <w:tcPr>
            <w:tcW w:w="640" w:type="dxa"/>
            <w:vAlign w:val="bottom"/>
            <w:tcBorders>
              <w:bottom w:val="single" w:sz="8" w:color="CCEEFF"/>
            </w:tcBorders>
            <w:gridSpan w:val="7"/>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5"/>
            <w:shd w:val="clear" w:color="auto" w:fill="CCEEFF"/>
          </w:tcPr>
          <w:p>
            <w:pPr>
              <w:jc w:val="right"/>
              <w:ind w:right="148"/>
              <w:spacing w:after="0"/>
              <w:rPr>
                <w:sz w:val="20"/>
                <w:szCs w:val="20"/>
                <w:color w:val="auto"/>
              </w:rPr>
            </w:pPr>
            <w:r>
              <w:rPr>
                <w:rFonts w:ascii="Arial" w:cs="Arial" w:eastAsia="Arial" w:hAnsi="Arial"/>
                <w:sz w:val="10"/>
                <w:szCs w:val="10"/>
                <w:color w:val="auto"/>
              </w:rPr>
              <w:t>6,350</w:t>
            </w:r>
          </w:p>
        </w:tc>
        <w:tc>
          <w:tcPr>
            <w:tcW w:w="780" w:type="dxa"/>
            <w:vAlign w:val="bottom"/>
            <w:tcBorders>
              <w:bottom w:val="single" w:sz="8" w:color="CCEEFF"/>
            </w:tcBorders>
            <w:gridSpan w:val="4"/>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0"/>
                <w:szCs w:val="10"/>
                <w:color w:val="auto"/>
              </w:rPr>
              <w:t>213</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6,563</w:t>
            </w:r>
          </w:p>
        </w:tc>
        <w:tc>
          <w:tcPr>
            <w:tcW w:w="0" w:type="dxa"/>
            <w:vAlign w:val="bottom"/>
          </w:tcPr>
          <w:p>
            <w:pPr>
              <w:spacing w:after="0"/>
              <w:rPr>
                <w:sz w:val="1"/>
                <w:szCs w:val="1"/>
                <w:color w:val="auto"/>
              </w:rPr>
            </w:pPr>
          </w:p>
        </w:tc>
      </w:tr>
      <w:tr>
        <w:trPr>
          <w:trHeight w:val="146"/>
        </w:trPr>
        <w:tc>
          <w:tcPr>
            <w:tcW w:w="2400" w:type="dxa"/>
            <w:vAlign w:val="bottom"/>
            <w:gridSpan w:val="7"/>
          </w:tcPr>
          <w:p>
            <w:pPr>
              <w:spacing w:after="0"/>
              <w:rPr>
                <w:sz w:val="20"/>
                <w:szCs w:val="20"/>
                <w:color w:val="auto"/>
              </w:rPr>
            </w:pPr>
            <w:r>
              <w:rPr>
                <w:rFonts w:ascii="Arial" w:cs="Arial" w:eastAsia="Arial" w:hAnsi="Arial"/>
                <w:sz w:val="10"/>
                <w:szCs w:val="10"/>
                <w:color w:val="auto"/>
              </w:rPr>
              <w:t>Net income</w:t>
            </w:r>
          </w:p>
        </w:tc>
        <w:tc>
          <w:tcPr>
            <w:tcW w:w="560" w:type="dxa"/>
            <w:vAlign w:val="bottom"/>
            <w:gridSpan w:val="4"/>
          </w:tcPr>
          <w:p>
            <w:pPr>
              <w:jc w:val="right"/>
              <w:ind w:right="388"/>
              <w:spacing w:after="0"/>
              <w:rPr>
                <w:sz w:val="20"/>
                <w:szCs w:val="20"/>
                <w:color w:val="auto"/>
              </w:rPr>
            </w:pPr>
            <w:r>
              <w:rPr>
                <w:rFonts w:ascii="Arial" w:cs="Arial" w:eastAsia="Arial" w:hAnsi="Arial"/>
                <w:sz w:val="10"/>
                <w:szCs w:val="10"/>
                <w:color w:val="auto"/>
                <w:w w:val="99"/>
              </w:rPr>
              <w:t>—</w:t>
            </w:r>
          </w:p>
        </w:tc>
        <w:tc>
          <w:tcPr>
            <w:tcW w:w="660" w:type="dxa"/>
            <w:vAlign w:val="bottom"/>
            <w:gridSpan w:val="5"/>
          </w:tcPr>
          <w:p>
            <w:pPr>
              <w:jc w:val="right"/>
              <w:ind w:right="468"/>
              <w:spacing w:after="0"/>
              <w:rPr>
                <w:sz w:val="20"/>
                <w:szCs w:val="20"/>
                <w:color w:val="auto"/>
              </w:rPr>
            </w:pPr>
            <w:r>
              <w:rPr>
                <w:rFonts w:ascii="Arial" w:cs="Arial" w:eastAsia="Arial" w:hAnsi="Arial"/>
                <w:sz w:val="10"/>
                <w:szCs w:val="10"/>
                <w:color w:val="auto"/>
              </w:rPr>
              <w:t>—</w:t>
            </w:r>
          </w:p>
        </w:tc>
        <w:tc>
          <w:tcPr>
            <w:tcW w:w="640" w:type="dxa"/>
            <w:vAlign w:val="bottom"/>
            <w:gridSpan w:val="6"/>
          </w:tcPr>
          <w:p>
            <w:pPr>
              <w:jc w:val="right"/>
              <w:ind w:right="300"/>
              <w:spacing w:after="0"/>
              <w:rPr>
                <w:sz w:val="20"/>
                <w:szCs w:val="20"/>
                <w:color w:val="auto"/>
              </w:rPr>
            </w:pPr>
            <w:r>
              <w:rPr>
                <w:rFonts w:ascii="Arial" w:cs="Arial" w:eastAsia="Arial" w:hAnsi="Arial"/>
                <w:sz w:val="10"/>
                <w:szCs w:val="10"/>
                <w:color w:val="auto"/>
              </w:rPr>
              <w:t>—</w:t>
            </w:r>
          </w:p>
        </w:tc>
        <w:tc>
          <w:tcPr>
            <w:tcW w:w="540" w:type="dxa"/>
            <w:vAlign w:val="bottom"/>
            <w:gridSpan w:val="5"/>
          </w:tcPr>
          <w:p>
            <w:pPr>
              <w:jc w:val="right"/>
              <w:ind w:right="260"/>
              <w:spacing w:after="0"/>
              <w:rPr>
                <w:sz w:val="20"/>
                <w:szCs w:val="20"/>
                <w:color w:val="auto"/>
              </w:rPr>
            </w:pPr>
            <w:r>
              <w:rPr>
                <w:rFonts w:ascii="Arial" w:cs="Arial" w:eastAsia="Arial" w:hAnsi="Arial"/>
                <w:sz w:val="10"/>
                <w:szCs w:val="10"/>
                <w:color w:val="auto"/>
              </w:rPr>
              <w:t>—</w:t>
            </w:r>
          </w:p>
        </w:tc>
        <w:tc>
          <w:tcPr>
            <w:tcW w:w="780" w:type="dxa"/>
            <w:vAlign w:val="bottom"/>
            <w:gridSpan w:val="5"/>
          </w:tcPr>
          <w:p>
            <w:pPr>
              <w:jc w:val="right"/>
              <w:ind w:right="148"/>
              <w:spacing w:after="0"/>
              <w:rPr>
                <w:sz w:val="20"/>
                <w:szCs w:val="20"/>
                <w:color w:val="auto"/>
              </w:rPr>
            </w:pPr>
            <w:r>
              <w:rPr>
                <w:rFonts w:ascii="Arial" w:cs="Arial" w:eastAsia="Arial" w:hAnsi="Arial"/>
                <w:sz w:val="10"/>
                <w:szCs w:val="10"/>
                <w:color w:val="auto"/>
              </w:rPr>
              <w:t>—</w:t>
            </w:r>
          </w:p>
        </w:tc>
        <w:tc>
          <w:tcPr>
            <w:tcW w:w="1080" w:type="dxa"/>
            <w:vAlign w:val="bottom"/>
            <w:gridSpan w:val="6"/>
          </w:tcPr>
          <w:p>
            <w:pPr>
              <w:jc w:val="right"/>
              <w:ind w:right="700"/>
              <w:spacing w:after="0"/>
              <w:rPr>
                <w:sz w:val="20"/>
                <w:szCs w:val="20"/>
                <w:color w:val="auto"/>
              </w:rPr>
            </w:pPr>
            <w:r>
              <w:rPr>
                <w:rFonts w:ascii="Arial" w:cs="Arial" w:eastAsia="Arial" w:hAnsi="Arial"/>
                <w:sz w:val="10"/>
                <w:szCs w:val="10"/>
                <w:color w:val="auto"/>
              </w:rPr>
              <w:t>—</w:t>
            </w:r>
          </w:p>
        </w:tc>
        <w:tc>
          <w:tcPr>
            <w:tcW w:w="660" w:type="dxa"/>
            <w:vAlign w:val="bottom"/>
            <w:gridSpan w:val="5"/>
          </w:tcPr>
          <w:p>
            <w:pPr>
              <w:jc w:val="right"/>
              <w:ind w:right="508"/>
              <w:spacing w:after="0"/>
              <w:rPr>
                <w:sz w:val="20"/>
                <w:szCs w:val="20"/>
                <w:color w:val="auto"/>
              </w:rPr>
            </w:pPr>
            <w:r>
              <w:rPr>
                <w:rFonts w:ascii="Arial" w:cs="Arial" w:eastAsia="Arial" w:hAnsi="Arial"/>
                <w:sz w:val="10"/>
                <w:szCs w:val="10"/>
                <w:color w:val="auto"/>
                <w:w w:val="79"/>
              </w:rPr>
              <w:t>—</w:t>
            </w:r>
          </w:p>
        </w:tc>
        <w:tc>
          <w:tcPr>
            <w:tcW w:w="640" w:type="dxa"/>
            <w:vAlign w:val="bottom"/>
            <w:gridSpan w:val="7"/>
          </w:tcPr>
          <w:p>
            <w:pPr>
              <w:jc w:val="right"/>
              <w:ind w:right="400"/>
              <w:spacing w:after="0"/>
              <w:rPr>
                <w:sz w:val="20"/>
                <w:szCs w:val="20"/>
                <w:color w:val="auto"/>
              </w:rPr>
            </w:pPr>
            <w:r>
              <w:rPr>
                <w:rFonts w:ascii="Arial" w:cs="Arial" w:eastAsia="Arial" w:hAnsi="Arial"/>
                <w:sz w:val="10"/>
                <w:szCs w:val="10"/>
                <w:color w:val="auto"/>
                <w:w w:val="87"/>
              </w:rPr>
              <w:t>1,426</w:t>
            </w:r>
          </w:p>
        </w:tc>
        <w:tc>
          <w:tcPr>
            <w:tcW w:w="720" w:type="dxa"/>
            <w:vAlign w:val="bottom"/>
            <w:gridSpan w:val="5"/>
          </w:tcPr>
          <w:p>
            <w:pPr>
              <w:jc w:val="right"/>
              <w:ind w:right="148"/>
              <w:spacing w:after="0"/>
              <w:rPr>
                <w:sz w:val="20"/>
                <w:szCs w:val="20"/>
                <w:color w:val="auto"/>
              </w:rPr>
            </w:pPr>
            <w:r>
              <w:rPr>
                <w:rFonts w:ascii="Arial" w:cs="Arial" w:eastAsia="Arial" w:hAnsi="Arial"/>
                <w:sz w:val="10"/>
                <w:szCs w:val="10"/>
                <w:color w:val="auto"/>
              </w:rPr>
              <w:t>1,426</w:t>
            </w:r>
          </w:p>
        </w:tc>
        <w:tc>
          <w:tcPr>
            <w:tcW w:w="780" w:type="dxa"/>
            <w:vAlign w:val="bottom"/>
            <w:gridSpan w:val="4"/>
          </w:tcPr>
          <w:p>
            <w:pPr>
              <w:jc w:val="right"/>
              <w:ind w:right="228"/>
              <w:spacing w:after="0"/>
              <w:rPr>
                <w:sz w:val="20"/>
                <w:szCs w:val="20"/>
                <w:color w:val="auto"/>
              </w:rPr>
            </w:pPr>
            <w:r>
              <w:rPr>
                <w:rFonts w:ascii="Arial" w:cs="Arial" w:eastAsia="Arial" w:hAnsi="Arial"/>
                <w:sz w:val="10"/>
                <w:szCs w:val="10"/>
                <w:color w:val="auto"/>
              </w:rPr>
              <w:t>—</w:t>
            </w:r>
          </w:p>
        </w:tc>
        <w:tc>
          <w:tcPr>
            <w:tcW w:w="720" w:type="dxa"/>
            <w:vAlign w:val="bottom"/>
            <w:gridSpan w:val="5"/>
          </w:tcPr>
          <w:p>
            <w:pPr>
              <w:jc w:val="right"/>
              <w:ind w:right="200"/>
              <w:spacing w:after="0"/>
              <w:rPr>
                <w:sz w:val="20"/>
                <w:szCs w:val="20"/>
                <w:color w:val="auto"/>
              </w:rPr>
            </w:pPr>
            <w:r>
              <w:rPr>
                <w:rFonts w:ascii="Arial" w:cs="Arial" w:eastAsia="Arial" w:hAnsi="Arial"/>
                <w:sz w:val="10"/>
                <w:szCs w:val="10"/>
                <w:color w:val="auto"/>
              </w:rPr>
              <w:t>11,413</w:t>
            </w: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rPr>
              <w:t>12,839</w:t>
            </w:r>
          </w:p>
        </w:tc>
        <w:tc>
          <w:tcPr>
            <w:tcW w:w="0" w:type="dxa"/>
            <w:vAlign w:val="bottom"/>
          </w:tcPr>
          <w:p>
            <w:pPr>
              <w:spacing w:after="0"/>
              <w:rPr>
                <w:sz w:val="1"/>
                <w:szCs w:val="1"/>
                <w:color w:val="auto"/>
              </w:rPr>
            </w:pPr>
          </w:p>
        </w:tc>
      </w:tr>
      <w:tr>
        <w:trPr>
          <w:trHeight w:val="34"/>
        </w:trPr>
        <w:tc>
          <w:tcPr>
            <w:tcW w:w="10840" w:type="dxa"/>
            <w:vAlign w:val="bottom"/>
            <w:gridSpan w:val="6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tcBorders>
              <w:right w:val="single" w:sz="8" w:color="CCEEFF"/>
            </w:tcBorders>
            <w:gridSpan w:val="7"/>
          </w:tcPr>
          <w:p>
            <w:pPr>
              <w:spacing w:after="0"/>
              <w:rPr>
                <w:sz w:val="20"/>
                <w:szCs w:val="20"/>
                <w:color w:val="auto"/>
              </w:rPr>
            </w:pPr>
            <w:r>
              <w:rPr>
                <w:rFonts w:ascii="Arial" w:cs="Arial" w:eastAsia="Arial" w:hAnsi="Arial"/>
                <w:sz w:val="10"/>
                <w:szCs w:val="10"/>
                <w:color w:val="auto"/>
              </w:rPr>
              <w:t>Rebalancing of controlling and non-</w:t>
            </w:r>
          </w:p>
        </w:tc>
        <w:tc>
          <w:tcPr>
            <w:tcW w:w="4500" w:type="dxa"/>
            <w:vAlign w:val="bottom"/>
            <w:gridSpan w:val="33"/>
            <w:shd w:val="clear" w:color="auto" w:fill="CCEEFF"/>
          </w:tcPr>
          <w:p>
            <w:pPr>
              <w:spacing w:after="0"/>
              <w:rPr>
                <w:sz w:val="12"/>
                <w:szCs w:val="12"/>
                <w:color w:val="auto"/>
              </w:rPr>
            </w:pPr>
          </w:p>
        </w:tc>
        <w:tc>
          <w:tcPr>
            <w:tcW w:w="240" w:type="dxa"/>
            <w:vAlign w:val="bottom"/>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80" w:type="dxa"/>
            <w:vAlign w:val="bottom"/>
            <w:gridSpan w:val="2"/>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3040" w:type="dxa"/>
            <w:vAlign w:val="bottom"/>
            <w:gridSpan w:val="21"/>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2160" w:type="dxa"/>
            <w:vAlign w:val="bottom"/>
            <w:tcBorders>
              <w:bottom w:val="single" w:sz="8" w:color="CCEEFF"/>
              <w:right w:val="single" w:sz="8" w:color="CCEEFF"/>
            </w:tcBorders>
            <w:gridSpan w:val="6"/>
            <w:shd w:val="clear" w:color="auto" w:fill="CCEEFF"/>
          </w:tcPr>
          <w:p>
            <w:pPr>
              <w:ind w:left="20"/>
              <w:spacing w:after="0"/>
              <w:rPr>
                <w:sz w:val="20"/>
                <w:szCs w:val="20"/>
                <w:color w:val="auto"/>
              </w:rPr>
            </w:pPr>
            <w:r>
              <w:rPr>
                <w:rFonts w:ascii="Arial" w:cs="Arial" w:eastAsia="Arial" w:hAnsi="Arial"/>
                <w:sz w:val="10"/>
                <w:szCs w:val="10"/>
                <w:color w:val="auto"/>
              </w:rPr>
              <w:t>controlling interest</w:t>
            </w:r>
          </w:p>
        </w:tc>
        <w:tc>
          <w:tcPr>
            <w:tcW w:w="56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gridSpan w:val="5"/>
            <w:shd w:val="clear" w:color="auto" w:fill="CCEEFF"/>
          </w:tcPr>
          <w:p>
            <w:pPr>
              <w:jc w:val="right"/>
              <w:ind w:right="468"/>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6"/>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gridSpan w:val="5"/>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0"/>
                <w:szCs w:val="10"/>
                <w:color w:val="auto"/>
              </w:rPr>
              <w:t>(7,132)</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gridSpan w:val="11"/>
            <w:shd w:val="clear" w:color="auto" w:fill="CCEEFF"/>
          </w:tcPr>
          <w:p>
            <w:pPr>
              <w:jc w:val="right"/>
              <w:ind w:right="1048"/>
              <w:spacing w:after="0"/>
              <w:rPr>
                <w:sz w:val="20"/>
                <w:szCs w:val="20"/>
                <w:color w:val="auto"/>
              </w:rPr>
            </w:pPr>
            <w:r>
              <w:rPr>
                <w:rFonts w:ascii="Arial" w:cs="Arial" w:eastAsia="Arial" w:hAnsi="Arial"/>
                <w:sz w:val="10"/>
                <w:szCs w:val="10"/>
                <w:color w:val="auto"/>
              </w:rPr>
              <w:t>(7,132)</w:t>
            </w:r>
          </w:p>
        </w:tc>
        <w:tc>
          <w:tcPr>
            <w:tcW w:w="780" w:type="dxa"/>
            <w:vAlign w:val="bottom"/>
            <w:tcBorders>
              <w:bottom w:val="single" w:sz="8" w:color="CCEEFF"/>
            </w:tcBorders>
            <w:gridSpan w:val="4"/>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EEFF"/>
            </w:tcBorders>
            <w:gridSpan w:val="6"/>
            <w:shd w:val="clear" w:color="auto" w:fill="CCEEFF"/>
          </w:tcPr>
          <w:p>
            <w:pPr>
              <w:jc w:val="right"/>
              <w:ind w:right="588"/>
              <w:spacing w:after="0"/>
              <w:rPr>
                <w:sz w:val="20"/>
                <w:szCs w:val="20"/>
                <w:color w:val="auto"/>
              </w:rPr>
            </w:pPr>
            <w:r>
              <w:rPr>
                <w:rFonts w:ascii="Arial" w:cs="Arial" w:eastAsia="Arial" w:hAnsi="Arial"/>
                <w:sz w:val="10"/>
                <w:szCs w:val="10"/>
                <w:color w:val="auto"/>
              </w:rPr>
              <w:t>7,132</w:t>
            </w: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0"/>
                <w:szCs w:val="10"/>
                <w:b w:val="1"/>
                <w:bCs w:val="1"/>
                <w:color w:val="auto"/>
              </w:rPr>
              <w:t>Balance, September 30, 2022</w:t>
            </w: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10,940,372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1</w:t>
            </w: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35,395,738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49,119,976</w:t>
            </w:r>
          </w:p>
        </w:tc>
        <w:tc>
          <w:tcPr>
            <w:tcW w:w="80" w:type="dxa"/>
            <w:vAlign w:val="bottom"/>
            <w:gridSpan w:val="2"/>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5</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w w:val="79"/>
              </w:rPr>
              <w:t>6,731</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87"/>
              </w:rPr>
              <w:t>2,954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9,695</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95"/>
              </w:rPr>
              <w:t>84,515,714</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74,897</w:t>
            </w: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84,592</w:t>
            </w:r>
          </w:p>
        </w:tc>
        <w:tc>
          <w:tcPr>
            <w:tcW w:w="0" w:type="dxa"/>
            <w:vAlign w:val="bottom"/>
          </w:tcPr>
          <w:p>
            <w:pPr>
              <w:spacing w:after="0"/>
              <w:rPr>
                <w:sz w:val="1"/>
                <w:szCs w:val="1"/>
                <w:color w:val="auto"/>
              </w:rPr>
            </w:pPr>
          </w:p>
        </w:tc>
      </w:tr>
      <w:tr>
        <w:trPr>
          <w:trHeight w:val="23"/>
        </w:trPr>
        <w:tc>
          <w:tcPr>
            <w:tcW w:w="1820" w:type="dxa"/>
            <w:vAlign w:val="bottom"/>
            <w:gridSpan w:val="4"/>
          </w:tcPr>
          <w:p>
            <w:pPr>
              <w:spacing w:after="0"/>
              <w:rPr>
                <w:sz w:val="2"/>
                <w:szCs w:val="2"/>
                <w:color w:val="auto"/>
              </w:rPr>
            </w:pPr>
          </w:p>
        </w:tc>
        <w:tc>
          <w:tcPr>
            <w:tcW w:w="76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50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80" w:type="dxa"/>
            <w:vAlign w:val="bottom"/>
            <w:gridSpan w:val="2"/>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Borders>
              <w:bottom w:val="single" w:sz="8" w:color="auto"/>
            </w:tcBorders>
            <w:gridSpan w:val="9"/>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6"/>
          </w:tcPr>
          <w:p>
            <w:pPr>
              <w:jc w:val="right"/>
              <w:ind w:right="88"/>
              <w:spacing w:after="0"/>
              <w:rPr>
                <w:sz w:val="20"/>
                <w:szCs w:val="20"/>
                <w:color w:val="auto"/>
              </w:rPr>
            </w:pPr>
            <w:r>
              <w:rPr>
                <w:rFonts w:ascii="Arial" w:cs="Arial" w:eastAsia="Arial" w:hAnsi="Arial"/>
                <w:sz w:val="10"/>
                <w:szCs w:val="10"/>
                <w:b w:val="1"/>
                <w:bCs w:val="1"/>
                <w:color w:val="auto"/>
                <w:w w:val="99"/>
              </w:rPr>
              <w:t>Brilliant Earth, LLC</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gridSpan w:val="16"/>
          </w:tcPr>
          <w:p>
            <w:pPr>
              <w:jc w:val="center"/>
              <w:spacing w:after="0"/>
              <w:rPr>
                <w:sz w:val="20"/>
                <w:szCs w:val="20"/>
                <w:color w:val="auto"/>
              </w:rPr>
            </w:pPr>
            <w:r>
              <w:rPr>
                <w:rFonts w:ascii="Arial" w:cs="Arial" w:eastAsia="Arial" w:hAnsi="Arial"/>
                <w:sz w:val="10"/>
                <w:szCs w:val="10"/>
                <w:b w:val="1"/>
                <w:bCs w:val="1"/>
                <w:color w:val="auto"/>
                <w:w w:val="96"/>
              </w:rPr>
              <w:t>Brilliant Earth Group, Inc. Stockholders' Equity</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160" w:type="dxa"/>
            <w:vAlign w:val="bottom"/>
            <w:gridSpan w:val="2"/>
          </w:tcPr>
          <w:p>
            <w:pPr>
              <w:spacing w:after="0"/>
              <w:rPr>
                <w:sz w:val="2"/>
                <w:szCs w:val="2"/>
                <w:color w:val="auto"/>
              </w:rPr>
            </w:pPr>
          </w:p>
        </w:tc>
        <w:tc>
          <w:tcPr>
            <w:tcW w:w="2380" w:type="dxa"/>
            <w:vAlign w:val="bottom"/>
            <w:tcBorders>
              <w:bottom w:val="single" w:sz="8" w:color="auto"/>
            </w:tcBorders>
            <w:gridSpan w:val="13"/>
          </w:tcPr>
          <w:p>
            <w:pPr>
              <w:spacing w:after="0"/>
              <w:rPr>
                <w:sz w:val="2"/>
                <w:szCs w:val="2"/>
                <w:color w:val="auto"/>
              </w:rPr>
            </w:pPr>
          </w:p>
        </w:tc>
        <w:tc>
          <w:tcPr>
            <w:tcW w:w="80" w:type="dxa"/>
            <w:vAlign w:val="bottom"/>
          </w:tcPr>
          <w:p>
            <w:pPr>
              <w:spacing w:after="0"/>
              <w:rPr>
                <w:sz w:val="2"/>
                <w:szCs w:val="2"/>
                <w:color w:val="auto"/>
              </w:rPr>
            </w:pPr>
          </w:p>
        </w:tc>
        <w:tc>
          <w:tcPr>
            <w:tcW w:w="5680" w:type="dxa"/>
            <w:vAlign w:val="bottom"/>
            <w:tcBorders>
              <w:bottom w:val="single" w:sz="8" w:color="auto"/>
            </w:tcBorders>
            <w:gridSpan w:val="41"/>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gridSpan w:val="6"/>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0840" w:type="dxa"/>
            <w:vAlign w:val="bottom"/>
            <w:gridSpan w:val="66"/>
          </w:tcPr>
          <w:p>
            <w:pPr>
              <w:spacing w:after="0"/>
              <w:rPr>
                <w:sz w:val="20"/>
                <w:szCs w:val="20"/>
                <w:color w:val="auto"/>
              </w:rPr>
            </w:pPr>
            <w:r>
              <w:rPr>
                <w:rFonts w:ascii="Arial" w:cs="Arial" w:eastAsia="Arial" w:hAnsi="Arial"/>
                <w:sz w:val="10"/>
                <w:szCs w:val="10"/>
                <w:b w:val="1"/>
                <w:bCs w:val="1"/>
                <w:color w:val="auto"/>
              </w:rPr>
              <w:t>Non-</w:t>
            </w:r>
          </w:p>
        </w:tc>
        <w:tc>
          <w:tcPr>
            <w:tcW w:w="0" w:type="dxa"/>
            <w:vAlign w:val="bottom"/>
          </w:tcPr>
          <w:p>
            <w:pPr>
              <w:spacing w:after="0"/>
              <w:rPr>
                <w:sz w:val="1"/>
                <w:szCs w:val="1"/>
                <w:color w:val="auto"/>
              </w:rPr>
            </w:pPr>
          </w:p>
        </w:tc>
      </w:tr>
      <w:tr>
        <w:trPr>
          <w:trHeight w:val="129"/>
        </w:trPr>
        <w:tc>
          <w:tcPr>
            <w:tcW w:w="9380" w:type="dxa"/>
            <w:vAlign w:val="bottom"/>
            <w:gridSpan w:val="58"/>
          </w:tcPr>
          <w:p>
            <w:pPr>
              <w:spacing w:after="0"/>
              <w:rPr>
                <w:sz w:val="20"/>
                <w:szCs w:val="20"/>
                <w:color w:val="auto"/>
              </w:rPr>
            </w:pPr>
            <w:r>
              <w:rPr>
                <w:rFonts w:ascii="Arial" w:cs="Arial" w:eastAsia="Arial" w:hAnsi="Arial"/>
                <w:sz w:val="10"/>
                <w:szCs w:val="10"/>
                <w:b w:val="1"/>
                <w:bCs w:val="1"/>
                <w:color w:val="auto"/>
              </w:rPr>
              <w:t>Class F Units and Class</w:t>
            </w:r>
          </w:p>
        </w:tc>
        <w:tc>
          <w:tcPr>
            <w:tcW w:w="1460" w:type="dxa"/>
            <w:vAlign w:val="bottom"/>
            <w:gridSpan w:val="8"/>
          </w:tcPr>
          <w:p>
            <w:pPr>
              <w:jc w:val="center"/>
              <w:ind w:right="808"/>
              <w:spacing w:after="0"/>
              <w:rPr>
                <w:sz w:val="20"/>
                <w:szCs w:val="20"/>
                <w:color w:val="auto"/>
              </w:rPr>
            </w:pPr>
            <w:r>
              <w:rPr>
                <w:rFonts w:ascii="Arial" w:cs="Arial" w:eastAsia="Arial" w:hAnsi="Arial"/>
                <w:sz w:val="10"/>
                <w:szCs w:val="10"/>
                <w:b w:val="1"/>
                <w:bCs w:val="1"/>
                <w:color w:val="auto"/>
                <w:w w:val="97"/>
              </w:rPr>
              <w:t>Controlling</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gridSpan w:val="5"/>
          </w:tcPr>
          <w:p>
            <w:pPr>
              <w:ind w:left="280"/>
              <w:spacing w:after="0"/>
              <w:rPr>
                <w:sz w:val="20"/>
                <w:szCs w:val="20"/>
                <w:color w:val="auto"/>
              </w:rPr>
            </w:pPr>
            <w:r>
              <w:rPr>
                <w:rFonts w:ascii="Arial" w:cs="Arial" w:eastAsia="Arial" w:hAnsi="Arial"/>
                <w:sz w:val="10"/>
                <w:szCs w:val="10"/>
                <w:b w:val="1"/>
                <w:bCs w:val="1"/>
                <w:color w:val="auto"/>
              </w:rPr>
              <w:t>Class P Units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M Units</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11"/>
          </w:tcPr>
          <w:p>
            <w:pPr>
              <w:jc w:val="right"/>
              <w:ind w:right="100"/>
              <w:spacing w:after="0"/>
              <w:rPr>
                <w:sz w:val="20"/>
                <w:szCs w:val="20"/>
                <w:color w:val="auto"/>
              </w:rPr>
            </w:pPr>
            <w:r>
              <w:rPr>
                <w:rFonts w:ascii="Arial" w:cs="Arial" w:eastAsia="Arial" w:hAnsi="Arial"/>
                <w:sz w:val="10"/>
                <w:szCs w:val="10"/>
                <w:b w:val="1"/>
                <w:bCs w:val="1"/>
                <w:color w:val="auto"/>
                <w:w w:val="93"/>
              </w:rPr>
              <w:t>Class A Common Stock</w:t>
            </w:r>
          </w:p>
        </w:tc>
        <w:tc>
          <w:tcPr>
            <w:tcW w:w="1220" w:type="dxa"/>
            <w:vAlign w:val="bottom"/>
            <w:gridSpan w:val="7"/>
          </w:tcPr>
          <w:p>
            <w:pPr>
              <w:jc w:val="right"/>
              <w:ind w:right="120"/>
              <w:spacing w:after="0"/>
              <w:rPr>
                <w:sz w:val="20"/>
                <w:szCs w:val="20"/>
                <w:color w:val="auto"/>
              </w:rPr>
            </w:pPr>
            <w:r>
              <w:rPr>
                <w:rFonts w:ascii="Arial" w:cs="Arial" w:eastAsia="Arial" w:hAnsi="Arial"/>
                <w:sz w:val="10"/>
                <w:szCs w:val="10"/>
                <w:b w:val="1"/>
                <w:bCs w:val="1"/>
                <w:color w:val="auto"/>
                <w:w w:val="95"/>
              </w:rPr>
              <w:t>Class B Common Stock</w:t>
            </w:r>
          </w:p>
        </w:tc>
        <w:tc>
          <w:tcPr>
            <w:tcW w:w="1200" w:type="dxa"/>
            <w:vAlign w:val="bottom"/>
            <w:gridSpan w:val="8"/>
          </w:tcPr>
          <w:p>
            <w:pPr>
              <w:jc w:val="right"/>
              <w:ind w:right="120"/>
              <w:spacing w:after="0"/>
              <w:rPr>
                <w:sz w:val="20"/>
                <w:szCs w:val="20"/>
                <w:color w:val="auto"/>
              </w:rPr>
            </w:pPr>
            <w:r>
              <w:rPr>
                <w:rFonts w:ascii="Arial" w:cs="Arial" w:eastAsia="Arial" w:hAnsi="Arial"/>
                <w:sz w:val="10"/>
                <w:szCs w:val="10"/>
                <w:b w:val="1"/>
                <w:bCs w:val="1"/>
                <w:color w:val="auto"/>
                <w:w w:val="93"/>
              </w:rPr>
              <w:t>Class C Common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160" w:type="dxa"/>
            <w:vAlign w:val="bottom"/>
            <w:gridSpan w:val="2"/>
          </w:tcPr>
          <w:p>
            <w:pPr>
              <w:spacing w:after="0"/>
              <w:rPr>
                <w:sz w:val="2"/>
                <w:szCs w:val="2"/>
                <w:color w:val="auto"/>
              </w:rPr>
            </w:pPr>
          </w:p>
        </w:tc>
        <w:tc>
          <w:tcPr>
            <w:tcW w:w="2380" w:type="dxa"/>
            <w:vAlign w:val="bottom"/>
            <w:tcBorders>
              <w:bottom w:val="single" w:sz="8" w:color="auto"/>
            </w:tcBorders>
            <w:gridSpan w:val="13"/>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10"/>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7"/>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5"/>
            <w:vMerge w:val="restart"/>
          </w:tcPr>
          <w:p>
            <w:pPr>
              <w:jc w:val="right"/>
              <w:spacing w:after="0"/>
              <w:rPr>
                <w:sz w:val="20"/>
                <w:szCs w:val="20"/>
                <w:color w:val="auto"/>
              </w:rPr>
            </w:pPr>
            <w:r>
              <w:rPr>
                <w:rFonts w:ascii="Arial" w:cs="Arial" w:eastAsia="Arial" w:hAnsi="Arial"/>
                <w:sz w:val="10"/>
                <w:szCs w:val="10"/>
                <w:b w:val="1"/>
                <w:bCs w:val="1"/>
                <w:color w:val="auto"/>
              </w:rPr>
              <w:t>Additional</w:t>
            </w:r>
          </w:p>
        </w:tc>
        <w:tc>
          <w:tcPr>
            <w:tcW w:w="1600" w:type="dxa"/>
            <w:vAlign w:val="bottom"/>
            <w:gridSpan w:val="11"/>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gridSpan w:val="6"/>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2400" w:type="dxa"/>
            <w:vAlign w:val="bottom"/>
            <w:tcBorders>
              <w:right w:val="single" w:sz="8" w:color="auto"/>
            </w:tcBorders>
            <w:gridSpan w:val="7"/>
          </w:tcPr>
          <w:p>
            <w:pPr>
              <w:spacing w:after="0"/>
              <w:rPr>
                <w:sz w:val="10"/>
                <w:szCs w:val="10"/>
                <w:color w:val="auto"/>
              </w:rPr>
            </w:pPr>
          </w:p>
        </w:tc>
        <w:tc>
          <w:tcPr>
            <w:tcW w:w="4820" w:type="dxa"/>
            <w:vAlign w:val="bottom"/>
            <w:gridSpan w:val="35"/>
          </w:tcPr>
          <w:p>
            <w:pPr>
              <w:spacing w:after="0"/>
              <w:rPr>
                <w:sz w:val="10"/>
                <w:szCs w:val="10"/>
                <w:color w:val="auto"/>
              </w:rPr>
            </w:pPr>
          </w:p>
        </w:tc>
        <w:tc>
          <w:tcPr>
            <w:tcW w:w="560" w:type="dxa"/>
            <w:vAlign w:val="bottom"/>
            <w:gridSpan w:val="5"/>
            <w:vMerge w:val="continue"/>
          </w:tcPr>
          <w:p>
            <w:pPr>
              <w:spacing w:after="0"/>
              <w:rPr>
                <w:sz w:val="10"/>
                <w:szCs w:val="10"/>
                <w:color w:val="auto"/>
              </w:rPr>
            </w:pPr>
          </w:p>
        </w:tc>
        <w:tc>
          <w:tcPr>
            <w:tcW w:w="306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11"/>
                <w:szCs w:val="11"/>
                <w:color w:val="auto"/>
              </w:rPr>
            </w:pPr>
          </w:p>
        </w:tc>
        <w:tc>
          <w:tcPr>
            <w:tcW w:w="400" w:type="dxa"/>
            <w:vAlign w:val="bottom"/>
            <w:gridSpan w:val="2"/>
          </w:tcPr>
          <w:p>
            <w:pPr>
              <w:jc w:val="center"/>
              <w:ind w:left="108"/>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5"/>
          </w:tcPr>
          <w:p>
            <w:pPr>
              <w:ind w:left="120"/>
              <w:spacing w:after="0"/>
              <w:rPr>
                <w:sz w:val="20"/>
                <w:szCs w:val="20"/>
                <w:color w:val="auto"/>
              </w:rPr>
            </w:pPr>
            <w:r>
              <w:rPr>
                <w:rFonts w:ascii="Arial" w:cs="Arial" w:eastAsia="Arial" w:hAnsi="Arial"/>
                <w:sz w:val="10"/>
                <w:szCs w:val="10"/>
                <w:b w:val="1"/>
                <w:bCs w:val="1"/>
                <w:color w:val="auto"/>
              </w:rPr>
              <w:t>Total</w:t>
            </w:r>
          </w:p>
        </w:tc>
        <w:tc>
          <w:tcPr>
            <w:tcW w:w="640" w:type="dxa"/>
            <w:vAlign w:val="bottom"/>
            <w:gridSpan w:val="2"/>
          </w:tcPr>
          <w:p>
            <w:pPr>
              <w:jc w:val="right"/>
              <w:ind w:right="188"/>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4"/>
          </w:tcPr>
          <w:p>
            <w:pPr>
              <w:ind w:left="14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1"/>
                <w:szCs w:val="11"/>
                <w:color w:val="auto"/>
              </w:rPr>
            </w:pPr>
          </w:p>
        </w:tc>
        <w:tc>
          <w:tcPr>
            <w:tcW w:w="460" w:type="dxa"/>
            <w:vAlign w:val="bottom"/>
            <w:gridSpan w:val="4"/>
          </w:tcPr>
          <w:p>
            <w:pPr>
              <w:jc w:val="right"/>
              <w:ind w:right="48"/>
              <w:spacing w:after="0"/>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Retained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1"/>
              </w:rPr>
              <w:t>Stockholders'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Total Units</w:t>
            </w:r>
          </w:p>
        </w:tc>
        <w:tc>
          <w:tcPr>
            <w:tcW w:w="5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2"/>
              </w:rPr>
              <w:t>Amounts</w:t>
            </w:r>
          </w:p>
        </w:tc>
        <w:tc>
          <w:tcPr>
            <w:tcW w:w="560" w:type="dxa"/>
            <w:vAlign w:val="bottom"/>
            <w:gridSpan w:val="4"/>
          </w:tcPr>
          <w:p>
            <w:pPr>
              <w:jc w:val="right"/>
              <w:spacing w:after="0"/>
              <w:rPr>
                <w:sz w:val="20"/>
                <w:szCs w:val="20"/>
                <w:color w:val="auto"/>
              </w:rPr>
            </w:pPr>
            <w:r>
              <w:rPr>
                <w:rFonts w:ascii="Arial" w:cs="Arial" w:eastAsia="Arial" w:hAnsi="Arial"/>
                <w:sz w:val="10"/>
                <w:szCs w:val="10"/>
                <w:b w:val="1"/>
                <w:bCs w:val="1"/>
                <w:color w:val="auto"/>
                <w:w w:val="96"/>
              </w:rPr>
              <w:t>Total Units</w:t>
            </w:r>
          </w:p>
        </w:tc>
        <w:tc>
          <w:tcPr>
            <w:tcW w:w="80" w:type="dxa"/>
            <w:vAlign w:val="bottom"/>
          </w:tcPr>
          <w:p>
            <w:pPr>
              <w:spacing w:after="0"/>
              <w:rPr>
                <w:sz w:val="11"/>
                <w:szCs w:val="11"/>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0"/>
                <w:szCs w:val="10"/>
                <w:b w:val="1"/>
                <w:bCs w:val="1"/>
                <w:color w:val="auto"/>
                <w:w w:val="96"/>
              </w:rPr>
              <w:t>Amounts</w:t>
            </w:r>
          </w:p>
        </w:tc>
        <w:tc>
          <w:tcPr>
            <w:tcW w:w="80" w:type="dxa"/>
            <w:vAlign w:val="bottom"/>
          </w:tcPr>
          <w:p>
            <w:pPr>
              <w:spacing w:after="0"/>
              <w:rPr>
                <w:sz w:val="11"/>
                <w:szCs w:val="11"/>
                <w:color w:val="auto"/>
              </w:rPr>
            </w:pPr>
          </w:p>
        </w:tc>
        <w:tc>
          <w:tcPr>
            <w:tcW w:w="540" w:type="dxa"/>
            <w:vAlign w:val="bottom"/>
            <w:gridSpan w:val="4"/>
          </w:tcPr>
          <w:p>
            <w:pPr>
              <w:jc w:val="center"/>
              <w:spacing w:after="0"/>
              <w:rPr>
                <w:sz w:val="20"/>
                <w:szCs w:val="20"/>
                <w:color w:val="auto"/>
              </w:rPr>
            </w:pPr>
            <w:r>
              <w:rPr>
                <w:rFonts w:ascii="Arial" w:cs="Arial" w:eastAsia="Arial" w:hAnsi="Arial"/>
                <w:sz w:val="10"/>
                <w:szCs w:val="10"/>
                <w:b w:val="1"/>
                <w:bCs w:val="1"/>
                <w:color w:val="auto"/>
                <w:w w:val="83"/>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w w:val="96"/>
              </w:rPr>
              <w:t>Amounts</w:t>
            </w: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1"/>
                <w:szCs w:val="11"/>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6"/>
              </w:rPr>
              <w:t>Amounts</w:t>
            </w:r>
          </w:p>
        </w:tc>
        <w:tc>
          <w:tcPr>
            <w:tcW w:w="80" w:type="dxa"/>
            <w:vAlign w:val="bottom"/>
          </w:tcPr>
          <w:p>
            <w:pPr>
              <w:spacing w:after="0"/>
              <w:rPr>
                <w:sz w:val="11"/>
                <w:szCs w:val="11"/>
                <w:color w:val="auto"/>
              </w:rPr>
            </w:pPr>
          </w:p>
        </w:tc>
        <w:tc>
          <w:tcPr>
            <w:tcW w:w="44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6"/>
              </w:rPr>
              <w:t>Amounts</w:t>
            </w:r>
          </w:p>
        </w:tc>
        <w:tc>
          <w:tcPr>
            <w:tcW w:w="100" w:type="dxa"/>
            <w:vAlign w:val="bottom"/>
          </w:tcPr>
          <w:p>
            <w:pPr>
              <w:spacing w:after="0"/>
              <w:rPr>
                <w:sz w:val="11"/>
                <w:szCs w:val="11"/>
                <w:color w:val="auto"/>
              </w:rPr>
            </w:pPr>
          </w:p>
        </w:tc>
        <w:tc>
          <w:tcPr>
            <w:tcW w:w="460" w:type="dxa"/>
            <w:vAlign w:val="bottom"/>
            <w:gridSpan w:val="4"/>
          </w:tcPr>
          <w:p>
            <w:pPr>
              <w:jc w:val="right"/>
              <w:ind w:right="48"/>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2"/>
              </w:rPr>
              <w:t>Amounts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34"/>
        </w:trPr>
        <w:tc>
          <w:tcPr>
            <w:tcW w:w="116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10"/>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w w:val="94"/>
              </w:rPr>
              <w:t>Balance, January 1, 2021</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w w:val="99"/>
              </w:rPr>
              <w:t>32,435,595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66,327</w:t>
            </w:r>
          </w:p>
        </w:tc>
        <w:tc>
          <w:tcPr>
            <w:tcW w:w="5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5"/>
              </w:rPr>
              <w:t>52,770,654</w:t>
            </w: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7020" w:type="dxa"/>
            <w:vAlign w:val="bottom"/>
            <w:tcBorders>
              <w:bottom w:val="single" w:sz="8" w:color="CCEEFF"/>
            </w:tcBorders>
            <w:gridSpan w:val="51"/>
            <w:shd w:val="clear" w:color="auto" w:fill="CCEEFF"/>
          </w:tcPr>
          <w:p>
            <w:pPr>
              <w:jc w:val="right"/>
              <w:ind w:right="6660"/>
              <w:spacing w:after="0"/>
              <w:rPr>
                <w:sz w:val="20"/>
                <w:szCs w:val="20"/>
                <w:color w:val="auto"/>
              </w:rPr>
            </w:pPr>
            <w:r>
              <w:rPr>
                <w:rFonts w:ascii="Arial" w:cs="Arial" w:eastAsia="Arial" w:hAnsi="Arial"/>
                <w:sz w:val="10"/>
                <w:szCs w:val="10"/>
                <w:b w:val="1"/>
                <w:bCs w:val="1"/>
                <w:color w:val="auto"/>
                <w:w w:val="91"/>
              </w:rPr>
              <w:t>(85,395)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(85,395)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rPr>
              <w:t>Tax distributions to</w:t>
            </w:r>
          </w:p>
        </w:tc>
        <w:tc>
          <w:tcPr>
            <w:tcW w:w="7780" w:type="dxa"/>
            <w:vAlign w:val="bottom"/>
            <w:gridSpan w:val="57"/>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(11,643)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60" w:type="dxa"/>
            <w:vAlign w:val="bottom"/>
            <w:gridSpan w:val="2"/>
          </w:tcPr>
          <w:p>
            <w:pPr>
              <w:ind w:left="20"/>
              <w:spacing w:after="0"/>
              <w:rPr>
                <w:sz w:val="20"/>
                <w:szCs w:val="20"/>
                <w:color w:val="auto"/>
              </w:rPr>
            </w:pPr>
            <w:r>
              <w:rPr>
                <w:rFonts w:ascii="Arial" w:cs="Arial" w:eastAsia="Arial" w:hAnsi="Arial"/>
                <w:sz w:val="10"/>
                <w:szCs w:val="10"/>
                <w:color w:val="auto"/>
              </w:rPr>
              <w:t>members</w:t>
            </w:r>
          </w:p>
        </w:tc>
        <w:tc>
          <w:tcPr>
            <w:tcW w:w="74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(9,755)</w:t>
            </w:r>
          </w:p>
        </w:tc>
        <w:tc>
          <w:tcPr>
            <w:tcW w:w="760" w:type="dxa"/>
            <w:vAlign w:val="bottom"/>
            <w:gridSpan w:val="6"/>
          </w:tcPr>
          <w:p>
            <w:pPr>
              <w:spacing w:after="0"/>
              <w:rPr>
                <w:sz w:val="20"/>
                <w:szCs w:val="20"/>
                <w:color w:val="auto"/>
              </w:rPr>
            </w:pPr>
            <w:r>
              <w:rPr>
                <w:rFonts w:ascii="Arial" w:cs="Arial" w:eastAsia="Arial" w:hAnsi="Arial"/>
                <w:sz w:val="10"/>
                <w:szCs w:val="10"/>
                <w:color w:val="auto"/>
              </w:rPr>
              <w:t>—</w:t>
            </w:r>
          </w:p>
        </w:tc>
        <w:tc>
          <w:tcPr>
            <w:tcW w:w="7020" w:type="dxa"/>
            <w:vAlign w:val="bottom"/>
            <w:gridSpan w:val="51"/>
          </w:tcPr>
          <w:p>
            <w:pPr>
              <w:jc w:val="right"/>
              <w:ind w:right="6660"/>
              <w:spacing w:after="0"/>
              <w:rPr>
                <w:sz w:val="20"/>
                <w:szCs w:val="20"/>
                <w:color w:val="auto"/>
              </w:rPr>
            </w:pPr>
            <w:r>
              <w:rPr>
                <w:rFonts w:ascii="Arial" w:cs="Arial" w:eastAsia="Arial" w:hAnsi="Arial"/>
                <w:sz w:val="10"/>
                <w:szCs w:val="10"/>
                <w:color w:val="auto"/>
                <w:w w:val="91"/>
              </w:rPr>
              <w:t>(11,643)</w:t>
            </w: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00" w:type="dxa"/>
            <w:vAlign w:val="bottom"/>
            <w:tcBorders>
              <w:right w:val="single" w:sz="8" w:color="auto"/>
            </w:tcBorders>
            <w:gridSpan w:val="7"/>
          </w:tcPr>
          <w:p>
            <w:pPr>
              <w:spacing w:after="0"/>
              <w:rPr>
                <w:sz w:val="2"/>
                <w:szCs w:val="2"/>
                <w:color w:val="auto"/>
              </w:rPr>
            </w:pPr>
          </w:p>
        </w:tc>
        <w:tc>
          <w:tcPr>
            <w:tcW w:w="8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Vested Class M Units</w:t>
            </w:r>
          </w:p>
        </w:tc>
        <w:tc>
          <w:tcPr>
            <w:tcW w:w="7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gridSpan w:val="7"/>
            <w:shd w:val="clear" w:color="auto" w:fill="CCEEFF"/>
          </w:tcPr>
          <w:p>
            <w:pPr>
              <w:jc w:val="right"/>
              <w:ind w:right="788"/>
              <w:spacing w:after="0"/>
              <w:rPr>
                <w:sz w:val="20"/>
                <w:szCs w:val="20"/>
                <w:color w:val="auto"/>
              </w:rPr>
            </w:pPr>
            <w:r>
              <w:rPr>
                <w:rFonts w:ascii="Arial" w:cs="Arial" w:eastAsia="Arial" w:hAnsi="Arial"/>
                <w:sz w:val="10"/>
                <w:szCs w:val="10"/>
                <w:color w:val="auto"/>
              </w:rPr>
              <w:t>556,446</w:t>
            </w:r>
          </w:p>
        </w:tc>
        <w:tc>
          <w:tcPr>
            <w:tcW w:w="6940" w:type="dxa"/>
            <w:vAlign w:val="bottom"/>
            <w:tcBorders>
              <w:bottom w:val="single" w:sz="8" w:color="CCEEFF"/>
            </w:tcBorders>
            <w:gridSpan w:val="50"/>
            <w:shd w:val="clear" w:color="auto" w:fill="CCEEFF"/>
          </w:tcPr>
          <w:p>
            <w:pPr>
              <w:jc w:val="right"/>
              <w:ind w:right="66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rPr>
              <w:t>Equity-based</w:t>
            </w:r>
          </w:p>
        </w:tc>
        <w:tc>
          <w:tcPr>
            <w:tcW w:w="7780" w:type="dxa"/>
            <w:vAlign w:val="bottom"/>
            <w:gridSpan w:val="57"/>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246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60" w:type="dxa"/>
            <w:vAlign w:val="bottom"/>
            <w:gridSpan w:val="2"/>
          </w:tcPr>
          <w:p>
            <w:pPr>
              <w:ind w:left="20"/>
              <w:spacing w:after="0"/>
              <w:rPr>
                <w:sz w:val="20"/>
                <w:szCs w:val="20"/>
                <w:color w:val="auto"/>
              </w:rPr>
            </w:pPr>
            <w:r>
              <w:rPr>
                <w:rFonts w:ascii="Arial" w:cs="Arial" w:eastAsia="Arial" w:hAnsi="Arial"/>
                <w:sz w:val="10"/>
                <w:szCs w:val="10"/>
                <w:color w:val="auto"/>
              </w:rPr>
              <w:t>compensation</w:t>
            </w:r>
          </w:p>
        </w:tc>
        <w:tc>
          <w:tcPr>
            <w:tcW w:w="74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gridSpan w:val="6"/>
          </w:tcPr>
          <w:p>
            <w:pPr>
              <w:spacing w:after="0"/>
              <w:rPr>
                <w:sz w:val="20"/>
                <w:szCs w:val="20"/>
                <w:color w:val="auto"/>
              </w:rPr>
            </w:pPr>
            <w:r>
              <w:rPr>
                <w:rFonts w:ascii="Arial" w:cs="Arial" w:eastAsia="Arial" w:hAnsi="Arial"/>
                <w:sz w:val="10"/>
                <w:szCs w:val="10"/>
                <w:color w:val="auto"/>
              </w:rPr>
              <w:t>—</w:t>
            </w:r>
          </w:p>
        </w:tc>
        <w:tc>
          <w:tcPr>
            <w:tcW w:w="7020" w:type="dxa"/>
            <w:vAlign w:val="bottom"/>
            <w:gridSpan w:val="51"/>
          </w:tcPr>
          <w:p>
            <w:pPr>
              <w:jc w:val="right"/>
              <w:ind w:right="6680"/>
              <w:spacing w:after="0"/>
              <w:rPr>
                <w:sz w:val="20"/>
                <w:szCs w:val="20"/>
                <w:color w:val="auto"/>
              </w:rPr>
            </w:pPr>
            <w:r>
              <w:rPr>
                <w:rFonts w:ascii="Arial" w:cs="Arial" w:eastAsia="Arial" w:hAnsi="Arial"/>
                <w:sz w:val="10"/>
                <w:szCs w:val="10"/>
                <w:color w:val="auto"/>
              </w:rPr>
              <w:t>246</w:t>
            </w: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00" w:type="dxa"/>
            <w:vAlign w:val="bottom"/>
            <w:tcBorders>
              <w:right w:val="single" w:sz="8" w:color="auto"/>
            </w:tcBorders>
            <w:gridSpan w:val="7"/>
          </w:tcPr>
          <w:p>
            <w:pPr>
              <w:spacing w:after="0"/>
              <w:rPr>
                <w:sz w:val="2"/>
                <w:szCs w:val="2"/>
                <w:color w:val="auto"/>
              </w:rPr>
            </w:pPr>
          </w:p>
        </w:tc>
        <w:tc>
          <w:tcPr>
            <w:tcW w:w="8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rPr>
              <w:t>Net income prior to</w:t>
            </w:r>
          </w:p>
        </w:tc>
        <w:tc>
          <w:tcPr>
            <w:tcW w:w="8440" w:type="dxa"/>
            <w:vAlign w:val="bottom"/>
            <w:gridSpan w:val="59"/>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rPr>
              <w:t>Reorganization</w:t>
            </w:r>
          </w:p>
        </w:tc>
        <w:tc>
          <w:tcPr>
            <w:tcW w:w="7780" w:type="dxa"/>
            <w:vAlign w:val="bottom"/>
            <w:gridSpan w:val="57"/>
            <w:shd w:val="clear" w:color="auto" w:fill="CCEEFF"/>
          </w:tcPr>
          <w:p>
            <w:pPr>
              <w:spacing w:after="0"/>
              <w:rPr>
                <w:sz w:val="11"/>
                <w:szCs w:val="11"/>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8,526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Transactions and IPO</w:t>
            </w:r>
          </w:p>
        </w:tc>
        <w:tc>
          <w:tcPr>
            <w:tcW w:w="7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5,466</w:t>
            </w:r>
          </w:p>
        </w:tc>
        <w:tc>
          <w:tcPr>
            <w:tcW w:w="7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0"/>
                <w:szCs w:val="10"/>
                <w:color w:val="auto"/>
              </w:rPr>
              <w:t>—</w:t>
            </w:r>
          </w:p>
        </w:tc>
        <w:tc>
          <w:tcPr>
            <w:tcW w:w="7020" w:type="dxa"/>
            <w:vAlign w:val="bottom"/>
            <w:tcBorders>
              <w:bottom w:val="single" w:sz="8" w:color="CCEEFF"/>
            </w:tcBorders>
            <w:gridSpan w:val="51"/>
            <w:shd w:val="clear" w:color="auto" w:fill="CCEEFF"/>
          </w:tcPr>
          <w:p>
            <w:pPr>
              <w:jc w:val="right"/>
              <w:ind w:right="6680"/>
              <w:spacing w:after="0"/>
              <w:rPr>
                <w:sz w:val="20"/>
                <w:szCs w:val="20"/>
                <w:color w:val="auto"/>
              </w:rPr>
            </w:pPr>
            <w:r>
              <w:rPr>
                <w:rFonts w:ascii="Arial" w:cs="Arial" w:eastAsia="Arial" w:hAnsi="Arial"/>
                <w:sz w:val="10"/>
                <w:szCs w:val="10"/>
                <w:color w:val="auto"/>
              </w:rPr>
              <w:t>8,526</w:t>
            </w: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w w:val="95"/>
              </w:rPr>
              <w:t>Adjustment of redeemable</w:t>
            </w:r>
          </w:p>
        </w:tc>
        <w:tc>
          <w:tcPr>
            <w:tcW w:w="8440" w:type="dxa"/>
            <w:vAlign w:val="bottom"/>
            <w:gridSpan w:val="5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w w:val="96"/>
              </w:rPr>
              <w:t>convertible preferred units</w:t>
            </w:r>
          </w:p>
        </w:tc>
        <w:tc>
          <w:tcPr>
            <w:tcW w:w="7780" w:type="dxa"/>
            <w:vAlign w:val="bottom"/>
            <w:gridSpan w:val="57"/>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8"/>
              </w:rPr>
              <w:t>(327,189)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gridSpan w:val="2"/>
          </w:tcPr>
          <w:p>
            <w:pPr>
              <w:ind w:left="20"/>
              <w:spacing w:after="0"/>
              <w:rPr>
                <w:sz w:val="20"/>
                <w:szCs w:val="20"/>
                <w:color w:val="auto"/>
              </w:rPr>
            </w:pPr>
            <w:r>
              <w:rPr>
                <w:rFonts w:ascii="Arial" w:cs="Arial" w:eastAsia="Arial" w:hAnsi="Arial"/>
                <w:sz w:val="10"/>
                <w:szCs w:val="10"/>
                <w:color w:val="auto"/>
              </w:rPr>
              <w:t>to redemption value</w:t>
            </w:r>
          </w:p>
        </w:tc>
        <w:tc>
          <w:tcPr>
            <w:tcW w:w="74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w w:val="88"/>
              </w:rPr>
              <w:t>327,189</w:t>
            </w:r>
          </w:p>
        </w:tc>
        <w:tc>
          <w:tcPr>
            <w:tcW w:w="560" w:type="dxa"/>
            <w:vAlign w:val="bottom"/>
            <w:gridSpan w:val="4"/>
          </w:tcPr>
          <w:p>
            <w:pPr>
              <w:spacing w:after="0"/>
              <w:rPr>
                <w:sz w:val="20"/>
                <w:szCs w:val="20"/>
                <w:color w:val="auto"/>
              </w:rPr>
            </w:pPr>
            <w:r>
              <w:rPr>
                <w:rFonts w:ascii="Arial" w:cs="Arial" w:eastAsia="Arial" w:hAnsi="Arial"/>
                <w:sz w:val="10"/>
                <w:szCs w:val="10"/>
                <w:color w:val="auto"/>
              </w:rPr>
              <w:t>—</w:t>
            </w:r>
          </w:p>
        </w:tc>
        <w:tc>
          <w:tcPr>
            <w:tcW w:w="7220" w:type="dxa"/>
            <w:vAlign w:val="bottom"/>
            <w:gridSpan w:val="53"/>
          </w:tcPr>
          <w:p>
            <w:pPr>
              <w:jc w:val="right"/>
              <w:ind w:right="6660"/>
              <w:spacing w:after="0"/>
              <w:rPr>
                <w:sz w:val="20"/>
                <w:szCs w:val="20"/>
                <w:color w:val="auto"/>
              </w:rPr>
            </w:pPr>
            <w:r>
              <w:rPr>
                <w:rFonts w:ascii="Arial" w:cs="Arial" w:eastAsia="Arial" w:hAnsi="Arial"/>
                <w:sz w:val="10"/>
                <w:szCs w:val="10"/>
                <w:color w:val="auto"/>
              </w:rPr>
              <w:t>(327,189)</w:t>
            </w: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00" w:type="dxa"/>
            <w:vAlign w:val="bottom"/>
            <w:tcBorders>
              <w:right w:val="single" w:sz="8" w:color="auto"/>
            </w:tcBorders>
            <w:gridSpan w:val="7"/>
          </w:tcPr>
          <w:p>
            <w:pPr>
              <w:spacing w:after="0"/>
              <w:rPr>
                <w:sz w:val="2"/>
                <w:szCs w:val="2"/>
                <w:color w:val="auto"/>
              </w:rPr>
            </w:pPr>
          </w:p>
        </w:tc>
        <w:tc>
          <w:tcPr>
            <w:tcW w:w="8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rPr>
              <w:t>Reorganization</w:t>
            </w:r>
          </w:p>
        </w:tc>
        <w:tc>
          <w:tcPr>
            <w:tcW w:w="7780" w:type="dxa"/>
            <w:vAlign w:val="bottom"/>
            <w:gridSpan w:val="57"/>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9"/>
              </w:rPr>
              <w:t>395,651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Transactions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(32,435,595)</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8"/>
              </w:rPr>
              <w:t>(389,227)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0"/>
                <w:szCs w:val="10"/>
                <w:color w:val="auto"/>
                <w:w w:val="91"/>
              </w:rPr>
              <w:t>(53,327,100)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88"/>
              </w:rPr>
              <w:t>415,455</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9"/>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36,064,421</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9"/>
              </w:rPr>
              <w:t>50,232,863</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(19,813)</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60" w:type="dxa"/>
            <w:vAlign w:val="bottom"/>
            <w:gridSpan w:val="2"/>
          </w:tcPr>
          <w:p>
            <w:pPr>
              <w:ind w:left="20"/>
              <w:spacing w:after="0"/>
              <w:rPr>
                <w:sz w:val="20"/>
                <w:szCs w:val="20"/>
                <w:color w:val="auto"/>
              </w:rPr>
            </w:pPr>
            <w:r>
              <w:rPr>
                <w:rFonts w:ascii="Arial" w:cs="Arial" w:eastAsia="Arial" w:hAnsi="Arial"/>
                <w:sz w:val="10"/>
                <w:szCs w:val="10"/>
                <w:color w:val="auto"/>
              </w:rPr>
              <w:t>IPO Transactions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5"/>
          </w:tcPr>
          <w:p>
            <w:pPr>
              <w:jc w:val="right"/>
              <w:spacing w:after="0"/>
              <w:rPr>
                <w:sz w:val="20"/>
                <w:szCs w:val="20"/>
                <w:color w:val="auto"/>
              </w:rPr>
            </w:pPr>
            <w:r>
              <w:rPr>
                <w:rFonts w:ascii="Arial" w:cs="Arial" w:eastAsia="Arial" w:hAnsi="Arial"/>
                <w:sz w:val="10"/>
                <w:szCs w:val="10"/>
                <w:color w:val="auto"/>
              </w:rPr>
              <w:t>9,583,332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2"/>
                <w:szCs w:val="12"/>
                <w:color w:val="auto"/>
              </w:rPr>
            </w:pPr>
          </w:p>
        </w:tc>
        <w:tc>
          <w:tcPr>
            <w:tcW w:w="580" w:type="dxa"/>
            <w:vAlign w:val="bottom"/>
          </w:tcPr>
          <w:p>
            <w:pPr>
              <w:ind w:left="140"/>
              <w:spacing w:after="0"/>
              <w:rPr>
                <w:sz w:val="20"/>
                <w:szCs w:val="20"/>
                <w:color w:val="auto"/>
              </w:rPr>
            </w:pPr>
            <w:r>
              <w:rPr>
                <w:rFonts w:ascii="Arial" w:cs="Arial" w:eastAsia="Arial" w:hAnsi="Arial"/>
                <w:sz w:val="10"/>
                <w:szCs w:val="10"/>
                <w:color w:val="auto"/>
                <w:w w:val="98"/>
              </w:rPr>
              <w:t>(522,386)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gridSpan w:val="3"/>
          </w:tcPr>
          <w:p>
            <w:pPr>
              <w:ind w:left="140"/>
              <w:spacing w:after="0"/>
              <w:rPr>
                <w:sz w:val="20"/>
                <w:szCs w:val="20"/>
                <w:color w:val="auto"/>
              </w:rPr>
            </w:pPr>
            <w:r>
              <w:rPr>
                <w:rFonts w:ascii="Arial" w:cs="Arial" w:eastAsia="Arial" w:hAnsi="Arial"/>
                <w:sz w:val="10"/>
                <w:szCs w:val="10"/>
                <w:color w:val="auto"/>
                <w:w w:val="93"/>
              </w:rPr>
              <w:t>(727,613)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60" w:type="dxa"/>
            <w:vAlign w:val="bottom"/>
            <w:gridSpan w:val="4"/>
          </w:tcPr>
          <w:p>
            <w:pPr>
              <w:jc w:val="right"/>
              <w:spacing w:after="0"/>
              <w:rPr>
                <w:sz w:val="20"/>
                <w:szCs w:val="20"/>
                <w:color w:val="auto"/>
              </w:rPr>
            </w:pPr>
            <w:r>
              <w:rPr>
                <w:rFonts w:ascii="Arial" w:cs="Arial" w:eastAsia="Arial" w:hAnsi="Arial"/>
                <w:sz w:val="10"/>
                <w:szCs w:val="10"/>
                <w:color w:val="auto"/>
              </w:rPr>
              <w:t>5,936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5,937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81,917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b w:val="1"/>
                <w:bCs w:val="1"/>
                <w:color w:val="auto"/>
              </w:rPr>
              <w:t>87,854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00" w:type="dxa"/>
            <w:vAlign w:val="bottom"/>
            <w:tcBorders>
              <w:right w:val="single" w:sz="8" w:color="auto"/>
            </w:tcBorders>
            <w:gridSpan w:val="7"/>
          </w:tcPr>
          <w:p>
            <w:pPr>
              <w:spacing w:after="0"/>
              <w:rPr>
                <w:sz w:val="2"/>
                <w:szCs w:val="2"/>
                <w:color w:val="auto"/>
              </w:rPr>
            </w:pPr>
          </w:p>
        </w:tc>
        <w:tc>
          <w:tcPr>
            <w:tcW w:w="8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rPr>
              <w:t>Increase in deferred tax</w:t>
            </w:r>
          </w:p>
        </w:tc>
        <w:tc>
          <w:tcPr>
            <w:tcW w:w="8440" w:type="dxa"/>
            <w:vAlign w:val="bottom"/>
            <w:gridSpan w:val="59"/>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rPr>
              <w:t>asset from step-up tax</w:t>
            </w:r>
          </w:p>
        </w:tc>
        <w:tc>
          <w:tcPr>
            <w:tcW w:w="8440" w:type="dxa"/>
            <w:vAlign w:val="bottom"/>
            <w:gridSpan w:val="59"/>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w w:val="92"/>
              </w:rPr>
              <w:t>basis related to redemption</w:t>
            </w:r>
          </w:p>
        </w:tc>
        <w:tc>
          <w:tcPr>
            <w:tcW w:w="8440" w:type="dxa"/>
            <w:vAlign w:val="bottom"/>
            <w:gridSpan w:val="59"/>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w w:val="96"/>
              </w:rPr>
              <w:t>of LLC Units and set-up of</w:t>
            </w:r>
          </w:p>
        </w:tc>
        <w:tc>
          <w:tcPr>
            <w:tcW w:w="7780" w:type="dxa"/>
            <w:vAlign w:val="bottom"/>
            <w:gridSpan w:val="57"/>
            <w:shd w:val="clear" w:color="auto" w:fill="CCEEFF"/>
          </w:tcPr>
          <w:p>
            <w:pPr>
              <w:spacing w:after="0"/>
              <w:rPr>
                <w:sz w:val="11"/>
                <w:szCs w:val="11"/>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456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TRA liability</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9"/>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0"/>
                <w:szCs w:val="10"/>
                <w:color w:val="auto"/>
                <w:w w:val="99"/>
              </w:rPr>
              <w:t>—</w:t>
            </w:r>
          </w:p>
        </w:tc>
        <w:tc>
          <w:tcPr>
            <w:tcW w:w="6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95"/>
              </w:rPr>
              <w:t>456</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456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rPr>
              <w:t>LLC Units vesting during</w:t>
            </w:r>
          </w:p>
        </w:tc>
        <w:tc>
          <w:tcPr>
            <w:tcW w:w="7780" w:type="dxa"/>
            <w:vAlign w:val="bottom"/>
            <w:gridSpan w:val="57"/>
          </w:tcPr>
          <w:p>
            <w:pPr>
              <w:spacing w:after="0"/>
              <w:rPr>
                <w:sz w:val="12"/>
                <w:szCs w:val="12"/>
                <w:color w:val="auto"/>
              </w:rPr>
            </w:pPr>
          </w:p>
        </w:tc>
        <w:tc>
          <w:tcPr>
            <w:tcW w:w="660" w:type="dxa"/>
            <w:vAlign w:val="bottom"/>
            <w:gridSpan w:val="2"/>
            <w:vMerge w:val="restart"/>
          </w:tcPr>
          <w:p>
            <w:pPr>
              <w:jc w:val="right"/>
              <w:ind w:right="228"/>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0"/>
        </w:trPr>
        <w:tc>
          <w:tcPr>
            <w:tcW w:w="1160" w:type="dxa"/>
            <w:vAlign w:val="bottom"/>
            <w:gridSpan w:val="2"/>
          </w:tcPr>
          <w:p>
            <w:pPr>
              <w:ind w:left="20"/>
              <w:spacing w:after="0"/>
              <w:rPr>
                <w:sz w:val="20"/>
                <w:szCs w:val="20"/>
                <w:color w:val="auto"/>
              </w:rPr>
            </w:pPr>
            <w:r>
              <w:rPr>
                <w:rFonts w:ascii="Arial" w:cs="Arial" w:eastAsia="Arial" w:hAnsi="Arial"/>
                <w:sz w:val="10"/>
                <w:szCs w:val="10"/>
                <w:color w:val="auto"/>
              </w:rPr>
              <w:t>period</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Arial" w:cs="Arial" w:eastAsia="Arial" w:hAnsi="Arial"/>
                <w:sz w:val="10"/>
                <w:szCs w:val="10"/>
                <w:color w:val="auto"/>
                <w:w w:val="79"/>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gridSpan w:val="4"/>
          </w:tcPr>
          <w:p>
            <w:pPr>
              <w:jc w:val="right"/>
              <w:ind w:right="120"/>
              <w:spacing w:after="0"/>
              <w:rPr>
                <w:sz w:val="20"/>
                <w:szCs w:val="20"/>
                <w:color w:val="auto"/>
              </w:rPr>
            </w:pPr>
            <w:r>
              <w:rPr>
                <w:rFonts w:ascii="Arial" w:cs="Arial" w:eastAsia="Arial" w:hAnsi="Arial"/>
                <w:sz w:val="10"/>
                <w:szCs w:val="10"/>
                <w:color w:val="auto"/>
                <w:w w:val="99"/>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34,365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00" w:type="dxa"/>
            <w:vAlign w:val="bottom"/>
            <w:tcBorders>
              <w:right w:val="single" w:sz="8" w:color="auto"/>
            </w:tcBorders>
            <w:gridSpan w:val="7"/>
          </w:tcPr>
          <w:p>
            <w:pPr>
              <w:spacing w:after="0"/>
              <w:rPr>
                <w:sz w:val="2"/>
                <w:szCs w:val="2"/>
                <w:color w:val="auto"/>
              </w:rPr>
            </w:pPr>
          </w:p>
        </w:tc>
        <w:tc>
          <w:tcPr>
            <w:tcW w:w="8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00" w:type="dxa"/>
            <w:vAlign w:val="bottom"/>
            <w:tcBorders>
              <w:right w:val="single" w:sz="8" w:color="auto"/>
            </w:tcBorders>
            <w:gridSpan w:val="7"/>
            <w:shd w:val="clear" w:color="auto" w:fill="CCEEFF"/>
          </w:tcPr>
          <w:p>
            <w:pPr>
              <w:ind w:left="20"/>
              <w:spacing w:after="0"/>
              <w:rPr>
                <w:sz w:val="20"/>
                <w:szCs w:val="20"/>
                <w:color w:val="auto"/>
              </w:rPr>
            </w:pPr>
            <w:r>
              <w:rPr>
                <w:rFonts w:ascii="Arial" w:cs="Arial" w:eastAsia="Arial" w:hAnsi="Arial"/>
                <w:sz w:val="10"/>
                <w:szCs w:val="10"/>
                <w:color w:val="auto"/>
              </w:rPr>
              <w:t>Equity-based</w:t>
            </w:r>
          </w:p>
        </w:tc>
        <w:tc>
          <w:tcPr>
            <w:tcW w:w="7780" w:type="dxa"/>
            <w:vAlign w:val="bottom"/>
            <w:gridSpan w:val="57"/>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compensation</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9"/>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0"/>
                <w:szCs w:val="10"/>
                <w:color w:val="auto"/>
                <w:w w:val="99"/>
              </w:rPr>
              <w:t>—</w:t>
            </w:r>
          </w:p>
        </w:tc>
        <w:tc>
          <w:tcPr>
            <w:tcW w:w="6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95"/>
              </w:rPr>
              <w:t>620</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620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w w:val="96"/>
              </w:rPr>
              <w:t>Net income subsequent to</w:t>
            </w:r>
          </w:p>
        </w:tc>
        <w:tc>
          <w:tcPr>
            <w:tcW w:w="8440" w:type="dxa"/>
            <w:vAlign w:val="bottom"/>
            <w:gridSpan w:val="5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0" w:type="dxa"/>
            <w:vAlign w:val="bottom"/>
            <w:tcBorders>
              <w:right w:val="single" w:sz="8" w:color="auto"/>
            </w:tcBorders>
            <w:gridSpan w:val="7"/>
          </w:tcPr>
          <w:p>
            <w:pPr>
              <w:ind w:left="20"/>
              <w:spacing w:after="0"/>
              <w:rPr>
                <w:sz w:val="20"/>
                <w:szCs w:val="20"/>
                <w:color w:val="auto"/>
              </w:rPr>
            </w:pPr>
            <w:r>
              <w:rPr>
                <w:rFonts w:ascii="Arial" w:cs="Arial" w:eastAsia="Arial" w:hAnsi="Arial"/>
                <w:sz w:val="10"/>
                <w:szCs w:val="10"/>
                <w:color w:val="auto"/>
              </w:rPr>
              <w:t>Reorganization</w:t>
            </w:r>
          </w:p>
        </w:tc>
        <w:tc>
          <w:tcPr>
            <w:tcW w:w="7780" w:type="dxa"/>
            <w:vAlign w:val="bottom"/>
            <w:gridSpan w:val="57"/>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855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60" w:type="dxa"/>
            <w:vAlign w:val="bottom"/>
            <w:gridSpan w:val="2"/>
          </w:tcPr>
          <w:p>
            <w:pPr>
              <w:ind w:left="20"/>
              <w:spacing w:after="0"/>
              <w:rPr>
                <w:sz w:val="20"/>
                <w:szCs w:val="20"/>
                <w:color w:val="auto"/>
              </w:rPr>
            </w:pPr>
            <w:r>
              <w:rPr>
                <w:rFonts w:ascii="Arial" w:cs="Arial" w:eastAsia="Arial" w:hAnsi="Arial"/>
                <w:sz w:val="10"/>
                <w:szCs w:val="10"/>
                <w:color w:val="auto"/>
              </w:rPr>
              <w:t>Transactions and IPO</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Arial" w:cs="Arial" w:eastAsia="Arial" w:hAnsi="Arial"/>
                <w:sz w:val="10"/>
                <w:szCs w:val="10"/>
                <w:color w:val="auto"/>
                <w:w w:val="79"/>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gridSpan w:val="4"/>
          </w:tcPr>
          <w:p>
            <w:pPr>
              <w:jc w:val="right"/>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0"/>
                <w:szCs w:val="10"/>
                <w:color w:val="auto"/>
              </w:rPr>
              <w:t>66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789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16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w w:val="99"/>
              </w:rPr>
              <w:t>Balance, September 30,</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5"/>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9,583,332</w:t>
            </w:r>
          </w:p>
        </w:tc>
        <w:tc>
          <w:tcPr>
            <w:tcW w:w="400" w:type="dxa"/>
            <w:vAlign w:val="bottom"/>
            <w:gridSpan w:val="3"/>
            <w:vMerge w:val="restart"/>
            <w:shd w:val="clear" w:color="auto" w:fill="CCEEFF"/>
          </w:tcPr>
          <w:p>
            <w:pPr>
              <w:jc w:val="right"/>
              <w:ind w:right="188"/>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1</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9"/>
              </w:rPr>
              <w:t>35,576,400</w:t>
            </w:r>
          </w:p>
        </w:tc>
        <w:tc>
          <w:tcPr>
            <w:tcW w:w="60" w:type="dxa"/>
            <w:vAlign w:val="bottom"/>
            <w:shd w:val="clear" w:color="auto" w:fill="CCEEFF"/>
          </w:tcPr>
          <w:p>
            <w:pPr>
              <w:spacing w:after="0"/>
              <w:rPr>
                <w:sz w:val="10"/>
                <w:szCs w:val="10"/>
                <w:color w:val="auto"/>
              </w:rPr>
            </w:pPr>
          </w:p>
        </w:tc>
        <w:tc>
          <w:tcPr>
            <w:tcW w:w="14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4</w:t>
            </w:r>
          </w:p>
        </w:tc>
        <w:tc>
          <w:tcPr>
            <w:tcW w:w="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99"/>
              </w:rPr>
              <w:t>49,505,250</w:t>
            </w:r>
          </w:p>
        </w:tc>
        <w:tc>
          <w:tcPr>
            <w:tcW w:w="2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4"/>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7,012</w:t>
            </w:r>
          </w:p>
        </w:tc>
        <w:tc>
          <w:tcPr>
            <w:tcW w:w="180" w:type="dxa"/>
            <w:vAlign w:val="bottom"/>
            <w:gridSpan w:val="3"/>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0"/>
                <w:szCs w:val="10"/>
                <w:b w:val="1"/>
                <w:bCs w:val="1"/>
                <w:color w:val="auto"/>
              </w:rPr>
              <w:t>66</w:t>
            </w:r>
          </w:p>
        </w:tc>
        <w:tc>
          <w:tcPr>
            <w:tcW w:w="40" w:type="dxa"/>
            <w:vAlign w:val="bottom"/>
            <w:shd w:val="clear" w:color="auto" w:fill="CCEEFF"/>
          </w:tcPr>
          <w:p>
            <w:pPr>
              <w:spacing w:after="0"/>
              <w:rPr>
                <w:sz w:val="10"/>
                <w:szCs w:val="10"/>
                <w:color w:val="auto"/>
              </w:rPr>
            </w:pPr>
          </w:p>
        </w:tc>
        <w:tc>
          <w:tcPr>
            <w:tcW w:w="16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7,088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62,899</w:t>
            </w:r>
          </w:p>
        </w:tc>
        <w:tc>
          <w:tcPr>
            <w:tcW w:w="60" w:type="dxa"/>
            <w:vAlign w:val="bottom"/>
            <w:shd w:val="clear" w:color="auto" w:fill="CCEEFF"/>
          </w:tcPr>
          <w:p>
            <w:pPr>
              <w:spacing w:after="0"/>
              <w:rPr>
                <w:sz w:val="10"/>
                <w:szCs w:val="10"/>
                <w:color w:val="auto"/>
              </w:rPr>
            </w:pPr>
          </w:p>
        </w:tc>
        <w:tc>
          <w:tcPr>
            <w:tcW w:w="1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69,987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89"/>
              </w:rPr>
              <w:t>2021</w:t>
            </w:r>
          </w:p>
        </w:tc>
        <w:tc>
          <w:tcPr>
            <w:tcW w:w="9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tcBorders>
              <w:right w:val="single" w:sz="8" w:color="CCEEFF"/>
            </w:tcBorders>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620" w:type="dxa"/>
            <w:vAlign w:val="bottom"/>
            <w:gridSpan w:val="5"/>
            <w:vMerge w:val="continue"/>
            <w:shd w:val="clear" w:color="auto" w:fill="CCEEFF"/>
          </w:tcPr>
          <w:p>
            <w:pPr>
              <w:spacing w:after="0"/>
              <w:rPr>
                <w:sz w:val="13"/>
                <w:szCs w:val="13"/>
                <w:color w:val="auto"/>
              </w:rPr>
            </w:pPr>
          </w:p>
        </w:tc>
        <w:tc>
          <w:tcPr>
            <w:tcW w:w="400" w:type="dxa"/>
            <w:vAlign w:val="bottom"/>
            <w:gridSpan w:val="3"/>
            <w:vMerge w:val="continue"/>
            <w:shd w:val="clear" w:color="auto" w:fill="CCEEFF"/>
          </w:tcPr>
          <w:p>
            <w:pPr>
              <w:spacing w:after="0"/>
              <w:rPr>
                <w:sz w:val="13"/>
                <w:szCs w:val="13"/>
                <w:color w:val="auto"/>
              </w:rPr>
            </w:pPr>
          </w:p>
        </w:tc>
        <w:tc>
          <w:tcPr>
            <w:tcW w:w="180" w:type="dxa"/>
            <w:vAlign w:val="bottom"/>
            <w:gridSpan w:val="3"/>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3"/>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28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gridSpan w:val="4"/>
            <w:vMerge w:val="continue"/>
            <w:shd w:val="clear" w:color="auto" w:fill="CCEEFF"/>
          </w:tcPr>
          <w:p>
            <w:pPr>
              <w:spacing w:after="0"/>
              <w:rPr>
                <w:sz w:val="13"/>
                <w:szCs w:val="13"/>
                <w:color w:val="auto"/>
              </w:rPr>
            </w:pPr>
          </w:p>
        </w:tc>
        <w:tc>
          <w:tcPr>
            <w:tcW w:w="180" w:type="dxa"/>
            <w:vAlign w:val="bottom"/>
            <w:gridSpan w:val="3"/>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3"/>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3"/>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54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ind w:left="59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8" w:name="page9"/>
    <w:bookmarkEnd w:id="8"/>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Brilliant Earth Group, Inc.</w:t>
      </w:r>
    </w:p>
    <w:p>
      <w:pPr>
        <w:spacing w:after="0" w:line="2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(Unaudited and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20" w:type="dxa"/>
            <w:vAlign w:val="bottom"/>
          </w:tcPr>
          <w:p>
            <w:pPr>
              <w:spacing w:after="0"/>
              <w:rPr>
                <w:sz w:val="14"/>
                <w:szCs w:val="14"/>
                <w:color w:val="auto"/>
              </w:rPr>
            </w:pPr>
          </w:p>
        </w:tc>
        <w:tc>
          <w:tcPr>
            <w:tcW w:w="2840" w:type="dxa"/>
            <w:vAlign w:val="bottom"/>
            <w:gridSpan w:val="4"/>
          </w:tcPr>
          <w:p>
            <w:pPr>
              <w:jc w:val="right"/>
              <w:ind w:right="116"/>
              <w:spacing w:after="0"/>
              <w:rPr>
                <w:sz w:val="20"/>
                <w:szCs w:val="20"/>
                <w:color w:val="auto"/>
              </w:rPr>
            </w:pPr>
            <w:r>
              <w:rPr>
                <w:rFonts w:ascii="Arial" w:cs="Arial" w:eastAsia="Arial" w:hAnsi="Arial"/>
                <w:sz w:val="13"/>
                <w:szCs w:val="13"/>
                <w:b w:val="1"/>
                <w:bCs w:val="1"/>
                <w:color w:val="auto"/>
              </w:rPr>
              <w:t>Nine months ended September 30,</w:t>
            </w:r>
          </w:p>
        </w:tc>
        <w:tc>
          <w:tcPr>
            <w:tcW w:w="580" w:type="dxa"/>
            <w:vAlign w:val="bottom"/>
          </w:tcPr>
          <w:p>
            <w:pPr>
              <w:spacing w:after="0"/>
              <w:rPr>
                <w:sz w:val="14"/>
                <w:szCs w:val="14"/>
                <w:color w:val="auto"/>
              </w:rPr>
            </w:pPr>
          </w:p>
        </w:tc>
      </w:tr>
      <w:tr>
        <w:trPr>
          <w:trHeight w:val="39"/>
        </w:trPr>
        <w:tc>
          <w:tcPr>
            <w:tcW w:w="73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3"/>
        </w:trPr>
        <w:tc>
          <w:tcPr>
            <w:tcW w:w="732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5"/>
                <w:szCs w:val="15"/>
                <w:color w:val="auto"/>
              </w:rPr>
            </w:pPr>
          </w:p>
        </w:tc>
      </w:tr>
      <w:tr>
        <w:trPr>
          <w:trHeight w:val="39"/>
        </w:trPr>
        <w:tc>
          <w:tcPr>
            <w:tcW w:w="73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12,839</w:t>
            </w:r>
          </w:p>
        </w:tc>
        <w:tc>
          <w:tcPr>
            <w:tcW w:w="100" w:type="dxa"/>
            <w:vAlign w:val="bottom"/>
          </w:tcPr>
          <w:p>
            <w:pPr>
              <w:spacing w:after="0"/>
              <w:rPr>
                <w:sz w:val="15"/>
                <w:szCs w:val="15"/>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14,847</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Depreciation</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536</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Equity-based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6,563</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872</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Non-cash operating lease cost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Change in fair value of warrants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6,331</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Amortization of debt issuance costs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1,284</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Loss on extinguishment of debt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Other</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180"/>
        </w:trPr>
        <w:tc>
          <w:tcPr>
            <w:tcW w:w="7320" w:type="dxa"/>
            <w:vAlign w:val="bottom"/>
          </w:tcPr>
          <w:p>
            <w:pPr>
              <w:ind w:left="320"/>
              <w:spacing w:after="0"/>
              <w:rPr>
                <w:sz w:val="20"/>
                <w:szCs w:val="20"/>
                <w:color w:val="auto"/>
              </w:rPr>
            </w:pPr>
            <w:r>
              <w:rPr>
                <w:rFonts w:ascii="Arial" w:cs="Arial" w:eastAsia="Arial" w:hAnsi="Arial"/>
                <w:sz w:val="13"/>
                <w:szCs w:val="13"/>
                <w:color w:val="auto"/>
              </w:rPr>
              <w:t>Inventories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(15,610)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(6,501)</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Prepaid expenses and other current assets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903</w:t>
            </w:r>
          </w:p>
        </w:tc>
      </w:tr>
      <w:tr>
        <w:trPr>
          <w:trHeight w:val="180"/>
        </w:trPr>
        <w:tc>
          <w:tcPr>
            <w:tcW w:w="7320" w:type="dxa"/>
            <w:vAlign w:val="bottom"/>
          </w:tcPr>
          <w:p>
            <w:pPr>
              <w:ind w:left="320"/>
              <w:spacing w:after="0"/>
              <w:rPr>
                <w:sz w:val="20"/>
                <w:szCs w:val="20"/>
                <w:color w:val="auto"/>
              </w:rPr>
            </w:pPr>
            <w:r>
              <w:rPr>
                <w:rFonts w:ascii="Arial" w:cs="Arial" w:eastAsia="Arial" w:hAnsi="Arial"/>
                <w:sz w:val="13"/>
                <w:szCs w:val="13"/>
                <w:color w:val="auto"/>
              </w:rPr>
              <w:t>Other assets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Accounts payable, accrued expenses and other current liabilities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3,565</w:t>
            </w:r>
          </w:p>
        </w:tc>
      </w:tr>
      <w:tr>
        <w:trPr>
          <w:trHeight w:val="180"/>
        </w:trPr>
        <w:tc>
          <w:tcPr>
            <w:tcW w:w="7320" w:type="dxa"/>
            <w:vAlign w:val="bottom"/>
          </w:tcPr>
          <w:p>
            <w:pPr>
              <w:ind w:left="320"/>
              <w:spacing w:after="0"/>
              <w:rPr>
                <w:sz w:val="20"/>
                <w:szCs w:val="20"/>
                <w:color w:val="auto"/>
              </w:rPr>
            </w:pPr>
            <w:r>
              <w:rPr>
                <w:rFonts w:ascii="Arial" w:cs="Arial" w:eastAsia="Arial" w:hAnsi="Arial"/>
                <w:sz w:val="13"/>
                <w:szCs w:val="13"/>
                <w:color w:val="auto"/>
              </w:rPr>
              <w:t>Deferred revenue</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3,762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11,098</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Operating lease liabilities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tcPr>
          <w:p>
            <w:pPr>
              <w:ind w:left="320"/>
              <w:spacing w:after="0"/>
              <w:rPr>
                <w:sz w:val="20"/>
                <w:szCs w:val="20"/>
                <w:color w:val="auto"/>
              </w:rPr>
            </w:pPr>
            <w:r>
              <w:rPr>
                <w:rFonts w:ascii="Arial" w:cs="Arial" w:eastAsia="Arial" w:hAnsi="Arial"/>
                <w:sz w:val="13"/>
                <w:szCs w:val="13"/>
                <w:color w:val="auto"/>
              </w:rPr>
              <w:t>Deferred rent</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1,156</w:t>
            </w:r>
          </w:p>
        </w:tc>
      </w:tr>
      <w:tr>
        <w:trPr>
          <w:trHeight w:val="39"/>
        </w:trPr>
        <w:tc>
          <w:tcPr>
            <w:tcW w:w="73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2"/>
        </w:trPr>
        <w:tc>
          <w:tcPr>
            <w:tcW w:w="7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Net cash provided by operating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9,019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33,821</w:t>
            </w:r>
          </w:p>
        </w:tc>
      </w:tr>
      <w:tr>
        <w:trPr>
          <w:trHeight w:val="16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property and equipment</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(6,566)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(4,385)</w:t>
            </w:r>
          </w:p>
        </w:tc>
      </w:tr>
      <w:tr>
        <w:trPr>
          <w:trHeight w:val="173"/>
        </w:trPr>
        <w:tc>
          <w:tcPr>
            <w:tcW w:w="7320" w:type="dxa"/>
            <w:vAlign w:val="bottom"/>
          </w:tcPr>
          <w:p>
            <w:pPr>
              <w:ind w:left="440"/>
              <w:spacing w:after="0"/>
              <w:rPr>
                <w:sz w:val="20"/>
                <w:szCs w:val="20"/>
                <w:color w:val="auto"/>
              </w:rPr>
            </w:pPr>
            <w:r>
              <w:rPr>
                <w:rFonts w:ascii="Arial" w:cs="Arial" w:eastAsia="Arial" w:hAnsi="Arial"/>
                <w:sz w:val="13"/>
                <w:szCs w:val="13"/>
                <w:b w:val="1"/>
                <w:bCs w:val="1"/>
                <w:color w:val="auto"/>
              </w:rPr>
              <w:t>Net cash used in investing activities</w:t>
            </w: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(6,566)</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(4,385)</w:t>
            </w:r>
          </w:p>
        </w:tc>
      </w:tr>
      <w:tr>
        <w:trPr>
          <w:trHeight w:val="39"/>
        </w:trPr>
        <w:tc>
          <w:tcPr>
            <w:tcW w:w="73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Proceeds received from Silicon Valley Bank (“SVB”) term loan facility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65,000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Repayment of Runway term loan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(58,158)</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Tax distributions to members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(18,296)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(21,398)</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Principal payments on Runway term loan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(6,842)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Final payment and prepayment penalty on Runway term loan</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Payments of debt issuance costs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Payments on SVB term loan</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Redemption of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(14,025)</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Payments of deferred offering costs</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(1,083)</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Issuance of Class A common stock in IPO, net of underwriting discounts and offering costs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101,879</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Issuance of Class B and C shares of common stock</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39"/>
        </w:trPr>
        <w:tc>
          <w:tcPr>
            <w:tcW w:w="73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2"/>
        </w:trPr>
        <w:tc>
          <w:tcPr>
            <w:tcW w:w="7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(22,387)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65,382</w:t>
            </w:r>
          </w:p>
        </w:tc>
      </w:tr>
      <w:tr>
        <w:trPr>
          <w:trHeight w:val="173"/>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(19,934)</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94,818</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173,070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66,474</w:t>
            </w:r>
          </w:p>
        </w:tc>
      </w:tr>
      <w:tr>
        <w:trPr>
          <w:trHeight w:val="173"/>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1080" w:type="dxa"/>
            <w:vAlign w:val="bottom"/>
            <w:tcBorders>
              <w:top w:val="single" w:sz="8" w:color="auto"/>
            </w:tcBorders>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153,136</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161,292</w:t>
            </w:r>
          </w:p>
        </w:tc>
      </w:tr>
      <w:tr>
        <w:trPr>
          <w:trHeight w:val="39"/>
        </w:trPr>
        <w:tc>
          <w:tcPr>
            <w:tcW w:w="73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08"/>
        </w:trPr>
        <w:tc>
          <w:tcPr>
            <w:tcW w:w="7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Right-of-use assets and operating lease liabilities</w:t>
            </w:r>
          </w:p>
        </w:tc>
        <w:tc>
          <w:tcPr>
            <w:tcW w:w="108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Deferred tax assets associated with redemption of LLC Units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4,229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4,375</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TRA Obligation associated with redemption of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3,581</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3,919</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Purchases of property and equipment included in accounts payable and accrued liabilities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2,513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Credit to APIC related to redemption of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Debt issuance costs included in accounts payable and accrued liabilities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Debt issuance costs capitalized to principal of long-term debt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Conversion of Class F and Class M Units to Common LLC Units</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415,455</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Conversion of Class P Units to Common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389,227</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Adjustment of redeemable convertible preferred units to redemption value</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327,189</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exercise of warrants on common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6,415</w:t>
            </w: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Deferred offering costs included in accounts payable and accrued liabilities</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4,563</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180"/>
        </w:trPr>
        <w:tc>
          <w:tcPr>
            <w:tcW w:w="7320" w:type="dxa"/>
            <w:vAlign w:val="bottom"/>
          </w:tcPr>
          <w:p>
            <w:pPr>
              <w:ind w:left="220"/>
              <w:spacing w:after="0"/>
              <w:rPr>
                <w:sz w:val="20"/>
                <w:szCs w:val="20"/>
                <w:color w:val="auto"/>
              </w:rPr>
            </w:pPr>
            <w:r>
              <w:rPr>
                <w:rFonts w:ascii="Arial" w:cs="Arial" w:eastAsia="Arial" w:hAnsi="Arial"/>
                <w:sz w:val="13"/>
                <w:szCs w:val="13"/>
                <w:color w:val="auto"/>
              </w:rPr>
              <w:t>Cash paid for interest</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3,112</w:t>
            </w:r>
          </w:p>
        </w:tc>
        <w:tc>
          <w:tcPr>
            <w:tcW w:w="100" w:type="dxa"/>
            <w:vAlign w:val="bottom"/>
          </w:tcPr>
          <w:p>
            <w:pPr>
              <w:spacing w:after="0"/>
              <w:rPr>
                <w:sz w:val="15"/>
                <w:szCs w:val="15"/>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4,539</w:t>
            </w:r>
          </w:p>
        </w:tc>
      </w:tr>
      <w:tr>
        <w:trPr>
          <w:trHeight w:val="39"/>
        </w:trPr>
        <w:tc>
          <w:tcPr>
            <w:tcW w:w="7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80"/>
        </w:trPr>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paid for taxes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9"/>
        </w:trPr>
        <w:tc>
          <w:tcPr>
            <w:tcW w:w="7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69" w:lineRule="exact"/>
        <w:rPr>
          <w:sz w:val="20"/>
          <w:szCs w:val="20"/>
          <w:color w:val="auto"/>
        </w:rPr>
      </w:pPr>
    </w:p>
    <w:p>
      <w:pPr>
        <w:ind w:left="2760"/>
        <w:spacing w:after="0"/>
        <w:rPr>
          <w:sz w:val="20"/>
          <w:szCs w:val="20"/>
          <w:color w:val="auto"/>
        </w:rPr>
      </w:pPr>
      <w:r>
        <w:rPr>
          <w:rFonts w:ascii="Arial" w:cs="Arial" w:eastAsia="Arial" w:hAnsi="Arial"/>
          <w:sz w:val="14"/>
          <w:szCs w:val="14"/>
          <w:i w:val="1"/>
          <w:iCs w:val="1"/>
          <w:color w:val="auto"/>
        </w:rPr>
        <w:t xml:space="preserve">The accompanying notes are an integral part of these </w:t>
      </w:r>
      <w:r>
        <w:rPr>
          <w:rFonts w:ascii="Arial" w:cs="Arial" w:eastAsia="Arial" w:hAnsi="Arial"/>
          <w:sz w:val="15"/>
          <w:szCs w:val="15"/>
          <w:i w:val="1"/>
          <w:iCs w:val="1"/>
          <w:color w:val="auto"/>
        </w:rPr>
        <w:t>condensed consolidated financial statements</w:t>
      </w:r>
    </w:p>
    <w:p>
      <w:pPr>
        <w:sectPr>
          <w:pgSz w:w="11900" w:h="16838" w:orient="portrait"/>
          <w:cols w:equalWidth="0" w:num="1">
            <w:col w:w="10740"/>
          </w:cols>
          <w:pgMar w:left="320" w:top="136" w:right="839" w:bottom="1018" w:gutter="0" w:footer="0" w:header="0"/>
        </w:sectPr>
      </w:pPr>
    </w:p>
    <w:p>
      <w:pPr>
        <w:spacing w:after="0" w:line="287"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81280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36" w:right="839" w:bottom="1018"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Brilliant Earth Group, Inc.</w:t>
      </w:r>
    </w:p>
    <w:p>
      <w:pPr>
        <w:spacing w:after="0" w:line="28"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(Unaudited)</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BUSINESS AND ORGANIZATION</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97" w:lineRule="exact"/>
        <w:rPr>
          <w:sz w:val="20"/>
          <w:szCs w:val="20"/>
          <w:color w:val="auto"/>
        </w:rPr>
      </w:pPr>
    </w:p>
    <w:p>
      <w:pPr>
        <w:jc w:val="both"/>
        <w:ind w:right="620"/>
        <w:spacing w:after="0" w:line="259" w:lineRule="auto"/>
        <w:rPr>
          <w:sz w:val="20"/>
          <w:szCs w:val="20"/>
          <w:color w:val="auto"/>
        </w:rPr>
      </w:pPr>
      <w:r>
        <w:rPr>
          <w:rFonts w:ascii="Arial" w:cs="Arial" w:eastAsia="Arial" w:hAnsi="Arial"/>
          <w:sz w:val="19"/>
          <w:szCs w:val="19"/>
          <w:color w:val="auto"/>
        </w:rPr>
        <w:t>The Company designs, procures and sells ethically-sourced diamonds, gemstones and jewelry online and through showrooms operated in 22 locations within the United States (“U.S.”) as of September 30, 2022. Co-headquarters are located in San Francisco, California and Denver, Colorado.</w:t>
      </w: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operates in one operating and reporting segment which is the retail sale of diamonds, gemstones and jewelry. Over 90% of sales are to customers in the U.S.; sales to non-U.S. customers immediately settle in U.S. dollars and no cash balances are carried in foreign currencies. The Company’s chief operating decision maker (“CODM”), the Chief Executive Officer (“CEO”), reviews financial information presented on a consolidated basis for purposes of making operating decisions and assessing financial performance.</w:t>
      </w:r>
    </w:p>
    <w:p>
      <w:pPr>
        <w:spacing w:after="0" w:line="1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accordance with accounting principles generally accepted in the United States of America (“U.S. GAAP”) since the members of Brilliant Earth, LLC (the “Continuing Equity Owners”) prior to the IPO and merger continue to hold a controlling interest in Brilliant Earth, LLC after the merger (i.e., there was no change in control of Brilliant Earth, LLC) and since Brilliant Earth Group, Inc. was considered a “shell company” which does not meet the definition of a business, the financial statements of the combined entity represent a continuation of the financial position and results of operations of Brilliant Earth, LLC. Accordingly, the historical cost basis of assets, liabilities, and equity of Brilliant Earth, LLC are carried over to the condensed consolidated financial statements of the merged company as a common control transaction. Also, after consummation of the IPO, Brilliant Earth Group, Inc. became subject to U.S. federal, state, and local income taxes with respect to its allocable share of any taxable income of Brilliant Earth, LLC assessed at the prevailing corporate tax rates.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Initial Public Offering and purchase of LLC Interests</w:t>
      </w:r>
    </w:p>
    <w:p>
      <w:pPr>
        <w:spacing w:after="0" w:line="246" w:lineRule="exact"/>
        <w:rPr>
          <w:sz w:val="20"/>
          <w:szCs w:val="20"/>
          <w:color w:val="auto"/>
        </w:rPr>
      </w:pPr>
    </w:p>
    <w:p>
      <w:pPr>
        <w:jc w:val="both"/>
        <w:ind w:right="320"/>
        <w:spacing w:after="0" w:line="304" w:lineRule="auto"/>
        <w:rPr>
          <w:sz w:val="20"/>
          <w:szCs w:val="20"/>
          <w:color w:val="auto"/>
        </w:rPr>
      </w:pPr>
      <w:r>
        <w:rPr>
          <w:rFonts w:ascii="Arial" w:cs="Arial" w:eastAsia="Arial" w:hAnsi="Arial"/>
          <w:sz w:val="17"/>
          <w:szCs w:val="17"/>
          <w:color w:val="auto"/>
        </w:rPr>
        <w:t>On September 27, 2021, the Company completed its IPO of 9,583,332 shares of Class A common stock at an offering price of $12.00 per share, (excluding the underwriting discount), including 1,249,999 shares of Class A common stock issued pursuant to the underwriters' over-allotment option. The Company received $101.6 million in proceeds after a deduction for underwriting discounts and offering costs totaling $13.4 million.</w:t>
      </w:r>
    </w:p>
    <w:p>
      <w:pPr>
        <w:spacing w:after="0" w:line="173"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and represented a 10.1% economic interest as of the IPO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Conversion of Class F, P and M Units at time of IPO</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the IPO, the existing limited liability company agreement of Brilliant Earth, LLC was amended and restated to, among other</w:t>
      </w:r>
    </w:p>
    <w:p>
      <w:pPr>
        <w:spacing w:after="0" w:line="33"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things, recapitalize all existing Class F, P and M Units in Brilliant Earth, LLC into 86,297,284 common LLC Units after applying a conversion ratio of 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financial statements for periods prior to the IPO have been retroactively adjusted to reflect the conversion ratios (as discussed in the preceding sentence) similar to the presentation of a stock-split.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Summary of the restructuring, offering and other transactions completed in connection with the IPO</w:t>
      </w:r>
    </w:p>
    <w:p>
      <w:pPr>
        <w:spacing w:after="0" w:line="233"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auto"/>
        </w:rPr>
        <w:t>In connection with the IPO, Brilliant Earth Group, Inc. and Brilliant Earth, LLC completed a series of transactions that comprise of reorganization, offering and other financing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Reorganization Transactions which occurred as of the date of IPO:</w:t>
      </w:r>
    </w:p>
    <w:p>
      <w:pPr>
        <w:spacing w:after="0" w:line="246" w:lineRule="exact"/>
        <w:rPr>
          <w:sz w:val="20"/>
          <w:szCs w:val="20"/>
          <w:color w:val="auto"/>
        </w:rPr>
      </w:pPr>
    </w:p>
    <w:p>
      <w:pPr>
        <w:ind w:left="620" w:right="80" w:hanging="307"/>
        <w:spacing w:after="0" w:line="298" w:lineRule="auto"/>
        <w:tabs>
          <w:tab w:leader="none" w:pos="583" w:val="left"/>
        </w:tabs>
        <w:numPr>
          <w:ilvl w:val="0"/>
          <w:numId w:val="4"/>
        </w:numPr>
        <w:rPr>
          <w:rFonts w:ascii="Arial" w:cs="Arial" w:eastAsia="Arial" w:hAnsi="Arial"/>
          <w:sz w:val="17"/>
          <w:szCs w:val="17"/>
          <w:color w:val="auto"/>
        </w:rPr>
      </w:pPr>
      <w:r>
        <w:rPr>
          <w:rFonts w:ascii="Arial" w:cs="Arial" w:eastAsia="Arial" w:hAnsi="Arial"/>
          <w:sz w:val="17"/>
          <w:szCs w:val="17"/>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163" w:lineRule="exact"/>
        <w:rPr>
          <w:rFonts w:ascii="Arial" w:cs="Arial" w:eastAsia="Arial" w:hAnsi="Arial"/>
          <w:sz w:val="17"/>
          <w:szCs w:val="17"/>
          <w:color w:val="auto"/>
        </w:rPr>
      </w:pPr>
    </w:p>
    <w:p>
      <w:pPr>
        <w:ind w:left="620" w:right="160" w:hanging="307"/>
        <w:spacing w:after="0" w:line="307" w:lineRule="auto"/>
        <w:tabs>
          <w:tab w:leader="none" w:pos="609"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66" w:lineRule="exact"/>
        <w:rPr>
          <w:rFonts w:ascii="Arial" w:cs="Arial" w:eastAsia="Arial" w:hAnsi="Arial"/>
          <w:sz w:val="18"/>
          <w:szCs w:val="18"/>
          <w:color w:val="auto"/>
        </w:rPr>
      </w:pPr>
    </w:p>
    <w:p>
      <w:pPr>
        <w:ind w:left="620" w:right="220" w:hanging="307"/>
        <w:spacing w:after="0" w:line="253" w:lineRule="auto"/>
        <w:tabs>
          <w:tab w:leader="none" w:pos="609" w:val="left"/>
        </w:tabs>
        <w:numPr>
          <w:ilvl w:val="0"/>
          <w:numId w:val="4"/>
        </w:numPr>
        <w:rPr>
          <w:rFonts w:ascii="Arial" w:cs="Arial" w:eastAsia="Arial" w:hAnsi="Arial"/>
          <w:sz w:val="19"/>
          <w:szCs w:val="19"/>
          <w:color w:val="auto"/>
        </w:rPr>
      </w:pPr>
      <w:r>
        <w:rPr>
          <w:rFonts w:ascii="Arial" w:cs="Arial" w:eastAsia="Arial" w:hAnsi="Arial"/>
          <w:sz w:val="19"/>
          <w:szCs w:val="19"/>
          <w:color w:val="auto"/>
        </w:rPr>
        <w:t>Issued 36,064,421 shares of Class B common stock (prior to the redemption of 522,386 shares pursuant to the exercise of underwriters’ overallotment options discussed below) to the Continuing Equity Owners, excluding the founders, Beth Gerstein, Co-Founder and Chief Executive Officer, Eric Grossberg, Co-Founder and Executive Chairman, and Just Rocks, a Delaware corporation which is jointly owned and controlled by the founders (collectively, the “Founders”), which is equal to the number of LLC Units held by such Continuing Equity Owners excluding the Founders, for nominal consideration.</w:t>
      </w:r>
    </w:p>
    <w:p>
      <w:pPr>
        <w:spacing w:after="0" w:line="202" w:lineRule="exact"/>
        <w:rPr>
          <w:rFonts w:ascii="Arial" w:cs="Arial" w:eastAsia="Arial" w:hAnsi="Arial"/>
          <w:sz w:val="19"/>
          <w:szCs w:val="19"/>
          <w:color w:val="auto"/>
        </w:rPr>
      </w:pPr>
    </w:p>
    <w:p>
      <w:pPr>
        <w:ind w:left="620" w:right="320" w:hanging="307"/>
        <w:spacing w:after="0" w:line="245" w:lineRule="auto"/>
        <w:tabs>
          <w:tab w:leader="none" w:pos="609" w:val="left"/>
        </w:tabs>
        <w:numPr>
          <w:ilvl w:val="0"/>
          <w:numId w:val="4"/>
        </w:numPr>
        <w:rPr>
          <w:rFonts w:ascii="Arial" w:cs="Arial" w:eastAsia="Arial" w:hAnsi="Arial"/>
          <w:sz w:val="19"/>
          <w:szCs w:val="19"/>
          <w:color w:val="auto"/>
        </w:rPr>
      </w:pPr>
      <w:r>
        <w:rPr>
          <w:rFonts w:ascii="Arial" w:cs="Arial" w:eastAsia="Arial" w:hAnsi="Arial"/>
          <w:sz w:val="19"/>
          <w:szCs w:val="19"/>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07" w:lineRule="exact"/>
        <w:rPr>
          <w:rFonts w:ascii="Arial" w:cs="Arial" w:eastAsia="Arial" w:hAnsi="Arial"/>
          <w:sz w:val="19"/>
          <w:szCs w:val="19"/>
          <w:color w:val="auto"/>
        </w:rPr>
      </w:pPr>
    </w:p>
    <w:p>
      <w:pPr>
        <w:ind w:left="620" w:hanging="307"/>
        <w:spacing w:after="0" w:line="258" w:lineRule="auto"/>
        <w:tabs>
          <w:tab w:leader="none" w:pos="609" w:val="left"/>
        </w:tabs>
        <w:numPr>
          <w:ilvl w:val="0"/>
          <w:numId w:val="4"/>
        </w:numPr>
        <w:rPr>
          <w:rFonts w:ascii="Arial" w:cs="Arial" w:eastAsia="Arial" w:hAnsi="Arial"/>
          <w:sz w:val="19"/>
          <w:szCs w:val="19"/>
          <w:color w:val="auto"/>
        </w:rPr>
      </w:pPr>
      <w:r>
        <w:rPr>
          <w:rFonts w:ascii="Arial" w:cs="Arial" w:eastAsia="Arial" w:hAnsi="Arial"/>
          <w:sz w:val="19"/>
          <w:szCs w:val="19"/>
          <w:color w:val="auto"/>
        </w:rPr>
        <w:t>Entered into a Tax Receivable Agreement (the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 w:name="page12"/>
    <w:bookmarkEnd w:id="1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IPO and other transactions:</w:t>
      </w:r>
    </w:p>
    <w:p>
      <w:pPr>
        <w:spacing w:after="0" w:line="246" w:lineRule="exact"/>
        <w:rPr>
          <w:sz w:val="20"/>
          <w:szCs w:val="20"/>
          <w:color w:val="auto"/>
        </w:rPr>
      </w:pPr>
    </w:p>
    <w:p>
      <w:pPr>
        <w:ind w:left="620" w:right="180" w:hanging="307"/>
        <w:spacing w:after="0" w:line="259" w:lineRule="auto"/>
        <w:tabs>
          <w:tab w:leader="none" w:pos="609" w:val="left"/>
        </w:tabs>
        <w:numPr>
          <w:ilvl w:val="0"/>
          <w:numId w:val="5"/>
        </w:numPr>
        <w:rPr>
          <w:rFonts w:ascii="Arial" w:cs="Arial" w:eastAsia="Arial" w:hAnsi="Arial"/>
          <w:sz w:val="19"/>
          <w:szCs w:val="19"/>
          <w:color w:val="auto"/>
        </w:rPr>
      </w:pPr>
      <w:r>
        <w:rPr>
          <w:rFonts w:ascii="Arial" w:cs="Arial" w:eastAsia="Arial" w:hAnsi="Arial"/>
          <w:sz w:val="19"/>
          <w:szCs w:val="19"/>
          <w:color w:val="auto"/>
        </w:rPr>
        <w:t>Issued 9,583,332 shares of Class A common stock, including 1,249,999 shares of Class A common stock from the exercise of the underwriters' overallotment, in exchange for net proceeds of approximately $101.6 million at $12.00 per share, less underwriting discount and offering expenses.</w:t>
      </w:r>
    </w:p>
    <w:p>
      <w:pPr>
        <w:spacing w:after="0" w:line="195" w:lineRule="exact"/>
        <w:rPr>
          <w:rFonts w:ascii="Arial" w:cs="Arial" w:eastAsia="Arial" w:hAnsi="Arial"/>
          <w:sz w:val="19"/>
          <w:szCs w:val="19"/>
          <w:color w:val="auto"/>
        </w:rPr>
      </w:pPr>
    </w:p>
    <w:p>
      <w:pPr>
        <w:ind w:left="620" w:right="400" w:hanging="307"/>
        <w:spacing w:after="0" w:line="340" w:lineRule="auto"/>
        <w:tabs>
          <w:tab w:leader="none" w:pos="609" w:val="left"/>
        </w:tabs>
        <w:numPr>
          <w:ilvl w:val="0"/>
          <w:numId w:val="5"/>
        </w:numPr>
        <w:rPr>
          <w:rFonts w:ascii="Arial" w:cs="Arial" w:eastAsia="Arial" w:hAnsi="Arial"/>
          <w:sz w:val="17"/>
          <w:szCs w:val="17"/>
          <w:color w:val="auto"/>
        </w:rPr>
      </w:pPr>
      <w:r>
        <w:rPr>
          <w:rFonts w:ascii="Arial" w:cs="Arial" w:eastAsia="Arial" w:hAnsi="Arial"/>
          <w:sz w:val="17"/>
          <w:szCs w:val="17"/>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142" w:lineRule="exact"/>
        <w:rPr>
          <w:rFonts w:ascii="Arial" w:cs="Arial" w:eastAsia="Arial" w:hAnsi="Arial"/>
          <w:sz w:val="17"/>
          <w:szCs w:val="17"/>
          <w:color w:val="auto"/>
        </w:rPr>
      </w:pPr>
    </w:p>
    <w:p>
      <w:pPr>
        <w:ind w:left="620" w:right="80" w:hanging="307"/>
        <w:spacing w:after="0" w:line="253" w:lineRule="auto"/>
        <w:tabs>
          <w:tab w:leader="none" w:pos="609" w:val="left"/>
        </w:tabs>
        <w:numPr>
          <w:ilvl w:val="0"/>
          <w:numId w:val="5"/>
        </w:numPr>
        <w:rPr>
          <w:rFonts w:ascii="Arial" w:cs="Arial" w:eastAsia="Arial" w:hAnsi="Arial"/>
          <w:sz w:val="19"/>
          <w:szCs w:val="19"/>
          <w:color w:val="auto"/>
        </w:rPr>
      </w:pPr>
      <w:r>
        <w:rPr>
          <w:rFonts w:ascii="Arial" w:cs="Arial" w:eastAsia="Arial" w:hAnsi="Arial"/>
          <w:sz w:val="19"/>
          <w:szCs w:val="19"/>
          <w:color w:val="auto"/>
        </w:rPr>
        <w:t>Used net proceeds from the exercise of the underwriters’ overallotment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214" w:lineRule="exact"/>
        <w:rPr>
          <w:rFonts w:ascii="Arial" w:cs="Arial" w:eastAsia="Arial" w:hAnsi="Arial"/>
          <w:sz w:val="19"/>
          <w:szCs w:val="19"/>
          <w:color w:val="auto"/>
        </w:rPr>
      </w:pPr>
    </w:p>
    <w:p>
      <w:pPr>
        <w:ind w:left="620" w:right="80" w:hanging="307"/>
        <w:spacing w:after="0" w:line="264" w:lineRule="auto"/>
        <w:tabs>
          <w:tab w:leader="none" w:pos="609" w:val="left"/>
        </w:tabs>
        <w:numPr>
          <w:ilvl w:val="0"/>
          <w:numId w:val="5"/>
        </w:numPr>
        <w:rPr>
          <w:rFonts w:ascii="Arial" w:cs="Arial" w:eastAsia="Arial" w:hAnsi="Arial"/>
          <w:sz w:val="19"/>
          <w:szCs w:val="19"/>
          <w:color w:val="auto"/>
        </w:rPr>
      </w:pPr>
      <w:r>
        <w:rPr>
          <w:rFonts w:ascii="Arial" w:cs="Arial" w:eastAsia="Arial" w:hAnsi="Arial"/>
          <w:sz w:val="19"/>
          <w:szCs w:val="19"/>
          <w:color w:val="auto"/>
        </w:rPr>
        <w:t>Corresponding cancellation of a total of 1,249,999 shares of Class B common stock and Class C common stock resulting from the purchase of 1,249,999 LLC Units from the Continuing Equity Owners.</w:t>
      </w:r>
    </w:p>
    <w:p>
      <w:pPr>
        <w:spacing w:after="0" w:line="202" w:lineRule="exact"/>
        <w:rPr>
          <w:rFonts w:ascii="Arial" w:cs="Arial" w:eastAsia="Arial" w:hAnsi="Arial"/>
          <w:sz w:val="19"/>
          <w:szCs w:val="19"/>
          <w:color w:val="auto"/>
        </w:rPr>
      </w:pPr>
    </w:p>
    <w:p>
      <w:pPr>
        <w:ind w:left="620" w:right="180" w:hanging="307"/>
        <w:spacing w:after="0" w:line="259" w:lineRule="auto"/>
        <w:tabs>
          <w:tab w:leader="none" w:pos="6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Exercise of warrants on convertible preferred units (“Class P Units”) with a carrying value of $6.4 million as of September 22, 2021 (after the mark-to-market adjustment as of the date of exercise) into 534,589 newly issued LLC Units on a net settlement basis, elected at the option of the holder.</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and Uncertainties – COVID-19</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COVID-19 pandemic remains on-going and continues to impact the global economy. The Company’s financial performance could be adversely impacted by the on-going evolution of the pandemic, including any government-imposed pandemic restrictions. The Company cannot predict the full extent of the impacts of the COVID-19 pandemic on its business, operations, or the global economy as a whole. However, the effects could have a material impact on the Company's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233" w:lineRule="exact"/>
        <w:rPr>
          <w:sz w:val="20"/>
          <w:szCs w:val="20"/>
          <w:color w:val="auto"/>
        </w:rPr>
      </w:pPr>
    </w:p>
    <w:p>
      <w:pPr>
        <w:jc w:val="both"/>
        <w:ind w:right="60"/>
        <w:spacing w:after="0" w:line="266" w:lineRule="auto"/>
        <w:rPr>
          <w:sz w:val="20"/>
          <w:szCs w:val="20"/>
          <w:color w:val="auto"/>
        </w:rPr>
      </w:pPr>
      <w:r>
        <w:rPr>
          <w:rFonts w:ascii="Arial" w:cs="Arial" w:eastAsia="Arial" w:hAnsi="Arial"/>
          <w:sz w:val="19"/>
          <w:szCs w:val="19"/>
          <w:color w:val="auto"/>
        </w:rPr>
        <w:t>The unaudited condensed consolidated financial statements for the periods prior to the Reorganization Transactions and IPO have been presented to combine the previously separate entities. These unaudited condensed consolidated financial statements have been prepared in accordance with U.S. GAAP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 w:name="page13"/>
    <w:bookmarkEnd w:id="1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20"/>
        <w:spacing w:after="0" w:line="304" w:lineRule="auto"/>
        <w:rPr>
          <w:sz w:val="20"/>
          <w:szCs w:val="20"/>
          <w:color w:val="auto"/>
        </w:rPr>
      </w:pPr>
      <w:r>
        <w:rPr>
          <w:rFonts w:ascii="Arial" w:cs="Arial" w:eastAsia="Arial" w:hAnsi="Arial"/>
          <w:sz w:val="17"/>
          <w:szCs w:val="17"/>
          <w:color w:val="auto"/>
        </w:rPr>
        <w:t>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2022, or for any other interim period or for any other future year.</w:t>
      </w:r>
    </w:p>
    <w:p>
      <w:pPr>
        <w:spacing w:after="0" w:line="185"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condensed consolidated balance sheet as of December 31, 2021 has been derived from the audited consolidated financial statements of the Company, which are included in the Company's Annual Report on Form 10-K for the year ended December 31, 2021 (the "2021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 results of operations for the interim periods presented are not necessarily indicative of results for the full year or future periods. These unaudited condensed consolidated financial statements should be read in conjunction with the audited consolidated financial statements and the related notes thereto as of and for the year ended December 31, 2021 contained in the 2021 Form 10-K.</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Principles of Consolidation and Non-Controlling Interest</w:t>
      </w:r>
    </w:p>
    <w:p>
      <w:pPr>
        <w:spacing w:after="0" w:line="230" w:lineRule="exact"/>
        <w:rPr>
          <w:sz w:val="20"/>
          <w:szCs w:val="20"/>
          <w:color w:val="auto"/>
        </w:rPr>
      </w:pPr>
    </w:p>
    <w:p>
      <w:pPr>
        <w:jc w:val="both"/>
        <w:ind w:right="140"/>
        <w:spacing w:after="0" w:line="259" w:lineRule="auto"/>
        <w:rPr>
          <w:sz w:val="20"/>
          <w:szCs w:val="20"/>
          <w:color w:val="auto"/>
        </w:rPr>
      </w:pPr>
      <w:r>
        <w:rPr>
          <w:rFonts w:ascii="Arial" w:cs="Arial" w:eastAsia="Arial" w:hAnsi="Arial"/>
          <w:sz w:val="19"/>
          <w:szCs w:val="19"/>
          <w:color w:val="auto"/>
        </w:rPr>
        <w:t>The unaudited condensed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w:t>
      </w:r>
    </w:p>
    <w:p>
      <w:pPr>
        <w:spacing w:after="0" w:line="20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non-controlling interest on the unaudited condensed consolidated statements of operations represents the portion of earnings or loss attributable to the economic interest in Brilliant Earth, LLC held by the Continuing Equity Owners. The non-controlling interest on the unaudited condensed consolidated balance sheets represent the portion of net assets of the Company attributable to the Continuing Equity Owners, based on the portion of the LLC Interests owned by such unit holders. As of September 30, 2022, the non-controlling interest was 88.5%. At the end of each reporting period, equity related to Brilliant Earth, LLC that is attributable to Brilliant Earth Group, Inc. and Continuing Equity Owners is rebalanced to reflect Brilliant Earth Group, Inc.'s and Continuing Equity Owners' ownership in Brilliant Earth, LLC.</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59"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the inventory valuation, allowance for sales returns, estimates of current and deferred income taxes, payable pursuant to the tax receivable agreement, useful lives and depreciation of long-lived assets, fair value of equity-based compensation, and prior to the Reorganization Transactions, the warrants and the redemption of value of the redeemable Class P Units. Actual results could differ materially from those estimates. On an ongoing basis, the Company reviews its estimates to ensure that they appropriately reflect changes in its business or new information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246"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spacing w:after="0" w:line="160"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9"/>
          <w:szCs w:val="19"/>
          <w:color w:val="auto"/>
        </w:rPr>
        <w:t>Level 1</w:t>
      </w:r>
      <w:r>
        <w:rPr>
          <w:sz w:val="20"/>
          <w:szCs w:val="20"/>
          <w:color w:val="auto"/>
        </w:rPr>
        <w:tab/>
      </w:r>
      <w:r>
        <w:rPr>
          <w:rFonts w:ascii="Arial" w:cs="Arial" w:eastAsia="Arial" w:hAnsi="Arial"/>
          <w:sz w:val="17"/>
          <w:szCs w:val="17"/>
          <w:color w:val="auto"/>
        </w:rPr>
        <w:t>Valuation based on quoted prices (unadjusted) observed in active markets for identical assets or liabilities.</w:t>
      </w:r>
    </w:p>
    <w:p>
      <w:pPr>
        <w:spacing w:after="0" w:line="22" w:lineRule="exact"/>
        <w:rPr>
          <w:sz w:val="20"/>
          <w:szCs w:val="20"/>
          <w:color w:val="auto"/>
        </w:rPr>
      </w:pPr>
    </w:p>
    <w:p>
      <w:pPr>
        <w:ind w:left="1380" w:right="60" w:hanging="927"/>
        <w:spacing w:after="0" w:line="249" w:lineRule="auto"/>
        <w:tabs>
          <w:tab w:leader="none" w:pos="1360" w:val="left"/>
        </w:tabs>
        <w:rPr>
          <w:sz w:val="20"/>
          <w:szCs w:val="20"/>
          <w:color w:val="auto"/>
        </w:rPr>
      </w:pPr>
      <w:r>
        <w:rPr>
          <w:rFonts w:ascii="Arial" w:cs="Arial" w:eastAsia="Arial" w:hAnsi="Arial"/>
          <w:sz w:val="19"/>
          <w:szCs w:val="19"/>
          <w:color w:val="auto"/>
        </w:rPr>
        <w:t>Level 2</w:t>
        <w:tab/>
        <w:t>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3"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9"/>
          <w:szCs w:val="19"/>
          <w:color w:val="auto"/>
        </w:rPr>
        <w:t>Level 3</w:t>
      </w:r>
      <w:r>
        <w:rPr>
          <w:sz w:val="20"/>
          <w:szCs w:val="20"/>
          <w:color w:val="auto"/>
        </w:rPr>
        <w:tab/>
      </w:r>
      <w:r>
        <w:rPr>
          <w:rFonts w:ascii="Arial" w:cs="Arial" w:eastAsia="Arial" w:hAnsi="Arial"/>
          <w:sz w:val="17"/>
          <w:szCs w:val="17"/>
          <w:color w:val="auto"/>
        </w:rPr>
        <w:t>Valuation techniques with significant unobservable market inputs.</w:t>
      </w:r>
    </w:p>
    <w:p>
      <w:pPr>
        <w:spacing w:after="0" w:line="23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Company is required to disclose its estimate of the fair value of material financial instruments, including those recorded as assets or liabilities in its financial statements, in accordance with U.S. GAAP.</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At September 30, 2022, there were no financial instruments (assets or liabilities) measured at fair value on a recurring basis.</w:t>
      </w:r>
    </w:p>
    <w:p>
      <w:pPr>
        <w:spacing w:after="0" w:line="246"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 xml:space="preserve">Through the date of the IPO, the Class P Units and warrants on Class P Units were the only financial instruments (assets or liabilities) measured at fair value on a recurring basis. As discussed in Note 1, </w:t>
      </w:r>
      <w:r>
        <w:rPr>
          <w:rFonts w:ascii="Arial" w:cs="Arial" w:eastAsia="Arial" w:hAnsi="Arial"/>
          <w:sz w:val="19"/>
          <w:szCs w:val="19"/>
          <w:i w:val="1"/>
          <w:iCs w:val="1"/>
          <w:color w:val="auto"/>
        </w:rPr>
        <w:t>Business and Organization</w:t>
      </w:r>
      <w:r>
        <w:rPr>
          <w:rFonts w:ascii="Arial" w:cs="Arial" w:eastAsia="Arial" w:hAnsi="Arial"/>
          <w:sz w:val="19"/>
          <w:szCs w:val="19"/>
          <w:color w:val="auto"/>
        </w:rPr>
        <w:t>, the securities converted into LLC Interests in connection with the IPO and are now classified as equity.</w:t>
      </w:r>
    </w:p>
    <w:p>
      <w:pPr>
        <w:spacing w:after="0" w:line="19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Comprehensive Income</w:t>
      </w:r>
    </w:p>
    <w:p>
      <w:pPr>
        <w:spacing w:after="0" w:line="246" w:lineRule="exact"/>
        <w:rPr>
          <w:sz w:val="20"/>
          <w:szCs w:val="20"/>
          <w:color w:val="auto"/>
        </w:rPr>
      </w:pPr>
    </w:p>
    <w:p>
      <w:pPr>
        <w:ind w:right="240"/>
        <w:spacing w:after="0" w:line="267" w:lineRule="auto"/>
        <w:rPr>
          <w:sz w:val="20"/>
          <w:szCs w:val="20"/>
          <w:color w:val="auto"/>
        </w:rPr>
      </w:pPr>
      <w:r>
        <w:rPr>
          <w:rFonts w:ascii="Arial" w:cs="Arial" w:eastAsia="Arial" w:hAnsi="Arial"/>
          <w:sz w:val="19"/>
          <w:szCs w:val="19"/>
          <w:color w:val="auto"/>
        </w:rPr>
        <w:t>Comprehensive income is the change in equity of a business enterprise during a period from transactions and all other events and circumstances from non-owner sources. Other comprehensive income may include unrealized gain (loss) on available for sale securities, foreign currency items, and minimum pension liability adjustments. The Company did not have components of other comprehensive income. As a result, comprehensive income is the same as net income.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 and Restricted Cash</w:t>
      </w:r>
    </w:p>
    <w:p>
      <w:pPr>
        <w:spacing w:after="0" w:line="233" w:lineRule="exact"/>
        <w:rPr>
          <w:sz w:val="20"/>
          <w:szCs w:val="20"/>
          <w:color w:val="auto"/>
        </w:rPr>
      </w:pPr>
    </w:p>
    <w:p>
      <w:pPr>
        <w:jc w:val="both"/>
        <w:ind w:right="40"/>
        <w:spacing w:after="0" w:line="340" w:lineRule="auto"/>
        <w:rPr>
          <w:sz w:val="20"/>
          <w:szCs w:val="20"/>
          <w:color w:val="auto"/>
        </w:rPr>
      </w:pPr>
      <w:r>
        <w:rPr>
          <w:rFonts w:ascii="Arial" w:cs="Arial" w:eastAsia="Arial" w:hAnsi="Arial"/>
          <w:sz w:val="17"/>
          <w:szCs w:val="17"/>
          <w:color w:val="auto"/>
        </w:rPr>
        <w:t>All highly liquid investments with an original maturity of three months or less and deposits in transit from banks for payments related to third-party credit and debit card transactions are considered to be cash equivalents. Credit and debit card transactions are short-term and highly liquid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340" w:lineRule="auto"/>
        <w:rPr>
          <w:sz w:val="20"/>
          <w:szCs w:val="20"/>
          <w:color w:val="auto"/>
        </w:rPr>
      </w:pPr>
      <w:r>
        <w:rPr>
          <w:rFonts w:ascii="Arial" w:cs="Arial" w:eastAsia="Arial" w:hAnsi="Arial"/>
          <w:sz w:val="17"/>
          <w:szCs w:val="17"/>
          <w:color w:val="auto"/>
        </w:rPr>
        <w:t>The following table provides a reconciliation of cash and cash equivalents, and restricted cash from the unaudited condensed consolidated balance sheets to the statements of cash flows for the periods ended September 30, 2022, December 31, 2021, and September 30, 2021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Arial" w:cs="Arial" w:eastAsia="Arial" w:hAnsi="Arial"/>
                <w:sz w:val="17"/>
                <w:szCs w:val="17"/>
                <w:b w:val="1"/>
                <w:bCs w:val="1"/>
                <w:color w:val="auto"/>
              </w:rPr>
              <w:t>December 31,</w:t>
            </w:r>
          </w:p>
        </w:tc>
        <w:tc>
          <w:tcPr>
            <w:tcW w:w="240" w:type="dxa"/>
            <w:vAlign w:val="bottom"/>
          </w:tcPr>
          <w:p>
            <w:pPr>
              <w:spacing w:after="0"/>
              <w:rPr>
                <w:sz w:val="19"/>
                <w:szCs w:val="19"/>
                <w:color w:val="auto"/>
              </w:rPr>
            </w:pPr>
          </w:p>
        </w:tc>
        <w:tc>
          <w:tcPr>
            <w:tcW w:w="1560" w:type="dxa"/>
            <w:vAlign w:val="bottom"/>
          </w:tcPr>
          <w:p>
            <w:pPr>
              <w:jc w:val="right"/>
              <w:ind w:right="294"/>
              <w:spacing w:after="0"/>
              <w:rPr>
                <w:sz w:val="20"/>
                <w:szCs w:val="20"/>
                <w:color w:val="auto"/>
              </w:rPr>
            </w:pPr>
            <w:r>
              <w:rPr>
                <w:rFonts w:ascii="Arial" w:cs="Arial" w:eastAsia="Arial" w:hAnsi="Arial"/>
                <w:sz w:val="17"/>
                <w:szCs w:val="17"/>
                <w:b w:val="1"/>
                <w:bCs w:val="1"/>
                <w:color w:val="auto"/>
                <w:w w:val="99"/>
              </w:rPr>
              <w:t>September 30,</w:t>
            </w:r>
          </w:p>
        </w:tc>
      </w:tr>
      <w:tr>
        <w:trPr>
          <w:trHeight w:val="40"/>
        </w:trPr>
        <w:tc>
          <w:tcPr>
            <w:tcW w:w="5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40"/>
        </w:trPr>
        <w:tc>
          <w:tcPr>
            <w:tcW w:w="56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152,931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161,087</w:t>
            </w:r>
          </w:p>
        </w:tc>
      </w:tr>
      <w:tr>
        <w:trPr>
          <w:trHeight w:val="230"/>
        </w:trPr>
        <w:tc>
          <w:tcPr>
            <w:tcW w:w="564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40"/>
        </w:trPr>
        <w:tc>
          <w:tcPr>
            <w:tcW w:w="56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8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153,136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173,070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161,292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Inventories, Net</w:t>
      </w:r>
    </w:p>
    <w:p>
      <w:pPr>
        <w:spacing w:after="0" w:line="2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diamond, gemstone and jewelry inventories are primarily held for resale and valued at the lower of cost or net realizable value. Cost is primarily determined using the weighted average cost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Overview</w:t>
      </w:r>
    </w:p>
    <w:p>
      <w:pPr>
        <w:spacing w:after="0" w:line="24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in-house three-year extended service plan, which provides full inspection, cleaning and certain repairs due to normal wear, is offered for an additional charge. An extended protection plan is also offered through a third party that has different terms ranging from two years to lifetime that vary based on the item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 w:name="page16"/>
    <w:bookmarkEnd w:id="15"/>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total net sales by geography for the three and nine months ended September 30, 2022 and 2021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3760" w:type="dxa"/>
            <w:vAlign w:val="bottom"/>
            <w:gridSpan w:val="6"/>
          </w:tcPr>
          <w:p>
            <w:pPr>
              <w:ind w:left="220"/>
              <w:spacing w:after="0"/>
              <w:rPr>
                <w:sz w:val="20"/>
                <w:szCs w:val="20"/>
                <w:color w:val="auto"/>
              </w:rPr>
            </w:pPr>
            <w:r>
              <w:rPr>
                <w:rFonts w:ascii="Arial" w:cs="Arial" w:eastAsia="Arial" w:hAnsi="Arial"/>
                <w:sz w:val="17"/>
                <w:szCs w:val="17"/>
                <w:b w:val="1"/>
                <w:bCs w:val="1"/>
                <w:color w:val="auto"/>
              </w:rPr>
              <w:t>For the Three Months Ended September 30,</w:t>
            </w:r>
          </w:p>
        </w:tc>
        <w:tc>
          <w:tcPr>
            <w:tcW w:w="200" w:type="dxa"/>
            <w:vAlign w:val="bottom"/>
          </w:tcPr>
          <w:p>
            <w:pPr>
              <w:spacing w:after="0"/>
              <w:rPr>
                <w:sz w:val="19"/>
                <w:szCs w:val="19"/>
                <w:color w:val="auto"/>
              </w:rPr>
            </w:pPr>
          </w:p>
        </w:tc>
        <w:tc>
          <w:tcPr>
            <w:tcW w:w="350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3"/>
              </w:rPr>
              <w:t>For the Nine Months Ended September 30,</w:t>
            </w:r>
          </w:p>
        </w:tc>
      </w:tr>
      <w:tr>
        <w:trPr>
          <w:trHeight w:val="271"/>
        </w:trPr>
        <w:tc>
          <w:tcPr>
            <w:tcW w:w="3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40"/>
        </w:trPr>
        <w:tc>
          <w:tcPr>
            <w:tcW w:w="3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104,176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87,540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300,174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239,534</w:t>
            </w:r>
          </w:p>
        </w:tc>
      </w:tr>
      <w:tr>
        <w:trPr>
          <w:trHeight w:val="230"/>
        </w:trPr>
        <w:tc>
          <w:tcPr>
            <w:tcW w:w="378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7,229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7,699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20,078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18,749</w:t>
            </w:r>
          </w:p>
        </w:tc>
      </w:tr>
      <w:tr>
        <w:trPr>
          <w:trHeight w:val="40"/>
        </w:trPr>
        <w:tc>
          <w:tcPr>
            <w:tcW w:w="3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8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sales</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111,405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95,239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320,252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258,283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Revenue Recognition</w:t>
      </w:r>
    </w:p>
    <w:p>
      <w:pPr>
        <w:spacing w:after="0" w:line="23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 xml:space="preserve">Revenue is recognized under Financial Accounting Standards Board (“FASB”)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requires that revenue from customers be recognized as control of the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The Company offers an in-house three-year extended service plan, which gives rise to an additional performance obligation, when purchased by the customer, which is recognized over the course of the plan. The Company also offers an extended protection plan in the capacity of an agent on behalf of a third-party that has different terms ranging from two years to lifetime that vary based on the item purchased. The commission that the Company receives from the third-party is recognized at the time of sale less an estimate of cancellations based on historical experience. There are no additional performance obligations in relation to the third-party plan. Additionally, sales taxes are collected and remitted to taxing authorities, and the Company has elected to exclude sales taxes from revenues recognized under ASC 606.</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Contract Balances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Transactions where payment has been received from customers, but control has not transferred, are recorded as customer deposits in deferred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revenue and revenue recognition is deferred until delivery has occurred. Deferred revenue also includes payments on the Company’s three-year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extended service plan that customers have elected to purchase. As of September 30, 2022 and December 31, 2021, total deferred revenue was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$22.8 million and $19.0 million, respectively, of which $0.1 million and $0.2 million, respectively, were included within other long-term liabilities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 the unaudited condensed consolidated balance sheets. During the three months ended September 30, 2022 and 2021, the Company recognized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$21.4 million and $18.8 million of revenue, respectively, that was deferred as of June 30, 2022 and 2021, respectively. During the nine months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2022 and 2021, the Company recognized $18.2 million and $10.3 million of revenue, respectively, that was deferred as of</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December 31, 2021 and 2020,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Sales Returns and Allowances</w:t>
      </w:r>
    </w:p>
    <w:p>
      <w:pPr>
        <w:spacing w:after="0" w:line="233"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auto"/>
        </w:rPr>
        <w:t>A returns asset account and a refund liabilities account are maintained to record the effects of estimated product returns and sales returns allowance. Returns asset and refund liabilities are updated at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 w:name="page17"/>
    <w:bookmarkEnd w:id="16"/>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each financial reporting period and the effect of such changes are accounted for in the period in which such changes occur.</w:t>
      </w:r>
    </w:p>
    <w:p>
      <w:pPr>
        <w:spacing w:after="0" w:line="246"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 xml:space="preserve">As of September 30, 2022 and December 31, 2021, refund liabilities balances were $1.6 million and $2.3 million, respectively, and are included as a provision for sales returns and allowances within accrued expenses and other current liabilities in the unaudited condensed consolidated balance sheets. As of September 30, 2022 and December 31, 2021, returns asset balances were $0.7 million and $1.1 million, respectively, and are included within prepaid expenses and other current assets in the unaudited condensed consolidated balance sheets. See Note 5, </w:t>
      </w:r>
      <w:r>
        <w:rPr>
          <w:rFonts w:ascii="Arial" w:cs="Arial" w:eastAsia="Arial" w:hAnsi="Arial"/>
          <w:sz w:val="19"/>
          <w:szCs w:val="19"/>
          <w:i w:val="1"/>
          <w:iCs w:val="1"/>
          <w:color w:val="auto"/>
        </w:rPr>
        <w:t>Accrued Expenses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Current Liabilities</w:t>
      </w:r>
      <w:r>
        <w:rPr>
          <w:rFonts w:ascii="Arial" w:cs="Arial" w:eastAsia="Arial" w:hAnsi="Arial"/>
          <w:sz w:val="19"/>
          <w:szCs w:val="19"/>
          <w:color w:val="auto"/>
        </w:rPr>
        <w:t>, for further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Fulfillment Costs</w:t>
      </w:r>
    </w:p>
    <w:p>
      <w:pPr>
        <w:spacing w:after="0" w:line="246"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auto"/>
        </w:rPr>
        <w:t>The Company generally does not bill customers separately for shipping and handling charges. Any fulfillment costs incurred by the Company when shipping to customers is reflected in cost of sales in the unaudited condensed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Consignment Inventory Sales</w:t>
      </w:r>
    </w:p>
    <w:p>
      <w:pPr>
        <w:spacing w:after="0" w:line="24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Cost of Sales</w:t>
      </w:r>
    </w:p>
    <w:p>
      <w:pPr>
        <w:spacing w:after="0" w:line="259"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auto"/>
        </w:rPr>
        <w:t>The Company purchases diamonds and gemstones from suppliers and utilizes third-party manufacturing suppliers for the production and assembly of substantially all jewelry sold by the Company. Cost of sales includes merchandise costs, inbound freight charges, costs of shipping orders to customers, costs and reserves for disposal of obsolete, slow-moving or defective items and shrinkage.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Marketing, Advertising and Promotional Costs</w:t>
      </w:r>
    </w:p>
    <w:p>
      <w:pPr>
        <w:spacing w:after="0" w:line="246" w:lineRule="exact"/>
        <w:rPr>
          <w:sz w:val="20"/>
          <w:szCs w:val="20"/>
          <w:color w:val="auto"/>
        </w:rPr>
      </w:pPr>
    </w:p>
    <w:p>
      <w:pPr>
        <w:ind w:right="380"/>
        <w:spacing w:after="0" w:line="274" w:lineRule="auto"/>
        <w:rPr>
          <w:sz w:val="20"/>
          <w:szCs w:val="20"/>
          <w:color w:val="auto"/>
        </w:rPr>
      </w:pPr>
      <w:r>
        <w:rPr>
          <w:rFonts w:ascii="Arial" w:cs="Arial" w:eastAsia="Arial" w:hAnsi="Arial"/>
          <w:sz w:val="19"/>
          <w:szCs w:val="19"/>
          <w:color w:val="auto"/>
        </w:rPr>
        <w:t>Marketing, advertising and promotional costs are expensed as incurred and totaled approximately $25.3 and $18.5 million, for the three months ended September 30, 2022 and 2021, respectively and $68.8 and $49.2 million, for the nine months ended September 30, 2022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Equity-Based Compensation</w:t>
      </w:r>
    </w:p>
    <w:p>
      <w:pPr>
        <w:spacing w:after="0" w:line="233"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 xml:space="preserve">Equity-based compensation is accounted for as an expense in accordance with ASC Topic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with the fair value recognition and measurement provisions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7" w:name="page18"/>
    <w:bookmarkEnd w:id="17"/>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when they occur, and any compensation expense previously recognized on unvested equity-based awards will be reversed when forfeited.</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the Company’s IPO in September 2021 was determined by considering a number of objective, subjective and highly complex factors including independent third-party valuations of the Company’s member units, operating and financial performance, the lack of liquidity of member units and general and industry specific economic outlook among other factors.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restricted stock units (“RSUs”) is based on the fair value of the Class A common stock at the time of grant.</w:t>
      </w:r>
    </w:p>
    <w:p>
      <w:pPr>
        <w:spacing w:after="0" w:line="23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the Company’s industry which are of similar size, complexity and stage of development.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nil as the Company has not paid and does not anticipate paying dividends on its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Interim Periods</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 xml:space="preserve">In calculating the provision for interim income taxes, in accordance with ASC 740,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an estimated annual effective tax rate is applied to year-to-date ordinary income. At the end of each interim period, the Company estimates the effective tax rate expected to be applicable for the full fiscal year. This differs from the method utilized at the end of an annual period.</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Annual Reporting</w:t>
      </w:r>
    </w:p>
    <w:p>
      <w:pPr>
        <w:spacing w:after="0" w:line="233"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For annual periods, income taxes are accounted for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8" w:name="page19"/>
    <w:bookmarkEnd w:id="18"/>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effect of a change in tax rates on deferred tax assets and liabilities is recognized in the year of the enacted rate change.</w:t>
      </w:r>
    </w:p>
    <w:p>
      <w:pPr>
        <w:spacing w:after="0" w:line="2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provision (benefit) for income taxes line in the unaudited condensed consolidated statements of operations. As of September 30, 2022, no uncertain tax positions have been recorded. The Company will continue to monitor this position each interim period.</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Recently adopted accounting pronouncements</w:t>
      </w:r>
    </w:p>
    <w:p>
      <w:pPr>
        <w:spacing w:after="0" w:line="24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201F1E"/>
        </w:rPr>
        <w:t xml:space="preserve">In February 2016, the FASB issued ASU 2016-02 – </w:t>
      </w:r>
      <w:r>
        <w:rPr>
          <w:rFonts w:ascii="Arial" w:cs="Arial" w:eastAsia="Arial" w:hAnsi="Arial"/>
          <w:sz w:val="18"/>
          <w:szCs w:val="18"/>
          <w:i w:val="1"/>
          <w:iCs w:val="1"/>
          <w:color w:val="201F1E"/>
        </w:rPr>
        <w:t>Leases</w:t>
      </w:r>
      <w:r>
        <w:rPr>
          <w:rFonts w:ascii="Arial" w:cs="Arial" w:eastAsia="Arial" w:hAnsi="Arial"/>
          <w:sz w:val="18"/>
          <w:szCs w:val="18"/>
          <w:color w:val="201F1E"/>
        </w:rPr>
        <w:t xml:space="preserve">, and also issued subsequent amendments to the initial guidance, ASC 2018-10, ASC 2018-11, ASU 2019-10, ASU 2020-02 and ASU 2020-05 (collectively, “ASC 842”). ASC 842 introduces a lessee model that brings most leases on the balance sheet and, among other changes, eliminates the requirement in current GAAP for an entity to use bright-line tests in determining lease classification. ASC 842 allows for several practical expedients which permit the following: no reassessment of lease classification or initial direct costs; use of the standard’s effective date as the date of initial application; and no separation of non-lease components from the related lease components and, instead, to account for those components as a single lease component if certain criteria are met. The Company adopted this guidance by applying the modified retrospective approach effective January 1, 2022, and no cumulative effect adjustment was required to be recorded. See Note 6, </w:t>
      </w:r>
      <w:r>
        <w:rPr>
          <w:rFonts w:ascii="Arial" w:cs="Arial" w:eastAsia="Arial" w:hAnsi="Arial"/>
          <w:sz w:val="18"/>
          <w:szCs w:val="18"/>
          <w:i w:val="1"/>
          <w:iCs w:val="1"/>
          <w:color w:val="201F1E"/>
        </w:rPr>
        <w:t>Leases</w:t>
      </w:r>
      <w:r>
        <w:rPr>
          <w:rFonts w:ascii="Arial" w:cs="Arial" w:eastAsia="Arial" w:hAnsi="Arial"/>
          <w:sz w:val="18"/>
          <w:szCs w:val="18"/>
          <w:color w:val="201F1E"/>
        </w:rPr>
        <w:t>, for further discussion.</w:t>
      </w:r>
    </w:p>
    <w:p>
      <w:pPr>
        <w:spacing w:after="0" w:line="20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 xml:space="preserve">In December 2019, the FASB issued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xml:space="preserve"> (“ASU 2019-12”), which modifies ASC 740 to reduce complexity while maintaining or improving the usefulness of the information provided to users of financial statements. ASU 2019-12 is effective for the Company for interim and annual reporting periods beginning after December 15, 2021. The Company adopted this guidance on January 1, 2022 on a prospective basis and did not have a material impact on the Company's unaudited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Accounting pronouncements recently issued but not yet adopted</w:t>
      </w:r>
    </w:p>
    <w:p>
      <w:pPr>
        <w:spacing w:after="0" w:line="246" w:lineRule="exact"/>
        <w:rPr>
          <w:sz w:val="20"/>
          <w:szCs w:val="20"/>
          <w:color w:val="auto"/>
        </w:rPr>
      </w:pPr>
    </w:p>
    <w:p>
      <w:pPr>
        <w:ind w:right="560"/>
        <w:spacing w:after="0" w:line="264" w:lineRule="auto"/>
        <w:rPr>
          <w:sz w:val="20"/>
          <w:szCs w:val="20"/>
          <w:color w:val="auto"/>
        </w:rPr>
      </w:pPr>
      <w:r>
        <w:rPr>
          <w:rFonts w:ascii="Arial" w:cs="Arial" w:eastAsia="Arial" w:hAnsi="Arial"/>
          <w:sz w:val="19"/>
          <w:szCs w:val="19"/>
          <w:color w:val="auto"/>
        </w:rPr>
        <w:t>Other recent accounting pronouncements not yet adopted are not expected to have a material impact on the Company's unaudited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EARNINGS PER SHARE</w:t>
      </w:r>
    </w:p>
    <w:p>
      <w:pPr>
        <w:spacing w:after="0" w:line="233"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36" w:right="419" w:bottom="1440" w:gutter="0" w:footer="0" w:header="0"/>
        </w:sectPr>
      </w:pPr>
    </w:p>
    <w:bookmarkStart w:id="19" w:name="page20"/>
    <w:bookmarkEnd w:id="19"/>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available to Brilliant Earth Group, Inc. and the weighted average shares outstanding to give effect to potentially dilutive securities. Shares of</w:t>
      </w:r>
    </w:p>
    <w:p>
      <w:pPr>
        <w:spacing w:after="0" w:line="33"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Class B and Class C common stock are not entitled to receive any distributions or dividends and are therefore excluded from this presentation since they are not participating securities.</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9"/>
          <w:szCs w:val="19"/>
          <w:color w:val="auto"/>
        </w:rPr>
        <w:t>All earnings prior to September 23, 2021, the date of the IPO, were entirely allocable to the non-controlling interest and, as a result, earnings per share information is not applicable for reporting periods prior to this date. Consequently, earnings per share for net income for periods prior to September 22, 2021 are not presented.</w:t>
      </w:r>
    </w:p>
    <w:p>
      <w:pPr>
        <w:spacing w:after="0" w:line="221" w:lineRule="exact"/>
        <w:rPr>
          <w:sz w:val="20"/>
          <w:szCs w:val="20"/>
          <w:color w:val="auto"/>
        </w:rPr>
      </w:pPr>
    </w:p>
    <w:p>
      <w:pPr>
        <w:ind w:right="140"/>
        <w:spacing w:after="0" w:line="307" w:lineRule="auto"/>
        <w:rPr>
          <w:sz w:val="20"/>
          <w:szCs w:val="20"/>
          <w:color w:val="auto"/>
        </w:rPr>
      </w:pPr>
      <w:r>
        <w:rPr>
          <w:rFonts w:ascii="Arial" w:cs="Arial" w:eastAsia="Arial" w:hAnsi="Arial"/>
          <w:sz w:val="18"/>
          <w:szCs w:val="18"/>
          <w:color w:val="auto"/>
        </w:rPr>
        <w:t>Basic and diluted earnings per share of common stock for the three and nine months ended September 30, 2022 and the period from September 23, 2021 to September 30, 2021 have been computed as follows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For the period</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34"/>
              <w:spacing w:after="0"/>
              <w:rPr>
                <w:sz w:val="20"/>
                <w:szCs w:val="20"/>
                <w:color w:val="auto"/>
              </w:rPr>
            </w:pPr>
            <w:r>
              <w:rPr>
                <w:rFonts w:ascii="Arial" w:cs="Arial" w:eastAsia="Arial" w:hAnsi="Arial"/>
                <w:sz w:val="17"/>
                <w:szCs w:val="17"/>
                <w:b w:val="1"/>
                <w:bCs w:val="1"/>
                <w:color w:val="auto"/>
                <w:w w:val="92"/>
              </w:rPr>
              <w:t>For the period</w:t>
            </w: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Three months</w:t>
            </w:r>
          </w:p>
        </w:tc>
        <w:tc>
          <w:tcPr>
            <w:tcW w:w="1600" w:type="dxa"/>
            <w:vAlign w:val="bottom"/>
            <w:gridSpan w:val="3"/>
          </w:tcPr>
          <w:p>
            <w:pPr>
              <w:ind w:left="40"/>
              <w:spacing w:after="0"/>
              <w:rPr>
                <w:sz w:val="20"/>
                <w:szCs w:val="20"/>
                <w:color w:val="auto"/>
              </w:rPr>
            </w:pPr>
            <w:r>
              <w:rPr>
                <w:rFonts w:ascii="Arial" w:cs="Arial" w:eastAsia="Arial" w:hAnsi="Arial"/>
                <w:sz w:val="17"/>
                <w:szCs w:val="17"/>
                <w:b w:val="1"/>
                <w:bCs w:val="1"/>
                <w:color w:val="auto"/>
                <w:w w:val="96"/>
              </w:rPr>
              <w:t>September 23, 2021</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7"/>
                <w:szCs w:val="17"/>
                <w:b w:val="1"/>
                <w:bCs w:val="1"/>
                <w:color w:val="auto"/>
                <w:w w:val="90"/>
              </w:rPr>
              <w:t>September 23, 2021</w:t>
            </w: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ended September</w:t>
            </w:r>
          </w:p>
        </w:tc>
        <w:tc>
          <w:tcPr>
            <w:tcW w:w="12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to September 30,</w:t>
            </w:r>
          </w:p>
        </w:tc>
        <w:tc>
          <w:tcPr>
            <w:tcW w:w="1600" w:type="dxa"/>
            <w:vAlign w:val="bottom"/>
            <w:gridSpan w:val="3"/>
          </w:tcPr>
          <w:p>
            <w:pPr>
              <w:ind w:left="40"/>
              <w:spacing w:after="0"/>
              <w:rPr>
                <w:sz w:val="20"/>
                <w:szCs w:val="20"/>
                <w:color w:val="auto"/>
              </w:rPr>
            </w:pPr>
            <w:r>
              <w:rPr>
                <w:rFonts w:ascii="Arial" w:cs="Arial" w:eastAsia="Arial" w:hAnsi="Arial"/>
                <w:sz w:val="17"/>
                <w:szCs w:val="17"/>
                <w:b w:val="1"/>
                <w:bCs w:val="1"/>
                <w:color w:val="auto"/>
                <w:w w:val="97"/>
              </w:rPr>
              <w:t>Nine months ended</w:t>
            </w: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Arial" w:cs="Arial" w:eastAsia="Arial" w:hAnsi="Arial"/>
                <w:sz w:val="17"/>
                <w:szCs w:val="17"/>
                <w:b w:val="1"/>
                <w:bCs w:val="1"/>
                <w:color w:val="auto"/>
                <w:w w:val="89"/>
              </w:rPr>
              <w:t>to September 30,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Numerator:</w:t>
            </w:r>
          </w:p>
        </w:tc>
        <w:tc>
          <w:tcPr>
            <w:tcW w:w="12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30, 2022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7"/>
                <w:szCs w:val="17"/>
                <w:b w:val="1"/>
                <w:bCs w:val="1"/>
                <w:color w:val="auto"/>
                <w:w w:val="96"/>
              </w:rPr>
              <w:t>September 30, 2022</w:t>
            </w: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Arial" w:cs="Arial" w:eastAsia="Arial" w:hAnsi="Arial"/>
                <w:sz w:val="17"/>
                <w:szCs w:val="17"/>
                <w:b w:val="1"/>
                <w:bCs w:val="1"/>
                <w:color w:val="auto"/>
                <w:w w:val="89"/>
              </w:rPr>
              <w:t>2021</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20"/>
              <w:spacing w:after="0"/>
              <w:rPr>
                <w:sz w:val="20"/>
                <w:szCs w:val="20"/>
                <w:color w:val="auto"/>
              </w:rPr>
            </w:pPr>
            <w:r>
              <w:rPr>
                <w:rFonts w:ascii="Arial" w:cs="Arial" w:eastAsia="Arial" w:hAnsi="Arial"/>
                <w:sz w:val="17"/>
                <w:szCs w:val="17"/>
                <w:color w:val="auto"/>
              </w:rPr>
              <w:t>Net income attributable to Brilliant Earth Group, Inc., BASIC</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1,426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 Net income impact from assumed redemption of all LLC</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Units to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30"/>
        </w:trPr>
        <w:tc>
          <w:tcPr>
            <w:tcW w:w="4940" w:type="dxa"/>
            <w:vAlign w:val="bottom"/>
          </w:tcPr>
          <w:p>
            <w:pPr>
              <w:ind w:left="320"/>
              <w:spacing w:after="0"/>
              <w:rPr>
                <w:sz w:val="20"/>
                <w:szCs w:val="20"/>
                <w:color w:val="auto"/>
              </w:rPr>
            </w:pPr>
            <w:r>
              <w:rPr>
                <w:rFonts w:ascii="Arial" w:cs="Arial" w:eastAsia="Arial" w:hAnsi="Arial"/>
                <w:sz w:val="17"/>
                <w:szCs w:val="17"/>
                <w:color w:val="auto"/>
              </w:rPr>
              <w:t>Less: Income tax expense on net income attributable to NCI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40"/>
        </w:trPr>
        <w:tc>
          <w:tcPr>
            <w:tcW w:w="4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income attributable to Brilliant Earth Group, Inc., after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4,369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9,886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adjustment for assumed conversion, DILUTED</w:t>
            </w: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20"/>
              <w:spacing w:after="0"/>
              <w:rPr>
                <w:sz w:val="20"/>
                <w:szCs w:val="20"/>
                <w:color w:val="auto"/>
              </w:rPr>
            </w:pPr>
            <w:r>
              <w:rPr>
                <w:rFonts w:ascii="Arial" w:cs="Arial" w:eastAsia="Arial" w:hAnsi="Arial"/>
                <w:sz w:val="17"/>
                <w:szCs w:val="17"/>
                <w:color w:val="auto"/>
                <w:w w:val="95"/>
              </w:rPr>
              <w:t>Weighted average shares of common stock outstanding, BASIC</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10,884,306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9,583,332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10,571,777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9,583,332</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Dilutive effects of:</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640"/>
              <w:spacing w:after="0"/>
              <w:rPr>
                <w:sz w:val="20"/>
                <w:szCs w:val="20"/>
                <w:color w:val="auto"/>
              </w:rPr>
            </w:pPr>
            <w:r>
              <w:rPr>
                <w:rFonts w:ascii="Arial" w:cs="Arial" w:eastAsia="Arial" w:hAnsi="Arial"/>
                <w:sz w:val="17"/>
                <w:szCs w:val="17"/>
                <w:color w:val="auto"/>
                <w:w w:val="96"/>
              </w:rPr>
              <w:t>Vested LLC Units that are exchangeable for common stock</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84,478,855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85,051,581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84,579,316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85,051,581</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LLC Units and RSUs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1,211,301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1,986,514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1,337,796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1,986,514</w:t>
            </w:r>
          </w:p>
        </w:tc>
        <w:tc>
          <w:tcPr>
            <w:tcW w:w="0" w:type="dxa"/>
            <w:vAlign w:val="bottom"/>
          </w:tcPr>
          <w:p>
            <w:pPr>
              <w:spacing w:after="0"/>
              <w:rPr>
                <w:sz w:val="1"/>
                <w:szCs w:val="1"/>
                <w:color w:val="auto"/>
              </w:rPr>
            </w:pPr>
          </w:p>
        </w:tc>
      </w:tr>
      <w:tr>
        <w:trPr>
          <w:trHeight w:val="200"/>
        </w:trPr>
        <w:tc>
          <w:tcPr>
            <w:tcW w:w="4940" w:type="dxa"/>
            <w:vAlign w:val="bottom"/>
          </w:tcPr>
          <w:p>
            <w:pPr>
              <w:ind w:left="320"/>
              <w:spacing w:after="0"/>
              <w:rPr>
                <w:sz w:val="20"/>
                <w:szCs w:val="20"/>
                <w:color w:val="auto"/>
              </w:rPr>
            </w:pPr>
            <w:r>
              <w:rPr>
                <w:rFonts w:ascii="Arial" w:cs="Arial" w:eastAsia="Arial" w:hAnsi="Arial"/>
                <w:sz w:val="17"/>
                <w:szCs w:val="17"/>
                <w:color w:val="auto"/>
              </w:rPr>
              <w:t>Weighted average shares of common stock outstanding,</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96,574,462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96,621,427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96,488,889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96,621,427</w:t>
            </w:r>
          </w:p>
        </w:tc>
        <w:tc>
          <w:tcPr>
            <w:tcW w:w="0" w:type="dxa"/>
            <w:vAlign w:val="bottom"/>
          </w:tcPr>
          <w:p>
            <w:pPr>
              <w:spacing w:after="0"/>
              <w:rPr>
                <w:sz w:val="1"/>
                <w:szCs w:val="1"/>
                <w:color w:val="auto"/>
              </w:rPr>
            </w:pPr>
          </w:p>
        </w:tc>
      </w:tr>
      <w:tr>
        <w:trPr>
          <w:trHeight w:val="224"/>
        </w:trPr>
        <w:tc>
          <w:tcPr>
            <w:tcW w:w="4940" w:type="dxa"/>
            <w:vAlign w:val="bottom"/>
          </w:tcPr>
          <w:p>
            <w:pPr>
              <w:ind w:left="480"/>
              <w:spacing w:after="0"/>
              <w:rPr>
                <w:sz w:val="20"/>
                <w:szCs w:val="20"/>
                <w:color w:val="auto"/>
              </w:rPr>
            </w:pPr>
            <w:r>
              <w:rPr>
                <w:rFonts w:ascii="Arial" w:cs="Arial" w:eastAsia="Arial" w:hAnsi="Arial"/>
                <w:sz w:val="17"/>
                <w:szCs w:val="17"/>
                <w:color w:val="auto"/>
              </w:rPr>
              <w:t>DILUTED</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40"/>
        </w:trPr>
        <w:tc>
          <w:tcPr>
            <w:tcW w:w="4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 w:name="page21"/>
    <w:bookmarkEnd w:id="20"/>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40"/>
        <w:spacing w:after="0" w:line="245" w:lineRule="auto"/>
        <w:rPr>
          <w:sz w:val="20"/>
          <w:szCs w:val="20"/>
          <w:color w:val="auto"/>
        </w:rPr>
      </w:pPr>
      <w:r>
        <w:rPr>
          <w:rFonts w:ascii="Arial" w:cs="Arial" w:eastAsia="Arial" w:hAnsi="Arial"/>
          <w:sz w:val="19"/>
          <w:szCs w:val="19"/>
          <w:color w:val="auto"/>
        </w:rPr>
        <w:t>For the three and nine months ended September 30, 2022 and the period from September 23, 2021 to September 30, 2021, the dilutive impact of LLC Units convertible into common stock were included in the computation of diluted earnings per share under the if-converted method; the dilutive impact of unvested LLC Units and RSUs were included using the treasury stock method.</w:t>
      </w:r>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For the three and nine months ended September 30, 2022, the impact of 955,961 and 1,182,592, respectively, of shares underlying stock options, and 2,250,505 and 2,039,301, respectively, of RSUs have been excluded from the computation of earnings per share because such impact is anti-dilutive. For the period from September 23, 2021 to September 30, 2021, the impact of 1,618,064 shares underlying stock options has been excluded from the computation of earnings per share because such impact is anti-dilutive.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INVENTORIES,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Inventories, net consist of the following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auto"/>
              </w:rPr>
              <w:t>September 30,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Arial" w:cs="Arial" w:eastAsia="Arial" w:hAnsi="Arial"/>
                <w:sz w:val="17"/>
                <w:szCs w:val="17"/>
                <w:b w:val="1"/>
                <w:bCs w:val="1"/>
                <w:color w:val="auto"/>
              </w:rPr>
              <w:t>December 31,</w:t>
            </w:r>
          </w:p>
        </w:tc>
      </w:tr>
      <w:tr>
        <w:trPr>
          <w:trHeight w:val="40"/>
        </w:trPr>
        <w:tc>
          <w:tcPr>
            <w:tcW w:w="63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780" w:type="dxa"/>
            <w:vAlign w:val="bottom"/>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Arial" w:cs="Arial" w:eastAsia="Arial" w:hAnsi="Arial"/>
                <w:sz w:val="17"/>
                <w:szCs w:val="17"/>
                <w:b w:val="1"/>
                <w:bCs w:val="1"/>
                <w:color w:val="auto"/>
              </w:rPr>
              <w:t>2021</w:t>
            </w:r>
          </w:p>
        </w:tc>
      </w:tr>
      <w:tr>
        <w:trPr>
          <w:trHeight w:val="40"/>
        </w:trPr>
        <w:tc>
          <w:tcPr>
            <w:tcW w:w="63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Loose diamonds</w:t>
            </w:r>
          </w:p>
        </w:tc>
        <w:tc>
          <w:tcPr>
            <w:tcW w:w="1780" w:type="dxa"/>
            <w:vAlign w:val="bottom"/>
            <w:tcBorders>
              <w:bottom w:val="single" w:sz="8" w:color="CCEEFF"/>
            </w:tcBorders>
            <w:shd w:val="clear" w:color="auto" w:fill="CCEEFF"/>
          </w:tcPr>
          <w:p>
            <w:pPr>
              <w:jc w:val="right"/>
              <w:ind w:right="159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12,281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9,013</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Fine jewelry and other</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28,332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15,990</w:t>
            </w:r>
          </w:p>
        </w:tc>
      </w:tr>
      <w:tr>
        <w:trPr>
          <w:trHeight w:val="40"/>
        </w:trPr>
        <w:tc>
          <w:tcPr>
            <w:tcW w:w="6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Allowance for inventory obsolescence</w:t>
            </w:r>
          </w:p>
        </w:tc>
        <w:tc>
          <w:tcPr>
            <w:tcW w:w="17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57"/>
        </w:trPr>
        <w:tc>
          <w:tcPr>
            <w:tcW w:w="6360" w:type="dxa"/>
            <w:vAlign w:val="bottom"/>
          </w:tcPr>
          <w:p>
            <w:pPr>
              <w:ind w:left="120"/>
              <w:spacing w:after="0"/>
              <w:rPr>
                <w:sz w:val="20"/>
                <w:szCs w:val="20"/>
                <w:color w:val="auto"/>
              </w:rPr>
            </w:pPr>
            <w:r>
              <w:rPr>
                <w:rFonts w:ascii="Arial" w:cs="Arial" w:eastAsia="Arial" w:hAnsi="Arial"/>
                <w:sz w:val="17"/>
                <w:szCs w:val="17"/>
                <w:b w:val="1"/>
                <w:bCs w:val="1"/>
                <w:color w:val="auto"/>
              </w:rPr>
              <w:t>Total inventories, net</w:t>
            </w:r>
          </w:p>
        </w:tc>
        <w:tc>
          <w:tcPr>
            <w:tcW w:w="1780" w:type="dxa"/>
            <w:vAlign w:val="bottom"/>
            <w:tcBorders>
              <w:top w:val="single" w:sz="8" w:color="auto"/>
              <w:bottom w:val="single" w:sz="8" w:color="auto"/>
            </w:tcBorders>
          </w:tcPr>
          <w:p>
            <w:pPr>
              <w:jc w:val="right"/>
              <w:ind w:right="1594"/>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40,334</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24,743</w:t>
            </w:r>
          </w:p>
        </w:tc>
      </w:tr>
      <w:tr>
        <w:trPr>
          <w:trHeight w:val="26"/>
        </w:trPr>
        <w:tc>
          <w:tcPr>
            <w:tcW w:w="63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The allowance for inventory obsolescence consists of the following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1860" w:type="dxa"/>
            <w:vAlign w:val="bottom"/>
          </w:tcPr>
          <w:p>
            <w:pPr>
              <w:jc w:val="right"/>
              <w:ind w:right="54"/>
              <w:spacing w:after="0"/>
              <w:rPr>
                <w:sz w:val="20"/>
                <w:szCs w:val="20"/>
                <w:color w:val="auto"/>
              </w:rPr>
            </w:pPr>
            <w:r>
              <w:rPr>
                <w:rFonts w:ascii="Arial" w:cs="Arial" w:eastAsia="Arial" w:hAnsi="Arial"/>
                <w:sz w:val="17"/>
                <w:szCs w:val="17"/>
                <w:b w:val="1"/>
                <w:bCs w:val="1"/>
                <w:color w:val="auto"/>
              </w:rPr>
              <w:t>September 30,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574"/>
              <w:spacing w:after="0"/>
              <w:rPr>
                <w:sz w:val="20"/>
                <w:szCs w:val="20"/>
                <w:color w:val="auto"/>
              </w:rPr>
            </w:pPr>
            <w:r>
              <w:rPr>
                <w:rFonts w:ascii="Arial" w:cs="Arial" w:eastAsia="Arial" w:hAnsi="Arial"/>
                <w:sz w:val="17"/>
                <w:szCs w:val="17"/>
                <w:b w:val="1"/>
                <w:bCs w:val="1"/>
                <w:color w:val="auto"/>
              </w:rPr>
              <w:t>September 30,</w:t>
            </w:r>
          </w:p>
        </w:tc>
      </w:tr>
      <w:tr>
        <w:trPr>
          <w:trHeight w:val="40"/>
        </w:trPr>
        <w:tc>
          <w:tcPr>
            <w:tcW w:w="636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860" w:type="dxa"/>
            <w:vAlign w:val="bottom"/>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Arial" w:cs="Arial" w:eastAsia="Arial" w:hAnsi="Arial"/>
                <w:sz w:val="17"/>
                <w:szCs w:val="17"/>
                <w:b w:val="1"/>
                <w:bCs w:val="1"/>
                <w:color w:val="auto"/>
              </w:rPr>
              <w:t>2021</w:t>
            </w:r>
          </w:p>
        </w:tc>
      </w:tr>
      <w:tr>
        <w:trPr>
          <w:trHeight w:val="40"/>
        </w:trPr>
        <w:tc>
          <w:tcPr>
            <w:tcW w:w="636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1860" w:type="dxa"/>
            <w:vAlign w:val="bottom"/>
            <w:tcBorders>
              <w:bottom w:val="single" w:sz="8" w:color="CCEEFF"/>
            </w:tcBorders>
            <w:shd w:val="clear" w:color="auto" w:fill="CCEEFF"/>
          </w:tcPr>
          <w:p>
            <w:pPr>
              <w:jc w:val="right"/>
              <w:ind w:right="167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Change in allowance for inventory obsolescence</w:t>
            </w:r>
          </w:p>
        </w:tc>
        <w:tc>
          <w:tcPr>
            <w:tcW w:w="1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0"/>
        </w:trPr>
        <w:tc>
          <w:tcPr>
            <w:tcW w:w="636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Balance at end of period</w:t>
            </w:r>
          </w:p>
        </w:tc>
        <w:tc>
          <w:tcPr>
            <w:tcW w:w="1860" w:type="dxa"/>
            <w:vAlign w:val="bottom"/>
            <w:tcBorders>
              <w:bottom w:val="single" w:sz="8" w:color="auto"/>
            </w:tcBorders>
            <w:shd w:val="clear" w:color="auto" w:fill="CCEEFF"/>
          </w:tcPr>
          <w:p>
            <w:pPr>
              <w:jc w:val="right"/>
              <w:ind w:right="167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As of September 30, 2022 and December 31, 2021, the Company had $25.8 million and $16.9 million, respectively, in consigned inventory held on behalf of suppliers which is not recorded in the unaudited condensed consolidated balance sheets.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Accrued expenses and other current liabilities consist of the following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auto"/>
              </w:rPr>
              <w:t>September 30,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Arial" w:cs="Arial" w:eastAsia="Arial" w:hAnsi="Arial"/>
                <w:sz w:val="17"/>
                <w:szCs w:val="17"/>
                <w:b w:val="1"/>
                <w:bCs w:val="1"/>
                <w:color w:val="auto"/>
              </w:rPr>
              <w:t>December 31,</w:t>
            </w:r>
          </w:p>
        </w:tc>
      </w:tr>
      <w:tr>
        <w:trPr>
          <w:trHeight w:val="40"/>
        </w:trPr>
        <w:tc>
          <w:tcPr>
            <w:tcW w:w="63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780" w:type="dxa"/>
            <w:vAlign w:val="bottom"/>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Arial" w:cs="Arial" w:eastAsia="Arial" w:hAnsi="Arial"/>
                <w:sz w:val="17"/>
                <w:szCs w:val="17"/>
                <w:b w:val="1"/>
                <w:bCs w:val="1"/>
                <w:color w:val="auto"/>
              </w:rPr>
              <w:t>2021</w:t>
            </w:r>
          </w:p>
        </w:tc>
      </w:tr>
      <w:tr>
        <w:trPr>
          <w:trHeight w:val="40"/>
        </w:trPr>
        <w:tc>
          <w:tcPr>
            <w:tcW w:w="63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vendor expenditures</w:t>
            </w:r>
          </w:p>
        </w:tc>
        <w:tc>
          <w:tcPr>
            <w:tcW w:w="1780" w:type="dxa"/>
            <w:vAlign w:val="bottom"/>
            <w:tcBorders>
              <w:bottom w:val="single" w:sz="8" w:color="CCEEFF"/>
            </w:tcBorders>
            <w:shd w:val="clear" w:color="auto" w:fill="CCEEFF"/>
          </w:tcPr>
          <w:p>
            <w:pPr>
              <w:jc w:val="right"/>
              <w:ind w:right="159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14,888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9,881</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Inventory received not billed</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8,653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4,648</w:t>
            </w:r>
          </w:p>
        </w:tc>
      </w:tr>
      <w:tr>
        <w:trPr>
          <w:trHeight w:val="40"/>
        </w:trPr>
        <w:tc>
          <w:tcPr>
            <w:tcW w:w="6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payroll expenses</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4,498</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Sales and other tax payable accrual</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4,229</w:t>
            </w:r>
          </w:p>
        </w:tc>
      </w:tr>
      <w:tr>
        <w:trPr>
          <w:trHeight w:val="40"/>
        </w:trPr>
        <w:tc>
          <w:tcPr>
            <w:tcW w:w="6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sales returns and allowances</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2,338</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Other</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3,162</w:t>
            </w:r>
          </w:p>
        </w:tc>
      </w:tr>
      <w:tr>
        <w:trPr>
          <w:trHeight w:val="40"/>
        </w:trPr>
        <w:tc>
          <w:tcPr>
            <w:tcW w:w="63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accrued expenses and other current liabilities</w:t>
            </w:r>
          </w:p>
        </w:tc>
        <w:tc>
          <w:tcPr>
            <w:tcW w:w="1780" w:type="dxa"/>
            <w:vAlign w:val="bottom"/>
            <w:tcBorders>
              <w:bottom w:val="single" w:sz="8" w:color="auto"/>
            </w:tcBorders>
            <w:shd w:val="clear" w:color="auto" w:fill="CCEEFF"/>
          </w:tcPr>
          <w:p>
            <w:pPr>
              <w:jc w:val="right"/>
              <w:ind w:right="1594"/>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37,897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28,756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Included in accrued expenses and other current liabilities is a provision for sales returns and allowances. Returns are estimated based on past experience and current expectations and are recorded as an adjustment to revenue. Activity for the three and nine months ended September 30, 2022 and 2021 were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42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For the three months ended</w:t>
            </w:r>
          </w:p>
        </w:tc>
        <w:tc>
          <w:tcPr>
            <w:tcW w:w="640" w:type="dxa"/>
            <w:vAlign w:val="bottom"/>
          </w:tcPr>
          <w:p>
            <w:pPr>
              <w:spacing w:after="0"/>
              <w:rPr>
                <w:sz w:val="19"/>
                <w:szCs w:val="19"/>
                <w:color w:val="auto"/>
              </w:rPr>
            </w:pPr>
          </w:p>
        </w:tc>
      </w:tr>
      <w:tr>
        <w:trPr>
          <w:trHeight w:val="40"/>
        </w:trPr>
        <w:tc>
          <w:tcPr>
            <w:tcW w:w="63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760" w:type="dxa"/>
            <w:vAlign w:val="bottom"/>
          </w:tcPr>
          <w:p>
            <w:pPr>
              <w:jc w:val="center"/>
              <w:ind w:left="554"/>
              <w:spacing w:after="0"/>
              <w:rPr>
                <w:sz w:val="20"/>
                <w:szCs w:val="20"/>
                <w:color w:val="auto"/>
              </w:rPr>
            </w:pPr>
            <w:r>
              <w:rPr>
                <w:rFonts w:ascii="Arial" w:cs="Arial" w:eastAsia="Arial" w:hAnsi="Arial"/>
                <w:sz w:val="17"/>
                <w:szCs w:val="17"/>
                <w:b w:val="1"/>
                <w:bCs w:val="1"/>
                <w:color w:val="auto"/>
                <w:w w:val="89"/>
              </w:rPr>
              <w:t>September 30,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center"/>
              <w:ind w:left="574"/>
              <w:spacing w:after="0"/>
              <w:rPr>
                <w:sz w:val="20"/>
                <w:szCs w:val="20"/>
                <w:color w:val="auto"/>
              </w:rPr>
            </w:pPr>
            <w:r>
              <w:rPr>
                <w:rFonts w:ascii="Arial" w:cs="Arial" w:eastAsia="Arial" w:hAnsi="Arial"/>
                <w:sz w:val="17"/>
                <w:szCs w:val="17"/>
                <w:b w:val="1"/>
                <w:bCs w:val="1"/>
                <w:color w:val="auto"/>
                <w:w w:val="91"/>
              </w:rPr>
              <w:t>September 30,</w:t>
            </w:r>
          </w:p>
        </w:tc>
        <w:tc>
          <w:tcPr>
            <w:tcW w:w="640" w:type="dxa"/>
            <w:vAlign w:val="bottom"/>
          </w:tcPr>
          <w:p>
            <w:pPr>
              <w:spacing w:after="0"/>
              <w:rPr>
                <w:sz w:val="19"/>
                <w:szCs w:val="19"/>
                <w:color w:val="auto"/>
              </w:rPr>
            </w:pPr>
          </w:p>
        </w:tc>
      </w:tr>
      <w:tr>
        <w:trPr>
          <w:trHeight w:val="40"/>
        </w:trPr>
        <w:tc>
          <w:tcPr>
            <w:tcW w:w="63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760" w:type="dxa"/>
            <w:vAlign w:val="bottom"/>
          </w:tcPr>
          <w:p>
            <w:pPr>
              <w:jc w:val="center"/>
              <w:ind w:left="534"/>
              <w:spacing w:after="0"/>
              <w:rPr>
                <w:sz w:val="20"/>
                <w:szCs w:val="20"/>
                <w:color w:val="auto"/>
              </w:rPr>
            </w:pPr>
            <w:r>
              <w:rPr>
                <w:rFonts w:ascii="Arial" w:cs="Arial" w:eastAsia="Arial" w:hAnsi="Arial"/>
                <w:sz w:val="17"/>
                <w:szCs w:val="17"/>
                <w:b w:val="1"/>
                <w:bCs w:val="1"/>
                <w:color w:val="auto"/>
                <w:w w:val="89"/>
              </w:rPr>
              <w:t>2022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center"/>
              <w:ind w:left="574"/>
              <w:spacing w:after="0"/>
              <w:rPr>
                <w:sz w:val="20"/>
                <w:szCs w:val="20"/>
                <w:color w:val="auto"/>
              </w:rPr>
            </w:pPr>
            <w:r>
              <w:rPr>
                <w:rFonts w:ascii="Arial" w:cs="Arial" w:eastAsia="Arial" w:hAnsi="Arial"/>
                <w:sz w:val="17"/>
                <w:szCs w:val="17"/>
                <w:b w:val="1"/>
                <w:bCs w:val="1"/>
                <w:color w:val="auto"/>
                <w:w w:val="89"/>
              </w:rPr>
              <w:t>2021</w:t>
            </w:r>
          </w:p>
        </w:tc>
        <w:tc>
          <w:tcPr>
            <w:tcW w:w="640" w:type="dxa"/>
            <w:vAlign w:val="bottom"/>
          </w:tcPr>
          <w:p>
            <w:pPr>
              <w:spacing w:after="0"/>
              <w:rPr>
                <w:sz w:val="19"/>
                <w:szCs w:val="19"/>
                <w:color w:val="auto"/>
              </w:rPr>
            </w:pPr>
          </w:p>
        </w:tc>
      </w:tr>
      <w:tr>
        <w:trPr>
          <w:trHeight w:val="40"/>
        </w:trPr>
        <w:tc>
          <w:tcPr>
            <w:tcW w:w="636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1760" w:type="dxa"/>
            <w:vAlign w:val="bottom"/>
            <w:tcBorders>
              <w:bottom w:val="single" w:sz="8" w:color="CCEEFF"/>
            </w:tcBorders>
            <w:shd w:val="clear" w:color="auto" w:fill="CCEEFF"/>
          </w:tcPr>
          <w:p>
            <w:pPr>
              <w:jc w:val="right"/>
              <w:ind w:right="15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1,546</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1,329</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Provision</w:t>
            </w:r>
          </w:p>
        </w:tc>
        <w:tc>
          <w:tcPr>
            <w:tcW w:w="1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7,984</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5,903</w:t>
            </w:r>
          </w:p>
        </w:tc>
      </w:tr>
      <w:tr>
        <w:trPr>
          <w:trHeight w:val="40"/>
        </w:trPr>
        <w:tc>
          <w:tcPr>
            <w:tcW w:w="63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Returns and allowances</w:t>
            </w:r>
          </w:p>
        </w:tc>
        <w:tc>
          <w:tcPr>
            <w:tcW w:w="1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(7,921)</w:t>
            </w: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(5,884)</w:t>
            </w:r>
          </w:p>
        </w:tc>
      </w:tr>
      <w:tr>
        <w:trPr>
          <w:trHeight w:val="257"/>
        </w:trPr>
        <w:tc>
          <w:tcPr>
            <w:tcW w:w="6360" w:type="dxa"/>
            <w:vAlign w:val="bottom"/>
          </w:tcPr>
          <w:p>
            <w:pPr>
              <w:ind w:left="120"/>
              <w:spacing w:after="0"/>
              <w:rPr>
                <w:sz w:val="20"/>
                <w:szCs w:val="20"/>
                <w:color w:val="auto"/>
              </w:rPr>
            </w:pPr>
            <w:r>
              <w:rPr>
                <w:rFonts w:ascii="Arial" w:cs="Arial" w:eastAsia="Arial" w:hAnsi="Arial"/>
                <w:sz w:val="17"/>
                <w:szCs w:val="17"/>
                <w:b w:val="1"/>
                <w:bCs w:val="1"/>
                <w:color w:val="auto"/>
              </w:rPr>
              <w:t>Balance at end of period</w:t>
            </w:r>
          </w:p>
        </w:tc>
        <w:tc>
          <w:tcPr>
            <w:tcW w:w="1760" w:type="dxa"/>
            <w:vAlign w:val="bottom"/>
            <w:tcBorders>
              <w:top w:val="single" w:sz="8" w:color="auto"/>
              <w:bottom w:val="single" w:sz="8" w:color="auto"/>
            </w:tcBorders>
          </w:tcPr>
          <w:p>
            <w:pPr>
              <w:jc w:val="right"/>
              <w:ind w:right="157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1,609</w:t>
            </w:r>
          </w:p>
        </w:tc>
        <w:tc>
          <w:tcPr>
            <w:tcW w:w="8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554"/>
              <w:spacing w:after="0"/>
              <w:rPr>
                <w:sz w:val="20"/>
                <w:szCs w:val="20"/>
                <w:color w:val="auto"/>
              </w:rPr>
            </w:pPr>
            <w:r>
              <w:rPr>
                <w:rFonts w:ascii="Arial" w:cs="Arial" w:eastAsia="Arial" w:hAnsi="Arial"/>
                <w:sz w:val="17"/>
                <w:szCs w:val="17"/>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1,348</w:t>
            </w:r>
          </w:p>
        </w:tc>
      </w:tr>
      <w:tr>
        <w:trPr>
          <w:trHeight w:val="26"/>
        </w:trPr>
        <w:tc>
          <w:tcPr>
            <w:tcW w:w="6360" w:type="dxa"/>
            <w:vAlign w:val="bottom"/>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559"/>
        </w:trPr>
        <w:tc>
          <w:tcPr>
            <w:tcW w:w="6360" w:type="dxa"/>
            <w:vAlign w:val="bottom"/>
          </w:tcPr>
          <w:p>
            <w:pPr>
              <w:spacing w:after="0"/>
              <w:rPr>
                <w:sz w:val="24"/>
                <w:szCs w:val="24"/>
                <w:color w:val="auto"/>
              </w:rPr>
            </w:pPr>
          </w:p>
        </w:tc>
        <w:tc>
          <w:tcPr>
            <w:tcW w:w="4240" w:type="dxa"/>
            <w:vAlign w:val="bottom"/>
            <w:gridSpan w:val="4"/>
          </w:tcPr>
          <w:p>
            <w:pPr>
              <w:jc w:val="right"/>
              <w:ind w:right="734"/>
              <w:spacing w:after="0"/>
              <w:rPr>
                <w:sz w:val="20"/>
                <w:szCs w:val="20"/>
                <w:color w:val="auto"/>
              </w:rPr>
            </w:pPr>
            <w:r>
              <w:rPr>
                <w:rFonts w:ascii="Arial" w:cs="Arial" w:eastAsia="Arial" w:hAnsi="Arial"/>
                <w:sz w:val="17"/>
                <w:szCs w:val="17"/>
                <w:b w:val="1"/>
                <w:bCs w:val="1"/>
                <w:color w:val="auto"/>
              </w:rPr>
              <w:t>For the nine months ended</w:t>
            </w:r>
          </w:p>
        </w:tc>
        <w:tc>
          <w:tcPr>
            <w:tcW w:w="640" w:type="dxa"/>
            <w:vAlign w:val="bottom"/>
          </w:tcPr>
          <w:p>
            <w:pPr>
              <w:spacing w:after="0"/>
              <w:rPr>
                <w:sz w:val="24"/>
                <w:szCs w:val="24"/>
                <w:color w:val="auto"/>
              </w:rPr>
            </w:pPr>
          </w:p>
        </w:tc>
      </w:tr>
      <w:tr>
        <w:trPr>
          <w:trHeight w:val="40"/>
        </w:trPr>
        <w:tc>
          <w:tcPr>
            <w:tcW w:w="63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760" w:type="dxa"/>
            <w:vAlign w:val="bottom"/>
          </w:tcPr>
          <w:p>
            <w:pPr>
              <w:jc w:val="center"/>
              <w:ind w:left="554"/>
              <w:spacing w:after="0"/>
              <w:rPr>
                <w:sz w:val="20"/>
                <w:szCs w:val="20"/>
                <w:color w:val="auto"/>
              </w:rPr>
            </w:pPr>
            <w:r>
              <w:rPr>
                <w:rFonts w:ascii="Arial" w:cs="Arial" w:eastAsia="Arial" w:hAnsi="Arial"/>
                <w:sz w:val="17"/>
                <w:szCs w:val="17"/>
                <w:b w:val="1"/>
                <w:bCs w:val="1"/>
                <w:color w:val="auto"/>
                <w:w w:val="89"/>
              </w:rPr>
              <w:t>September 30,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center"/>
              <w:ind w:left="574"/>
              <w:spacing w:after="0"/>
              <w:rPr>
                <w:sz w:val="20"/>
                <w:szCs w:val="20"/>
                <w:color w:val="auto"/>
              </w:rPr>
            </w:pPr>
            <w:r>
              <w:rPr>
                <w:rFonts w:ascii="Arial" w:cs="Arial" w:eastAsia="Arial" w:hAnsi="Arial"/>
                <w:sz w:val="17"/>
                <w:szCs w:val="17"/>
                <w:b w:val="1"/>
                <w:bCs w:val="1"/>
                <w:color w:val="auto"/>
                <w:w w:val="91"/>
              </w:rPr>
              <w:t>September 30,</w:t>
            </w:r>
          </w:p>
        </w:tc>
        <w:tc>
          <w:tcPr>
            <w:tcW w:w="640" w:type="dxa"/>
            <w:vAlign w:val="bottom"/>
          </w:tcPr>
          <w:p>
            <w:pPr>
              <w:spacing w:after="0"/>
              <w:rPr>
                <w:sz w:val="19"/>
                <w:szCs w:val="19"/>
                <w:color w:val="auto"/>
              </w:rPr>
            </w:pPr>
          </w:p>
        </w:tc>
      </w:tr>
      <w:tr>
        <w:trPr>
          <w:trHeight w:val="40"/>
        </w:trPr>
        <w:tc>
          <w:tcPr>
            <w:tcW w:w="63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3"/>
        </w:trPr>
        <w:tc>
          <w:tcPr>
            <w:tcW w:w="6360" w:type="dxa"/>
            <w:vAlign w:val="bottom"/>
          </w:tcPr>
          <w:p>
            <w:pPr>
              <w:spacing w:after="0"/>
              <w:rPr>
                <w:sz w:val="19"/>
                <w:szCs w:val="19"/>
                <w:color w:val="auto"/>
              </w:rPr>
            </w:pPr>
          </w:p>
        </w:tc>
        <w:tc>
          <w:tcPr>
            <w:tcW w:w="1760" w:type="dxa"/>
            <w:vAlign w:val="bottom"/>
          </w:tcPr>
          <w:p>
            <w:pPr>
              <w:jc w:val="center"/>
              <w:ind w:left="534"/>
              <w:spacing w:after="0"/>
              <w:rPr>
                <w:sz w:val="20"/>
                <w:szCs w:val="20"/>
                <w:color w:val="auto"/>
              </w:rPr>
            </w:pPr>
            <w:r>
              <w:rPr>
                <w:rFonts w:ascii="Arial" w:cs="Arial" w:eastAsia="Arial" w:hAnsi="Arial"/>
                <w:sz w:val="17"/>
                <w:szCs w:val="17"/>
                <w:b w:val="1"/>
                <w:bCs w:val="1"/>
                <w:color w:val="auto"/>
                <w:w w:val="89"/>
              </w:rPr>
              <w:t>2022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center"/>
              <w:ind w:left="574"/>
              <w:spacing w:after="0"/>
              <w:rPr>
                <w:sz w:val="20"/>
                <w:szCs w:val="20"/>
                <w:color w:val="auto"/>
              </w:rPr>
            </w:pPr>
            <w:r>
              <w:rPr>
                <w:rFonts w:ascii="Arial" w:cs="Arial" w:eastAsia="Arial" w:hAnsi="Arial"/>
                <w:sz w:val="17"/>
                <w:szCs w:val="17"/>
                <w:b w:val="1"/>
                <w:bCs w:val="1"/>
                <w:color w:val="auto"/>
                <w:w w:val="89"/>
              </w:rPr>
              <w:t>2021</w:t>
            </w:r>
          </w:p>
        </w:tc>
        <w:tc>
          <w:tcPr>
            <w:tcW w:w="640" w:type="dxa"/>
            <w:vAlign w:val="bottom"/>
          </w:tcPr>
          <w:p>
            <w:pPr>
              <w:spacing w:after="0"/>
              <w:rPr>
                <w:sz w:val="19"/>
                <w:szCs w:val="19"/>
                <w:color w:val="auto"/>
              </w:rPr>
            </w:pPr>
          </w:p>
        </w:tc>
      </w:tr>
      <w:tr>
        <w:trPr>
          <w:trHeight w:val="40"/>
        </w:trPr>
        <w:tc>
          <w:tcPr>
            <w:tcW w:w="636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1760" w:type="dxa"/>
            <w:vAlign w:val="bottom"/>
            <w:tcBorders>
              <w:bottom w:val="single" w:sz="8" w:color="CCEEFF"/>
            </w:tcBorders>
            <w:shd w:val="clear" w:color="auto" w:fill="CCEEFF"/>
          </w:tcPr>
          <w:p>
            <w:pPr>
              <w:jc w:val="right"/>
              <w:ind w:right="15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2,338</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30"/>
        </w:trPr>
        <w:tc>
          <w:tcPr>
            <w:tcW w:w="6360" w:type="dxa"/>
            <w:vAlign w:val="bottom"/>
          </w:tcPr>
          <w:p>
            <w:pPr>
              <w:ind w:left="20"/>
              <w:spacing w:after="0"/>
              <w:rPr>
                <w:sz w:val="20"/>
                <w:szCs w:val="20"/>
                <w:color w:val="auto"/>
              </w:rPr>
            </w:pPr>
            <w:r>
              <w:rPr>
                <w:rFonts w:ascii="Arial" w:cs="Arial" w:eastAsia="Arial" w:hAnsi="Arial"/>
                <w:sz w:val="17"/>
                <w:szCs w:val="17"/>
                <w:color w:val="auto"/>
              </w:rPr>
              <w:t>Provision</w:t>
            </w:r>
          </w:p>
        </w:tc>
        <w:tc>
          <w:tcPr>
            <w:tcW w:w="1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18,801</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16,450</w:t>
            </w:r>
          </w:p>
        </w:tc>
      </w:tr>
      <w:tr>
        <w:trPr>
          <w:trHeight w:val="40"/>
        </w:trPr>
        <w:tc>
          <w:tcPr>
            <w:tcW w:w="63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Returns and allowances</w:t>
            </w:r>
          </w:p>
        </w:tc>
        <w:tc>
          <w:tcPr>
            <w:tcW w:w="1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(19,530)</w:t>
            </w: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(17,443)</w:t>
            </w:r>
          </w:p>
        </w:tc>
      </w:tr>
      <w:tr>
        <w:trPr>
          <w:trHeight w:val="257"/>
        </w:trPr>
        <w:tc>
          <w:tcPr>
            <w:tcW w:w="6360" w:type="dxa"/>
            <w:vAlign w:val="bottom"/>
          </w:tcPr>
          <w:p>
            <w:pPr>
              <w:ind w:left="120"/>
              <w:spacing w:after="0"/>
              <w:rPr>
                <w:sz w:val="20"/>
                <w:szCs w:val="20"/>
                <w:color w:val="auto"/>
              </w:rPr>
            </w:pPr>
            <w:r>
              <w:rPr>
                <w:rFonts w:ascii="Arial" w:cs="Arial" w:eastAsia="Arial" w:hAnsi="Arial"/>
                <w:sz w:val="17"/>
                <w:szCs w:val="17"/>
                <w:b w:val="1"/>
                <w:bCs w:val="1"/>
                <w:color w:val="auto"/>
              </w:rPr>
              <w:t>Balance at end of period</w:t>
            </w:r>
          </w:p>
        </w:tc>
        <w:tc>
          <w:tcPr>
            <w:tcW w:w="1760" w:type="dxa"/>
            <w:vAlign w:val="bottom"/>
            <w:tcBorders>
              <w:top w:val="single" w:sz="8" w:color="auto"/>
              <w:bottom w:val="single" w:sz="8" w:color="auto"/>
            </w:tcBorders>
          </w:tcPr>
          <w:p>
            <w:pPr>
              <w:jc w:val="right"/>
              <w:ind w:right="157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1,609</w:t>
            </w:r>
          </w:p>
        </w:tc>
        <w:tc>
          <w:tcPr>
            <w:tcW w:w="8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554"/>
              <w:spacing w:after="0"/>
              <w:rPr>
                <w:sz w:val="20"/>
                <w:szCs w:val="20"/>
                <w:color w:val="auto"/>
              </w:rPr>
            </w:pPr>
            <w:r>
              <w:rPr>
                <w:rFonts w:ascii="Arial" w:cs="Arial" w:eastAsia="Arial" w:hAnsi="Arial"/>
                <w:sz w:val="17"/>
                <w:szCs w:val="17"/>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1,348</w:t>
            </w:r>
          </w:p>
        </w:tc>
      </w:tr>
      <w:tr>
        <w:trPr>
          <w:trHeight w:val="26"/>
        </w:trPr>
        <w:tc>
          <w:tcPr>
            <w:tcW w:w="6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LEASES</w:t>
      </w:r>
    </w:p>
    <w:p>
      <w:pPr>
        <w:spacing w:after="0" w:line="252" w:lineRule="exact"/>
        <w:rPr>
          <w:sz w:val="20"/>
          <w:szCs w:val="20"/>
          <w:color w:val="auto"/>
        </w:rPr>
      </w:pPr>
    </w:p>
    <w:p>
      <w:pPr>
        <w:ind w:right="180"/>
        <w:spacing w:after="0" w:line="304" w:lineRule="auto"/>
        <w:rPr>
          <w:sz w:val="20"/>
          <w:szCs w:val="20"/>
          <w:color w:val="auto"/>
        </w:rPr>
      </w:pPr>
      <w:r>
        <w:rPr>
          <w:rFonts w:ascii="Arial" w:cs="Arial" w:eastAsia="Arial" w:hAnsi="Arial"/>
          <w:sz w:val="17"/>
          <w:szCs w:val="17"/>
          <w:color w:val="auto"/>
        </w:rPr>
        <w:t>The Company leases its executive offices, retail showrooms, office and operational locations under operating leases. The fixed, non-cancelable terms of our real estate leases are generally 5-10 years and typically include renewal options. Most of the real estate leases require payment of real estate taxes, insurance and certain common area maintenance costs in addition to future minimum lease payments.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elected the package of practical expedients permitted under the transition guidance within ASC 842 which, among other items, allowed the Company to carry forward historical lease classifications. As such, the Company applied the modified retrospective approach as of the adoption date</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to those lease contracts for which it had taken possession of the property as of December 31, 2021. In addition to the aforementioned practical expedient, the Company has elected to:</w:t>
      </w:r>
    </w:p>
    <w:p>
      <w:pPr>
        <w:spacing w:after="0" w:line="177" w:lineRule="exact"/>
        <w:rPr>
          <w:sz w:val="20"/>
          <w:szCs w:val="20"/>
          <w:color w:val="auto"/>
        </w:rPr>
      </w:pPr>
    </w:p>
    <w:p>
      <w:pPr>
        <w:ind w:left="620" w:right="260" w:hanging="307"/>
        <w:spacing w:after="0" w:line="259" w:lineRule="auto"/>
        <w:tabs>
          <w:tab w:leader="none" w:pos="609" w:val="left"/>
        </w:tabs>
        <w:numPr>
          <w:ilvl w:val="0"/>
          <w:numId w:val="6"/>
        </w:numPr>
        <w:rPr>
          <w:rFonts w:ascii="Arial" w:cs="Arial" w:eastAsia="Arial" w:hAnsi="Arial"/>
          <w:sz w:val="19"/>
          <w:szCs w:val="19"/>
          <w:color w:val="auto"/>
        </w:rPr>
      </w:pPr>
      <w:r>
        <w:rPr>
          <w:rFonts w:ascii="Arial" w:cs="Arial" w:eastAsia="Arial" w:hAnsi="Arial"/>
          <w:sz w:val="19"/>
          <w:szCs w:val="19"/>
          <w:color w:val="auto"/>
        </w:rPr>
        <w:t>Adopt the short-term lease exception for leases with terms of twelve months or less and account for them as if they were operating leases under ASC 840; and</w:t>
      </w:r>
    </w:p>
    <w:p>
      <w:pPr>
        <w:ind w:left="620" w:hanging="307"/>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Apply the practical expedient of combining lease and non-lease components.</w:t>
      </w:r>
    </w:p>
    <w:p>
      <w:pPr>
        <w:spacing w:after="0" w:line="22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determines if an arrangement is a lease at inception. Right of use (“ROU”) assets represent the Company’s right to use an underlying asset for the lease term while lease liabilities represent the Company’s obligation to make lease payments for the lease term. All leases greater than 12 months’ result in the recognition of a ROU asset and liability at the lease commencement date based on the present value of the lease payments over the lease term. The present value of the lease payments is calculated using the applicable weighted-average discount rate. The weighted-average discount rate is based on the discount rate implicit in the lease, or if the implicit rate is not readily determinable from the lease, then the Company estimates an applicable incremental borrowing rate. The incremental borrowing rate is estimated using the currency denomination of the lease, the contractual lease term and the Company’s applicable borrowing rate. The incremental borrowing rate represents the rate that would approximate the rate to borrow funds on a collateralized (or secured) basis over a similar term and in a similar economic environment.</w:t>
      </w:r>
    </w:p>
    <w:p>
      <w:pPr>
        <w:spacing w:after="0" w:line="186"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The Company does not separate lease and non-lease components and instead elects to account for them as a single lease component. Variable lease payments, such as common area maintenance charges, are excluded from lease liabilities and expensed as incurred. Generally, the real estate leases have initial terms ranging from 5 to 10 years and typically include a 5-year renewal option. Renewal options are typically not included in the lease term as it is not reasonably certain at commencement date that the Company would exercise the options to extend the lease. The exercise of the lease renewal options is at the Company’s discretion and are included in the determination of the ROU asset and lease liability when the option is reasonably certain of being exercised.</w:t>
      </w:r>
    </w:p>
    <w:p>
      <w:pPr>
        <w:spacing w:after="0" w:line="201"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As of September 30, 2022, no renewal option periods were included in the estimated minimum lease terms as the options were not deemed to be reasonably certain to be exercised. The Company expends cash for leasehold improvements to build out and equip for its leased premises. Generally, a portion of the leasehold improvements costs are reimbursed by the landlords as tenant improvement allowances pursuant to agreed-upon terms in the lease agreements. Tenant improvement allowances are recorded as part of the lease liability on the unaudited condensed consolidated balance sheet and are amortized on a straight-line basis over the lease term. Operating leases with fixed minimum rent payments are recognized on a straight-line basis over the lease term starting on the date the Company takes possession of the leased property.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Total operating lease ROU assets and lease liabilities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8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4040" w:type="dxa"/>
            <w:vAlign w:val="bottom"/>
          </w:tcPr>
          <w:p>
            <w:pPr>
              <w:jc w:val="center"/>
              <w:spacing w:after="0"/>
              <w:rPr>
                <w:sz w:val="20"/>
                <w:szCs w:val="20"/>
                <w:color w:val="auto"/>
              </w:rPr>
            </w:pPr>
            <w:r>
              <w:rPr>
                <w:rFonts w:ascii="Arial" w:cs="Arial" w:eastAsia="Arial" w:hAnsi="Arial"/>
                <w:sz w:val="15"/>
                <w:szCs w:val="15"/>
                <w:b w:val="1"/>
                <w:bCs w:val="1"/>
                <w:color w:val="auto"/>
                <w:w w:val="90"/>
              </w:rPr>
              <w:t>Classification</w:t>
            </w:r>
          </w:p>
        </w:tc>
        <w:tc>
          <w:tcPr>
            <w:tcW w:w="520" w:type="dxa"/>
            <w:vAlign w:val="bottom"/>
          </w:tcPr>
          <w:p>
            <w:pPr>
              <w:spacing w:after="0"/>
              <w:rPr>
                <w:sz w:val="17"/>
                <w:szCs w:val="17"/>
                <w:color w:val="auto"/>
              </w:rPr>
            </w:pPr>
          </w:p>
        </w:tc>
        <w:tc>
          <w:tcPr>
            <w:tcW w:w="3020" w:type="dxa"/>
            <w:vAlign w:val="bottom"/>
          </w:tcPr>
          <w:p>
            <w:pPr>
              <w:jc w:val="right"/>
              <w:ind w:right="863"/>
              <w:spacing w:after="0"/>
              <w:rPr>
                <w:sz w:val="20"/>
                <w:szCs w:val="20"/>
                <w:color w:val="auto"/>
              </w:rPr>
            </w:pPr>
            <w:r>
              <w:rPr>
                <w:rFonts w:ascii="Arial" w:cs="Arial" w:eastAsia="Arial" w:hAnsi="Arial"/>
                <w:sz w:val="15"/>
                <w:szCs w:val="15"/>
                <w:b w:val="1"/>
                <w:bCs w:val="1"/>
                <w:color w:val="auto"/>
              </w:rPr>
              <w:t>As of September 30, 2022</w:t>
            </w:r>
          </w:p>
        </w:tc>
      </w:tr>
      <w:tr>
        <w:trPr>
          <w:trHeight w:val="31"/>
        </w:trPr>
        <w:tc>
          <w:tcPr>
            <w:tcW w:w="3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8"/>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Operating ROU assets at cost</w:t>
            </w:r>
          </w:p>
        </w:tc>
        <w:tc>
          <w:tcPr>
            <w:tcW w:w="4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1"/>
              </w:rPr>
              <w:t>Operating lease right of use assets</w:t>
            </w: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25,136</w:t>
            </w:r>
          </w:p>
        </w:tc>
      </w:tr>
      <w:tr>
        <w:trPr>
          <w:trHeight w:val="214"/>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Accumulated amortization</w:t>
            </w:r>
          </w:p>
        </w:tc>
        <w:tc>
          <w:tcPr>
            <w:tcW w:w="4040" w:type="dxa"/>
            <w:vAlign w:val="bottom"/>
          </w:tcPr>
          <w:p>
            <w:pPr>
              <w:jc w:val="center"/>
              <w:spacing w:after="0"/>
              <w:rPr>
                <w:sz w:val="20"/>
                <w:szCs w:val="20"/>
                <w:color w:val="auto"/>
              </w:rPr>
            </w:pPr>
            <w:r>
              <w:rPr>
                <w:rFonts w:ascii="Arial" w:cs="Arial" w:eastAsia="Arial" w:hAnsi="Arial"/>
                <w:sz w:val="15"/>
                <w:szCs w:val="15"/>
                <w:color w:val="auto"/>
                <w:w w:val="91"/>
              </w:rPr>
              <w:t>Operating lease right of use assets</w:t>
            </w:r>
          </w:p>
        </w:tc>
        <w:tc>
          <w:tcPr>
            <w:tcW w:w="5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5"/>
                <w:szCs w:val="15"/>
                <w:color w:val="auto"/>
              </w:rPr>
              <w:t>(2,272)</w:t>
            </w:r>
          </w:p>
        </w:tc>
      </w:tr>
      <w:tr>
        <w:trPr>
          <w:trHeight w:val="31"/>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6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rPr>
              <w:t>Net book value</w:t>
            </w:r>
          </w:p>
        </w:tc>
        <w:tc>
          <w:tcPr>
            <w:tcW w:w="4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22,864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45"/>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4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Classification</w:t>
            </w:r>
          </w:p>
        </w:tc>
        <w:tc>
          <w:tcPr>
            <w:tcW w:w="5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5"/>
                <w:szCs w:val="15"/>
                <w:b w:val="1"/>
                <w:bCs w:val="1"/>
                <w:color w:val="auto"/>
              </w:rPr>
              <w:t>As of September 30, 2022</w:t>
            </w:r>
          </w:p>
        </w:tc>
      </w:tr>
      <w:tr>
        <w:trPr>
          <w:trHeight w:val="206"/>
        </w:trPr>
        <w:tc>
          <w:tcPr>
            <w:tcW w:w="3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Current:</w:t>
            </w:r>
          </w:p>
        </w:tc>
        <w:tc>
          <w:tcPr>
            <w:tcW w:w="240" w:type="dxa"/>
            <w:vAlign w:val="bottom"/>
          </w:tcPr>
          <w:p>
            <w:pPr>
              <w:spacing w:after="0"/>
              <w:rPr>
                <w:sz w:val="17"/>
                <w:szCs w:val="17"/>
                <w:color w:val="auto"/>
              </w:rPr>
            </w:pPr>
          </w:p>
        </w:tc>
        <w:tc>
          <w:tcPr>
            <w:tcW w:w="4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r>
      <w:tr>
        <w:trPr>
          <w:trHeight w:val="31"/>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5"/>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Operating leases</w:t>
            </w:r>
          </w:p>
        </w:tc>
        <w:tc>
          <w:tcPr>
            <w:tcW w:w="4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Current portion of operating lease liabilities</w:t>
            </w: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3,321</w:t>
            </w:r>
          </w:p>
        </w:tc>
      </w:tr>
      <w:tr>
        <w:trPr>
          <w:trHeight w:val="214"/>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Noncurrent:</w:t>
            </w:r>
          </w:p>
        </w:tc>
        <w:tc>
          <w:tcPr>
            <w:tcW w:w="4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1"/>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5"/>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Operating leases</w:t>
            </w:r>
          </w:p>
        </w:tc>
        <w:tc>
          <w:tcPr>
            <w:tcW w:w="4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4"/>
              </w:rPr>
              <w:t>Operating lease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23,166</w:t>
            </w:r>
          </w:p>
        </w:tc>
      </w:tr>
      <w:tr>
        <w:trPr>
          <w:trHeight w:val="235"/>
        </w:trPr>
        <w:tc>
          <w:tcPr>
            <w:tcW w:w="34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lease liabilities</w:t>
            </w:r>
          </w:p>
        </w:tc>
        <w:tc>
          <w:tcPr>
            <w:tcW w:w="40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3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26,487</w:t>
            </w:r>
          </w:p>
        </w:tc>
      </w:tr>
      <w:tr>
        <w:trPr>
          <w:trHeight w:val="21"/>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Total operating lease costs were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80" w:type="dxa"/>
            <w:vAlign w:val="bottom"/>
            <w:gridSpan w:val="3"/>
          </w:tcPr>
          <w:p>
            <w:pPr>
              <w:ind w:left="360"/>
              <w:spacing w:after="0"/>
              <w:rPr>
                <w:sz w:val="20"/>
                <w:szCs w:val="20"/>
                <w:color w:val="auto"/>
              </w:rPr>
            </w:pPr>
            <w:r>
              <w:rPr>
                <w:rFonts w:ascii="Arial" w:cs="Arial" w:eastAsia="Arial" w:hAnsi="Arial"/>
                <w:sz w:val="15"/>
                <w:szCs w:val="15"/>
                <w:b w:val="1"/>
                <w:bCs w:val="1"/>
                <w:color w:val="auto"/>
                <w:w w:val="95"/>
              </w:rPr>
              <w:t>For the three months ended September 30,</w:t>
            </w:r>
          </w:p>
        </w:tc>
        <w:tc>
          <w:tcPr>
            <w:tcW w:w="28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For the nine months ended September 30,</w:t>
            </w:r>
          </w:p>
        </w:tc>
      </w:tr>
      <w:tr>
        <w:trPr>
          <w:trHeight w:val="202"/>
        </w:trPr>
        <w:tc>
          <w:tcPr>
            <w:tcW w:w="2040" w:type="dxa"/>
            <w:vAlign w:val="bottom"/>
          </w:tcPr>
          <w:p>
            <w:pPr>
              <w:spacing w:after="0"/>
              <w:rPr>
                <w:sz w:val="17"/>
                <w:szCs w:val="17"/>
                <w:color w:val="auto"/>
              </w:rPr>
            </w:pPr>
          </w:p>
        </w:tc>
        <w:tc>
          <w:tcPr>
            <w:tcW w:w="3060" w:type="dxa"/>
            <w:vAlign w:val="bottom"/>
          </w:tcPr>
          <w:p>
            <w:pPr>
              <w:ind w:left="1240"/>
              <w:spacing w:after="0"/>
              <w:rPr>
                <w:sz w:val="20"/>
                <w:szCs w:val="20"/>
                <w:color w:val="auto"/>
              </w:rPr>
            </w:pPr>
            <w:r>
              <w:rPr>
                <w:rFonts w:ascii="Arial" w:cs="Arial" w:eastAsia="Arial" w:hAnsi="Arial"/>
                <w:sz w:val="15"/>
                <w:szCs w:val="15"/>
                <w:b w:val="1"/>
                <w:bCs w:val="1"/>
                <w:color w:val="auto"/>
              </w:rPr>
              <w:t>Classification</w:t>
            </w:r>
          </w:p>
        </w:tc>
        <w:tc>
          <w:tcPr>
            <w:tcW w:w="1020" w:type="dxa"/>
            <w:vAlign w:val="bottom"/>
          </w:tcPr>
          <w:p>
            <w:pPr>
              <w:spacing w:after="0"/>
              <w:rPr>
                <w:sz w:val="17"/>
                <w:szCs w:val="17"/>
                <w:color w:val="auto"/>
              </w:rPr>
            </w:pPr>
          </w:p>
        </w:tc>
        <w:tc>
          <w:tcPr>
            <w:tcW w:w="2180" w:type="dxa"/>
            <w:vAlign w:val="bottom"/>
          </w:tcPr>
          <w:p>
            <w:pPr>
              <w:jc w:val="right"/>
              <w:ind w:right="120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80" w:type="dxa"/>
            <w:vAlign w:val="bottom"/>
          </w:tcPr>
          <w:p>
            <w:pPr>
              <w:jc w:val="right"/>
              <w:ind w:right="1203"/>
              <w:spacing w:after="0"/>
              <w:rPr>
                <w:sz w:val="20"/>
                <w:szCs w:val="20"/>
                <w:color w:val="auto"/>
              </w:rPr>
            </w:pPr>
            <w:r>
              <w:rPr>
                <w:rFonts w:ascii="Arial" w:cs="Arial" w:eastAsia="Arial" w:hAnsi="Arial"/>
                <w:sz w:val="15"/>
                <w:szCs w:val="15"/>
                <w:b w:val="1"/>
                <w:bCs w:val="1"/>
                <w:color w:val="auto"/>
              </w:rPr>
              <w:t>2022</w:t>
            </w:r>
          </w:p>
        </w:tc>
      </w:tr>
      <w:tr>
        <w:trPr>
          <w:trHeight w:val="31"/>
        </w:trPr>
        <w:tc>
          <w:tcPr>
            <w:tcW w:w="204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6"/>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costs</w:t>
            </w:r>
          </w:p>
        </w:tc>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0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1,089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3,067</w:t>
            </w:r>
          </w:p>
        </w:tc>
      </w:tr>
      <w:tr>
        <w:trPr>
          <w:trHeight w:val="31"/>
        </w:trPr>
        <w:tc>
          <w:tcPr>
            <w:tcW w:w="204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20"/>
        <w:spacing w:after="0" w:line="310" w:lineRule="auto"/>
        <w:rPr>
          <w:sz w:val="20"/>
          <w:szCs w:val="20"/>
          <w:color w:val="auto"/>
        </w:rPr>
      </w:pPr>
      <w:r>
        <w:rPr>
          <w:rFonts w:ascii="Arial" w:cs="Arial" w:eastAsia="Arial" w:hAnsi="Arial"/>
          <w:sz w:val="17"/>
          <w:szCs w:val="17"/>
          <w:color w:val="auto"/>
        </w:rPr>
        <w:t>The maturity analysis of the operating lease liabilities under long-term non-cancelable operating leases, where the Company has taken physical possession of or has control of the physical use of these leased properties, as of September 30, 2022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jc w:val="right"/>
              <w:ind w:right="843"/>
              <w:spacing w:after="0"/>
              <w:rPr>
                <w:sz w:val="20"/>
                <w:szCs w:val="20"/>
                <w:color w:val="auto"/>
              </w:rPr>
            </w:pPr>
            <w:r>
              <w:rPr>
                <w:rFonts w:ascii="Arial" w:cs="Arial" w:eastAsia="Arial" w:hAnsi="Arial"/>
                <w:sz w:val="15"/>
                <w:szCs w:val="15"/>
                <w:b w:val="1"/>
                <w:bCs w:val="1"/>
                <w:color w:val="auto"/>
              </w:rPr>
              <w:t>Amount</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For the three months ending December 31, 2022</w:t>
            </w: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795</w:t>
            </w:r>
          </w:p>
        </w:tc>
      </w:tr>
      <w:tr>
        <w:trPr>
          <w:trHeight w:val="214"/>
        </w:trPr>
        <w:tc>
          <w:tcPr>
            <w:tcW w:w="8840" w:type="dxa"/>
            <w:vAlign w:val="bottom"/>
          </w:tcPr>
          <w:p>
            <w:pPr>
              <w:ind w:left="120"/>
              <w:spacing w:after="0"/>
              <w:rPr>
                <w:sz w:val="20"/>
                <w:szCs w:val="20"/>
                <w:color w:val="auto"/>
              </w:rPr>
            </w:pPr>
            <w:r>
              <w:rPr>
                <w:rFonts w:ascii="Arial" w:cs="Arial" w:eastAsia="Arial" w:hAnsi="Arial"/>
                <w:sz w:val="15"/>
                <w:szCs w:val="15"/>
                <w:b w:val="1"/>
                <w:bCs w:val="1"/>
                <w:color w:val="auto"/>
              </w:rPr>
              <w:t>Years ending December 31,</w:t>
            </w:r>
          </w:p>
        </w:tc>
        <w:tc>
          <w:tcPr>
            <w:tcW w:w="5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2023</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4,875</w:t>
            </w:r>
          </w:p>
        </w:tc>
      </w:tr>
      <w:tr>
        <w:trPr>
          <w:trHeight w:val="214"/>
        </w:trPr>
        <w:tc>
          <w:tcPr>
            <w:tcW w:w="8840" w:type="dxa"/>
            <w:vAlign w:val="bottom"/>
          </w:tcPr>
          <w:p>
            <w:pPr>
              <w:ind w:left="120"/>
              <w:spacing w:after="0"/>
              <w:rPr>
                <w:sz w:val="20"/>
                <w:szCs w:val="20"/>
                <w:color w:val="auto"/>
              </w:rPr>
            </w:pPr>
            <w:r>
              <w:rPr>
                <w:rFonts w:ascii="Arial" w:cs="Arial" w:eastAsia="Arial" w:hAnsi="Arial"/>
                <w:sz w:val="15"/>
                <w:szCs w:val="15"/>
                <w:color w:val="auto"/>
              </w:rPr>
              <w:t>2024</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4,745</w:t>
            </w: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2025</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4,704</w:t>
            </w:r>
          </w:p>
        </w:tc>
      </w:tr>
      <w:tr>
        <w:trPr>
          <w:trHeight w:val="214"/>
        </w:trPr>
        <w:tc>
          <w:tcPr>
            <w:tcW w:w="8840" w:type="dxa"/>
            <w:vAlign w:val="bottom"/>
          </w:tcPr>
          <w:p>
            <w:pPr>
              <w:ind w:left="120"/>
              <w:spacing w:after="0"/>
              <w:rPr>
                <w:sz w:val="20"/>
                <w:szCs w:val="20"/>
                <w:color w:val="auto"/>
              </w:rPr>
            </w:pPr>
            <w:r>
              <w:rPr>
                <w:rFonts w:ascii="Arial" w:cs="Arial" w:eastAsia="Arial" w:hAnsi="Arial"/>
                <w:sz w:val="15"/>
                <w:szCs w:val="15"/>
                <w:color w:val="auto"/>
              </w:rPr>
              <w:t>2026</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4,364</w:t>
            </w: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2027</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2,876</w:t>
            </w:r>
          </w:p>
        </w:tc>
      </w:tr>
      <w:tr>
        <w:trPr>
          <w:trHeight w:val="214"/>
        </w:trPr>
        <w:tc>
          <w:tcPr>
            <w:tcW w:w="8840" w:type="dxa"/>
            <w:vAlign w:val="bottom"/>
          </w:tcPr>
          <w:p>
            <w:pPr>
              <w:ind w:left="120"/>
              <w:spacing w:after="0"/>
              <w:rPr>
                <w:sz w:val="20"/>
                <w:szCs w:val="20"/>
                <w:color w:val="auto"/>
              </w:rPr>
            </w:pPr>
            <w:r>
              <w:rPr>
                <w:rFonts w:ascii="Arial" w:cs="Arial" w:eastAsia="Arial" w:hAnsi="Arial"/>
                <w:sz w:val="15"/>
                <w:szCs w:val="15"/>
                <w:color w:val="auto"/>
              </w:rPr>
              <w:t>Thereafter</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8,878</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minimum lease payments</w:t>
            </w:r>
          </w:p>
        </w:tc>
        <w:tc>
          <w:tcPr>
            <w:tcW w:w="5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31,237</w:t>
            </w:r>
          </w:p>
        </w:tc>
      </w:tr>
      <w:tr>
        <w:trPr>
          <w:trHeight w:val="214"/>
        </w:trPr>
        <w:tc>
          <w:tcPr>
            <w:tcW w:w="8840" w:type="dxa"/>
            <w:vAlign w:val="bottom"/>
          </w:tcPr>
          <w:p>
            <w:pPr>
              <w:ind w:left="220"/>
              <w:spacing w:after="0"/>
              <w:rPr>
                <w:sz w:val="20"/>
                <w:szCs w:val="20"/>
                <w:color w:val="auto"/>
              </w:rPr>
            </w:pPr>
            <w:r>
              <w:rPr>
                <w:rFonts w:ascii="Arial" w:cs="Arial" w:eastAsia="Arial" w:hAnsi="Arial"/>
                <w:sz w:val="15"/>
                <w:szCs w:val="15"/>
                <w:color w:val="auto"/>
              </w:rPr>
              <w:t>Less: imputed interest</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(4,750)</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Net present value of operating lease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26,487</w:t>
            </w:r>
          </w:p>
        </w:tc>
      </w:tr>
      <w:tr>
        <w:trPr>
          <w:trHeight w:val="214"/>
        </w:trPr>
        <w:tc>
          <w:tcPr>
            <w:tcW w:w="8840" w:type="dxa"/>
            <w:vAlign w:val="bottom"/>
          </w:tcPr>
          <w:p>
            <w:pPr>
              <w:ind w:left="220"/>
              <w:spacing w:after="0"/>
              <w:rPr>
                <w:sz w:val="20"/>
                <w:szCs w:val="20"/>
                <w:color w:val="auto"/>
              </w:rPr>
            </w:pPr>
            <w:r>
              <w:rPr>
                <w:rFonts w:ascii="Arial" w:cs="Arial" w:eastAsia="Arial" w:hAnsi="Arial"/>
                <w:sz w:val="15"/>
                <w:szCs w:val="15"/>
                <w:color w:val="auto"/>
              </w:rPr>
              <w:t>Less: current portion</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(3,321)</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0"/>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Long-term portion</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23,166</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weighted-average remaining lease term and weighted-average discount rate on long-term leases as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September 30, 2022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19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 years</w:t>
            </w:r>
          </w:p>
        </w:tc>
      </w:tr>
      <w:tr>
        <w:trPr>
          <w:trHeight w:val="214"/>
        </w:trPr>
        <w:tc>
          <w:tcPr>
            <w:tcW w:w="782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19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4.3 %</w:t>
            </w:r>
          </w:p>
        </w:tc>
      </w:tr>
      <w:tr>
        <w:trPr>
          <w:trHeight w:val="31"/>
        </w:trPr>
        <w:tc>
          <w:tcPr>
            <w:tcW w:w="7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78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14"/>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ROU assets and lease obligations recognized upon adoption of ASC 842 on January 1, 2022:</w:t>
            </w: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1"/>
        </w:trPr>
        <w:tc>
          <w:tcPr>
            <w:tcW w:w="7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ROU assets</w:t>
            </w:r>
          </w:p>
        </w:tc>
        <w:tc>
          <w:tcPr>
            <w:tcW w:w="196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19,173</w:t>
            </w:r>
          </w:p>
        </w:tc>
      </w:tr>
      <w:tr>
        <w:trPr>
          <w:trHeight w:val="214"/>
        </w:trPr>
        <w:tc>
          <w:tcPr>
            <w:tcW w:w="7820" w:type="dxa"/>
            <w:vAlign w:val="bottom"/>
          </w:tcPr>
          <w:p>
            <w:pPr>
              <w:ind w:left="120"/>
              <w:spacing w:after="0"/>
              <w:rPr>
                <w:sz w:val="20"/>
                <w:szCs w:val="20"/>
                <w:color w:val="auto"/>
              </w:rPr>
            </w:pPr>
            <w:r>
              <w:rPr>
                <w:rFonts w:ascii="Arial" w:cs="Arial" w:eastAsia="Arial" w:hAnsi="Arial"/>
                <w:sz w:val="15"/>
                <w:szCs w:val="15"/>
                <w:color w:val="auto"/>
              </w:rPr>
              <w:t>Operating lease obligations</w:t>
            </w:r>
          </w:p>
        </w:tc>
        <w:tc>
          <w:tcPr>
            <w:tcW w:w="1960" w:type="dxa"/>
            <w:vAlign w:val="bottom"/>
          </w:tcPr>
          <w:p>
            <w:pPr>
              <w:jc w:val="right"/>
              <w:ind w:right="703"/>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3"/>
              <w:spacing w:after="0"/>
              <w:rPr>
                <w:sz w:val="20"/>
                <w:szCs w:val="20"/>
                <w:color w:val="auto"/>
              </w:rPr>
            </w:pPr>
            <w:r>
              <w:rPr>
                <w:rFonts w:ascii="Arial" w:cs="Arial" w:eastAsia="Arial" w:hAnsi="Arial"/>
                <w:sz w:val="15"/>
                <w:szCs w:val="15"/>
                <w:color w:val="auto"/>
              </w:rPr>
              <w:t>(21,316)</w:t>
            </w:r>
          </w:p>
        </w:tc>
      </w:tr>
      <w:tr>
        <w:trPr>
          <w:trHeight w:val="31"/>
        </w:trPr>
        <w:tc>
          <w:tcPr>
            <w:tcW w:w="7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78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14"/>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Supplemental cash flow information related to operating leases as of September 30, 2022 is as follows:</w:t>
            </w: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1"/>
        </w:trPr>
        <w:tc>
          <w:tcPr>
            <w:tcW w:w="7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paid for amounts included in lease liabilities for the nine months ended September 30, 2022:</w:t>
            </w:r>
          </w:p>
        </w:tc>
        <w:tc>
          <w:tcPr>
            <w:tcW w:w="19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14"/>
        </w:trPr>
        <w:tc>
          <w:tcPr>
            <w:tcW w:w="7820" w:type="dxa"/>
            <w:vAlign w:val="bottom"/>
          </w:tcPr>
          <w:p>
            <w:pPr>
              <w:ind w:left="120"/>
              <w:spacing w:after="0"/>
              <w:rPr>
                <w:sz w:val="20"/>
                <w:szCs w:val="20"/>
                <w:color w:val="auto"/>
              </w:rPr>
            </w:pPr>
            <w:r>
              <w:rPr>
                <w:rFonts w:ascii="Arial" w:cs="Arial" w:eastAsia="Arial" w:hAnsi="Arial"/>
                <w:sz w:val="15"/>
                <w:szCs w:val="15"/>
                <w:color w:val="auto"/>
              </w:rPr>
              <w:t>Operating cash flows from operating leases</w:t>
            </w:r>
          </w:p>
        </w:tc>
        <w:tc>
          <w:tcPr>
            <w:tcW w:w="1960" w:type="dxa"/>
            <w:vAlign w:val="bottom"/>
          </w:tcPr>
          <w:p>
            <w:pPr>
              <w:jc w:val="right"/>
              <w:ind w:right="703"/>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03"/>
              <w:spacing w:after="0"/>
              <w:rPr>
                <w:sz w:val="20"/>
                <w:szCs w:val="20"/>
                <w:color w:val="auto"/>
              </w:rPr>
            </w:pPr>
            <w:r>
              <w:rPr>
                <w:rFonts w:ascii="Arial" w:cs="Arial" w:eastAsia="Arial" w:hAnsi="Arial"/>
                <w:sz w:val="15"/>
                <w:szCs w:val="15"/>
                <w:color w:val="auto"/>
              </w:rPr>
              <w:t>3,393</w:t>
            </w:r>
          </w:p>
        </w:tc>
      </w:tr>
      <w:tr>
        <w:trPr>
          <w:trHeight w:val="31"/>
        </w:trPr>
        <w:tc>
          <w:tcPr>
            <w:tcW w:w="7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78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4"/>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ROU assets obtained in exchange for new operating lease liabilities</w:t>
            </w:r>
          </w:p>
        </w:tc>
        <w:tc>
          <w:tcPr>
            <w:tcW w:w="1960" w:type="dxa"/>
            <w:vAlign w:val="bottom"/>
          </w:tcPr>
          <w:p>
            <w:pPr>
              <w:jc w:val="right"/>
              <w:ind w:right="703"/>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03"/>
              <w:spacing w:after="0"/>
              <w:rPr>
                <w:sz w:val="20"/>
                <w:szCs w:val="20"/>
                <w:color w:val="auto"/>
              </w:rPr>
            </w:pPr>
            <w:r>
              <w:rPr>
                <w:rFonts w:ascii="Arial" w:cs="Arial" w:eastAsia="Arial" w:hAnsi="Arial"/>
                <w:sz w:val="15"/>
                <w:szCs w:val="15"/>
                <w:color w:val="auto"/>
              </w:rPr>
              <w:t>5,963</w:t>
            </w:r>
          </w:p>
        </w:tc>
      </w:tr>
      <w:tr>
        <w:trPr>
          <w:trHeight w:val="31"/>
        </w:trPr>
        <w:tc>
          <w:tcPr>
            <w:tcW w:w="7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78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LONG-TERM DEBT</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The following table summarizes the net carrying amount of long-term debt as of September 30, 2022 and December 31, 2021, net of debt issuance costs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0"/>
              </w:rPr>
              <w:t>September 30, 2022</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Arial" w:cs="Arial" w:eastAsia="Arial" w:hAnsi="Arial"/>
                <w:sz w:val="17"/>
                <w:szCs w:val="17"/>
                <w:b w:val="1"/>
                <w:bCs w:val="1"/>
                <w:color w:val="auto"/>
                <w:w w:val="97"/>
              </w:rPr>
              <w:t>December 31, 2021</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
        </w:trPr>
        <w:tc>
          <w:tcPr>
            <w:tcW w:w="2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9"/>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Arial" w:cs="Arial" w:eastAsia="Arial" w:hAnsi="Arial"/>
                <w:sz w:val="17"/>
                <w:szCs w:val="17"/>
                <w:b w:val="1"/>
                <w:bCs w:val="1"/>
                <w:color w:val="auto"/>
                <w:w w:val="97"/>
              </w:rPr>
              <w:t>Outstanding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Debt issuance</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Net carrying</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Outstanding</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Debt issuance</w:t>
            </w:r>
          </w:p>
        </w:tc>
        <w:tc>
          <w:tcPr>
            <w:tcW w:w="1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b w:val="1"/>
                <w:bCs w:val="1"/>
                <w:color w:val="auto"/>
                <w:w w:val="98"/>
              </w:rPr>
              <w:t>Net carrying</w:t>
            </w:r>
          </w:p>
        </w:tc>
      </w:tr>
      <w:tr>
        <w:trPr>
          <w:trHeight w:val="223"/>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94"/>
              <w:spacing w:after="0"/>
              <w:rPr>
                <w:sz w:val="20"/>
                <w:szCs w:val="20"/>
                <w:color w:val="auto"/>
              </w:rPr>
            </w:pPr>
            <w:r>
              <w:rPr>
                <w:rFonts w:ascii="Arial" w:cs="Arial" w:eastAsia="Arial" w:hAnsi="Arial"/>
                <w:sz w:val="17"/>
                <w:szCs w:val="17"/>
                <w:b w:val="1"/>
                <w:bCs w:val="1"/>
                <w:color w:val="auto"/>
              </w:rPr>
              <w:t>principal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76"/>
              </w:rPr>
              <w:t>costs</w:t>
            </w:r>
          </w:p>
        </w:tc>
        <w:tc>
          <w:tcPr>
            <w:tcW w:w="18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amount</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5"/>
              </w:rPr>
              <w:t>principal</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76"/>
              </w:rPr>
              <w:t>costs</w:t>
            </w:r>
          </w:p>
        </w:tc>
        <w:tc>
          <w:tcPr>
            <w:tcW w:w="180" w:type="dxa"/>
            <w:vAlign w:val="bottom"/>
          </w:tcPr>
          <w:p>
            <w:pPr>
              <w:spacing w:after="0"/>
              <w:rPr>
                <w:sz w:val="19"/>
                <w:szCs w:val="19"/>
                <w:color w:val="auto"/>
              </w:rPr>
            </w:pPr>
          </w:p>
        </w:tc>
        <w:tc>
          <w:tcPr>
            <w:tcW w:w="1240" w:type="dxa"/>
            <w:vAlign w:val="bottom"/>
          </w:tcPr>
          <w:p>
            <w:pPr>
              <w:jc w:val="right"/>
              <w:ind w:right="334"/>
              <w:spacing w:after="0"/>
              <w:rPr>
                <w:sz w:val="20"/>
                <w:szCs w:val="20"/>
                <w:color w:val="auto"/>
              </w:rPr>
            </w:pPr>
            <w:r>
              <w:rPr>
                <w:rFonts w:ascii="Arial" w:cs="Arial" w:eastAsia="Arial" w:hAnsi="Arial"/>
                <w:sz w:val="17"/>
                <w:szCs w:val="17"/>
                <w:b w:val="1"/>
                <w:bCs w:val="1"/>
                <w:color w:val="auto"/>
              </w:rPr>
              <w:t>amount</w:t>
            </w:r>
          </w:p>
        </w:tc>
      </w:tr>
      <w:tr>
        <w:trPr>
          <w:trHeight w:val="27"/>
        </w:trPr>
        <w:tc>
          <w:tcPr>
            <w:tcW w:w="2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SVB 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64,188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63,478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63,578</w:t>
            </w:r>
          </w:p>
        </w:tc>
      </w:tr>
      <w:tr>
        <w:trPr>
          <w:trHeight w:val="257"/>
        </w:trPr>
        <w:tc>
          <w:tcPr>
            <w:tcW w:w="2180" w:type="dxa"/>
            <w:vAlign w:val="bottom"/>
          </w:tcPr>
          <w:p>
            <w:pPr>
              <w:ind w:left="120"/>
              <w:spacing w:after="0"/>
              <w:rPr>
                <w:sz w:val="20"/>
                <w:szCs w:val="20"/>
                <w:color w:val="auto"/>
              </w:rPr>
            </w:pPr>
            <w:r>
              <w:rPr>
                <w:rFonts w:ascii="Arial" w:cs="Arial" w:eastAsia="Arial" w:hAnsi="Arial"/>
                <w:sz w:val="17"/>
                <w:szCs w:val="17"/>
                <w:b w:val="1"/>
                <w:bCs w:val="1"/>
                <w:color w:val="auto"/>
              </w:rPr>
              <w:t>Total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64,188</w:t>
            </w:r>
          </w:p>
        </w:tc>
        <w:tc>
          <w:tcPr>
            <w:tcW w:w="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63,478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65,000</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(1,422)</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63,578</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1"/>
        </w:trPr>
        <w:tc>
          <w:tcPr>
            <w:tcW w:w="2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7"/>
                <w:szCs w:val="17"/>
                <w:color w:val="auto"/>
              </w:rPr>
              <w:t>Current portion</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3,250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30,789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30,789</w:t>
            </w:r>
          </w:p>
        </w:tc>
      </w:tr>
      <w:tr>
        <w:trPr>
          <w:trHeight w:val="40"/>
        </w:trPr>
        <w:tc>
          <w:tcPr>
            <w:tcW w:w="2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60,228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32,789</w:t>
            </w:r>
          </w:p>
        </w:tc>
      </w:tr>
      <w:tr>
        <w:trPr>
          <w:trHeight w:val="257"/>
        </w:trPr>
        <w:tc>
          <w:tcPr>
            <w:tcW w:w="2180" w:type="dxa"/>
            <w:vAlign w:val="bottom"/>
          </w:tcPr>
          <w:p>
            <w:pPr>
              <w:ind w:left="120"/>
              <w:spacing w:after="0"/>
              <w:rPr>
                <w:sz w:val="20"/>
                <w:szCs w:val="20"/>
                <w:color w:val="auto"/>
              </w:rPr>
            </w:pPr>
            <w:r>
              <w:rPr>
                <w:rFonts w:ascii="Arial" w:cs="Arial" w:eastAsia="Arial" w:hAnsi="Arial"/>
                <w:sz w:val="17"/>
                <w:szCs w:val="17"/>
                <w:b w:val="1"/>
                <w:bCs w:val="1"/>
                <w:color w:val="auto"/>
              </w:rPr>
              <w:t>Total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64,188</w:t>
            </w:r>
          </w:p>
        </w:tc>
        <w:tc>
          <w:tcPr>
            <w:tcW w:w="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63,478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65,000</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(1,422)</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63,578</w:t>
            </w:r>
          </w:p>
        </w:tc>
      </w:tr>
      <w:tr>
        <w:trPr>
          <w:trHeight w:val="26"/>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 Loan Agreement - Runway Growth Credit Finance Corp.</w:t>
      </w:r>
    </w:p>
    <w:p>
      <w:pPr>
        <w:spacing w:after="0" w:line="233"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On September 30, 2019, we entered into a Loan and Security Agreement with Runway Growth Finance Corp. (f/k/a Runway Growth Credit Fund Inc.) (“Runway”) which, as subsequently amended, provided for up to $65.0 million of borrowings (as subsequently amended, the “Runway Term</w:t>
      </w:r>
    </w:p>
    <w:p>
      <w:pPr>
        <w:spacing w:after="0" w:line="1"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color w:val="auto"/>
        </w:rPr>
        <w:t>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spacing w:after="0" w:line="155" w:lineRule="exact"/>
        <w:rPr>
          <w:sz w:val="20"/>
          <w:szCs w:val="20"/>
          <w:color w:val="auto"/>
        </w:rPr>
      </w:pPr>
    </w:p>
    <w:p>
      <w:pPr>
        <w:ind w:right="580"/>
        <w:spacing w:after="0" w:line="324" w:lineRule="auto"/>
        <w:rPr>
          <w:sz w:val="20"/>
          <w:szCs w:val="20"/>
          <w:color w:val="auto"/>
        </w:rPr>
      </w:pPr>
      <w:r>
        <w:rPr>
          <w:rFonts w:ascii="Arial" w:cs="Arial" w:eastAsia="Arial" w:hAnsi="Arial"/>
          <w:sz w:val="17"/>
          <w:szCs w:val="17"/>
          <w:color w:val="auto"/>
        </w:rPr>
        <w:t>In connection with the origination of the Runway Term Loan Agreement, a warrant for 333,333 Class P Units was issued. The warrants were converted upon exercise into 534,589 newly issued LLC Units on a net settlement basis, elected at the option of the holder.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required to make interest-only payments on the Runway Term Loan through April 15, 2022, at which time the Runway 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Loan began amortizing, with equal monthly payments of principal, which would fully amortize the principal amount of the Term Loan by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October 15, 2023, plus interest being paid by the Company to Runway in consecutive monthly installments until October 15, 2023. The Term Loan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carried a prepayment fee of 3.00% declining to 0.00% based on the anniversary date of payment, and a final payment fee equal to 4.50% of the</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principal amount repaid upon prepayment, plus $0.2 million.</w:t>
      </w:r>
    </w:p>
    <w:p>
      <w:pPr>
        <w:spacing w:after="0" w:line="217" w:lineRule="exact"/>
        <w:rPr>
          <w:sz w:val="20"/>
          <w:szCs w:val="20"/>
          <w:color w:val="auto"/>
        </w:rPr>
      </w:pPr>
    </w:p>
    <w:p>
      <w:pPr>
        <w:jc w:val="both"/>
        <w:ind w:right="300"/>
        <w:spacing w:after="0" w:line="267" w:lineRule="auto"/>
        <w:rPr>
          <w:sz w:val="20"/>
          <w:szCs w:val="20"/>
          <w:color w:val="auto"/>
        </w:rPr>
      </w:pPr>
      <w:r>
        <w:rPr>
          <w:rFonts w:ascii="Arial" w:cs="Arial" w:eastAsia="Arial" w:hAnsi="Arial"/>
          <w:sz w:val="19"/>
          <w:szCs w:val="19"/>
          <w:color w:val="auto"/>
        </w:rPr>
        <w:t>On May 24, 2022, substantially concurrently with entry into the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 prepayment fee, plus a final payment fee. The Runway Term Loan was scheduled to mature on October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6" w:name="page27"/>
    <w:bookmarkEnd w:id="26"/>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Agreement - Silicon Valley Bank</w:t>
      </w: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On May 24, 2022 (the “Closing Date”), Brilliant Earth, LLC, as borrower, and Silicon Valley Bank, as administrative agent and collateral agent for the lenders, entered into a credit agreement (the “SVB Credit Agreement”) which provides for a secured term loan credit facility of $65.0 million (the “SVB Term Loan Facility”) and a secured revolving credit facility in an amount of up to $40.0 million (the “SVB Revolving Credit Facility”, and together with the Term Loan Facility, the “SVB Credit Facilities”).</w:t>
      </w:r>
    </w:p>
    <w:p>
      <w:pPr>
        <w:spacing w:after="0" w:line="201"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The SVB Credit Facilities were used to refinance existing indebtedness, pay related fees and expenses, and will be used from and after the Closing Date for working capital and general corporate purposes. The Credit Facilities mature on May 24, 2027 (the “SVB Maturity Date”). As of September 30, 2022, there are no amounts outstanding under the SVB Revolving Credit Facility and there were $64.2 million of total debt outstanding under the SVB Term Loan Agreement, of which $60.9 million is classified at long-term debt.</w:t>
      </w:r>
    </w:p>
    <w:p>
      <w:pPr>
        <w:spacing w:after="0" w:line="199"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spacing w:after="0" w:line="215"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Credit Agreement).</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SVB Credit Facilities are subject to customary affirmative covenants and negative covenants as well as financial maintenance covenants. The financial covenants are tested at the end of each fiscal quarter, beginning with the quarter ending June 30, 2022, and requires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w:t>
      </w:r>
    </w:p>
    <w:p>
      <w:pPr>
        <w:spacing w:after="0" w:line="1" w:lineRule="exact"/>
        <w:rPr>
          <w:sz w:val="20"/>
          <w:szCs w:val="20"/>
          <w:color w:val="auto"/>
        </w:rPr>
      </w:pPr>
    </w:p>
    <w:p>
      <w:pPr>
        <w:ind w:right="300"/>
        <w:spacing w:after="0" w:line="278" w:lineRule="auto"/>
        <w:rPr>
          <w:sz w:val="20"/>
          <w:szCs w:val="20"/>
          <w:color w:val="auto"/>
        </w:rPr>
      </w:pPr>
      <w:r>
        <w:rPr>
          <w:rFonts w:ascii="Arial" w:cs="Arial" w:eastAsia="Arial" w:hAnsi="Arial"/>
          <w:sz w:val="19"/>
          <w:szCs w:val="19"/>
          <w:color w:val="auto"/>
        </w:rPr>
        <w:t>1.25:1.00, (b) the Company and its subsidiaries not have a Consolidated Total Leverage Ratio of more than 4.00 to 1.00, and (c) Brilliant Earth, LLC and its subsidiaries not have a Consolidated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36" w:right="419" w:bottom="1440" w:gutter="0" w:footer="0" w:header="0"/>
        </w:sectPr>
      </w:pPr>
    </w:p>
    <w:bookmarkStart w:id="27" w:name="page28"/>
    <w:bookmarkEnd w:id="27"/>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Leverage Ratio (defined substantially similar as Consolidated Total Leverage Ratio, but limited to Brilliant Earth, LLC and its subsidiaries) in excess of 3.00 to 1.00 (which level is subject to temporary increases to 4.00 to 1.00 in connection with certain acquisitions). As of September 30, 2022, the Company was in compliance with such covenants.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effective interest rate on the long-term debt was 4.74% and 11.67% for the three months ended September 30, 2022 and 2021, respectively. Interest expense was $0.7 million, and $1.5 million for the three months ended September 30, 2022 and 2021, respectively; and the amortization of deferred issuance costs were $0.1 million for the three months ended September 30, 2022 and $0.4 million for the three months ended September 30, 2021.</w:t>
      </w:r>
    </w:p>
    <w:p>
      <w:pPr>
        <w:spacing w:after="0" w:line="214"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The effective interest rate on the long-term debt was 7.58% and 11.90% for the nine months ended September 30, 2022 and 2021, respectively. Interest expense was $3.2 million, and $4.5 million for the nine months ended September 30, 2022 and 2021, respectively; and the amortization of deferred issuance costs was $0.5 million, and $1.3 million for the nine months ended September 30,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aggregate future principal payments under the SVB Term Loan Facility were as follows (in thousands):</w:t>
      </w:r>
    </w:p>
    <w:p>
      <w:pPr>
        <w:spacing w:after="0" w:line="294" w:lineRule="exact"/>
        <w:rPr>
          <w:sz w:val="20"/>
          <w:szCs w:val="20"/>
          <w:color w:val="auto"/>
        </w:rPr>
      </w:pPr>
    </w:p>
    <w:tbl>
      <w:tblPr>
        <w:tblLayout w:type="fixed"/>
        <w:tblInd w:w="1580" w:type="dxa"/>
        <w:tblCellMar>
          <w:top w:w="0" w:type="dxa"/>
          <w:left w:w="0" w:type="dxa"/>
          <w:bottom w:w="0" w:type="dxa"/>
          <w:right w:w="0" w:type="dxa"/>
        </w:tblCellMar>
      </w:tblPr>
      <w:tr>
        <w:trPr>
          <w:trHeight w:val="223"/>
        </w:trPr>
        <w:tc>
          <w:tcPr>
            <w:tcW w:w="6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594"/>
              <w:spacing w:after="0"/>
              <w:rPr>
                <w:sz w:val="20"/>
                <w:szCs w:val="20"/>
                <w:color w:val="auto"/>
              </w:rPr>
            </w:pPr>
            <w:r>
              <w:rPr>
                <w:rFonts w:ascii="Arial" w:cs="Arial" w:eastAsia="Arial" w:hAnsi="Arial"/>
                <w:sz w:val="17"/>
                <w:szCs w:val="17"/>
                <w:b w:val="1"/>
                <w:bCs w:val="1"/>
                <w:color w:val="auto"/>
              </w:rPr>
              <w:t>Principal</w:t>
            </w:r>
          </w:p>
        </w:tc>
      </w:tr>
      <w:tr>
        <w:trPr>
          <w:trHeight w:val="40"/>
        </w:trPr>
        <w:tc>
          <w:tcPr>
            <w:tcW w:w="60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For the three months ending December 31, 2022</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813</w:t>
            </w:r>
          </w:p>
        </w:tc>
      </w:tr>
      <w:tr>
        <w:trPr>
          <w:trHeight w:val="230"/>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Years ending December 31,</w:t>
            </w: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
        </w:trPr>
        <w:tc>
          <w:tcPr>
            <w:tcW w:w="6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1"/>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30"/>
        </w:trPr>
        <w:tc>
          <w:tcPr>
            <w:tcW w:w="6080" w:type="dxa"/>
            <w:vAlign w:val="bottom"/>
          </w:tcPr>
          <w:p>
            <w:pPr>
              <w:ind w:left="120"/>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4,062</w:t>
            </w:r>
          </w:p>
        </w:tc>
      </w:tr>
      <w:tr>
        <w:trPr>
          <w:trHeight w:val="40"/>
        </w:trPr>
        <w:tc>
          <w:tcPr>
            <w:tcW w:w="6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1"/>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2025</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5,688</w:t>
            </w:r>
          </w:p>
        </w:tc>
      </w:tr>
      <w:tr>
        <w:trPr>
          <w:trHeight w:val="230"/>
        </w:trPr>
        <w:tc>
          <w:tcPr>
            <w:tcW w:w="6080" w:type="dxa"/>
            <w:vAlign w:val="bottom"/>
          </w:tcPr>
          <w:p>
            <w:pPr>
              <w:ind w:left="120"/>
              <w:spacing w:after="0"/>
              <w:rPr>
                <w:sz w:val="20"/>
                <w:szCs w:val="20"/>
                <w:color w:val="auto"/>
              </w:rPr>
            </w:pPr>
            <w:r>
              <w:rPr>
                <w:rFonts w:ascii="Arial" w:cs="Arial" w:eastAsia="Arial" w:hAnsi="Arial"/>
                <w:sz w:val="17"/>
                <w:szCs w:val="17"/>
                <w:color w:val="auto"/>
              </w:rPr>
              <w:t>2026</w:t>
            </w:r>
          </w:p>
        </w:tc>
        <w:tc>
          <w:tcPr>
            <w:tcW w:w="3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6,500</w:t>
            </w:r>
          </w:p>
        </w:tc>
      </w:tr>
      <w:tr>
        <w:trPr>
          <w:trHeight w:val="40"/>
        </w:trPr>
        <w:tc>
          <w:tcPr>
            <w:tcW w:w="6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1"/>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2027</w:t>
            </w:r>
          </w:p>
        </w:tc>
        <w:tc>
          <w:tcPr>
            <w:tcW w:w="3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43,875</w:t>
            </w:r>
          </w:p>
        </w:tc>
      </w:tr>
      <w:tr>
        <w:trPr>
          <w:trHeight w:val="257"/>
        </w:trPr>
        <w:tc>
          <w:tcPr>
            <w:tcW w:w="6080" w:type="dxa"/>
            <w:vAlign w:val="bottom"/>
          </w:tcPr>
          <w:p>
            <w:pPr>
              <w:ind w:left="220"/>
              <w:spacing w:after="0"/>
              <w:rPr>
                <w:sz w:val="20"/>
                <w:szCs w:val="20"/>
                <w:color w:val="auto"/>
              </w:rPr>
            </w:pPr>
            <w:r>
              <w:rPr>
                <w:rFonts w:ascii="Arial" w:cs="Arial" w:eastAsia="Arial" w:hAnsi="Arial"/>
                <w:sz w:val="17"/>
                <w:szCs w:val="17"/>
                <w:b w:val="1"/>
                <w:bCs w:val="1"/>
                <w:color w:val="auto"/>
              </w:rPr>
              <w:t>Total aggregate future principal payments</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64,188</w:t>
            </w:r>
          </w:p>
        </w:tc>
      </w:tr>
      <w:tr>
        <w:trPr>
          <w:trHeight w:val="26"/>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28" w:name="page29"/>
    <w:bookmarkEnd w:id="28"/>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STOCKHOLDERS' AND MEMBERS' EQUITY</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Summary Capitalization</w:t>
      </w:r>
    </w:p>
    <w:p>
      <w:pPr>
        <w:spacing w:after="0" w:line="233" w:lineRule="exact"/>
        <w:rPr>
          <w:sz w:val="20"/>
          <w:szCs w:val="20"/>
          <w:color w:val="auto"/>
        </w:rPr>
      </w:pPr>
    </w:p>
    <w:p>
      <w:pPr>
        <w:ind w:right="460"/>
        <w:spacing w:after="0" w:line="275" w:lineRule="auto"/>
        <w:rPr>
          <w:sz w:val="20"/>
          <w:szCs w:val="20"/>
          <w:color w:val="auto"/>
        </w:rPr>
      </w:pPr>
      <w:r>
        <w:rPr>
          <w:rFonts w:ascii="Arial" w:cs="Arial" w:eastAsia="Arial" w:hAnsi="Arial"/>
          <w:sz w:val="19"/>
          <w:szCs w:val="19"/>
          <w:color w:val="auto"/>
        </w:rPr>
        <w:t>The following summarizes the capitalization and voting rights of the Company’s classes of equity as of September 30, 2022 and December 31, 2021:</w:t>
      </w:r>
    </w:p>
    <w:tbl>
      <w:tblPr>
        <w:tblLayout w:type="fixed"/>
        <w:tblInd w:w="0" w:type="dxa"/>
        <w:tblCellMar>
          <w:top w:w="0" w:type="dxa"/>
          <w:left w:w="0" w:type="dxa"/>
          <w:bottom w:w="0" w:type="dxa"/>
          <w:right w:w="0" w:type="dxa"/>
        </w:tblCellMar>
      </w:tblPr>
      <w:tr>
        <w:trPr>
          <w:trHeight w:val="223"/>
        </w:trPr>
        <w:tc>
          <w:tcPr>
            <w:tcW w:w="1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89"/>
              </w:rPr>
              <w:t>September 30,</w:t>
            </w:r>
          </w:p>
        </w:tc>
        <w:tc>
          <w:tcPr>
            <w:tcW w:w="156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w w:val="90"/>
              </w:rPr>
              <w:t>December 31,</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9"/>
              </w:rPr>
              <w:t>2022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47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gridSpan w:val="2"/>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1880" w:type="dxa"/>
            <w:vAlign w:val="bottom"/>
            <w:gridSpan w:val="2"/>
            <w:vMerge w:val="restart"/>
          </w:tcPr>
          <w:p>
            <w:pPr>
              <w:ind w:left="480"/>
              <w:spacing w:after="0"/>
              <w:rPr>
                <w:sz w:val="20"/>
                <w:szCs w:val="20"/>
                <w:color w:val="auto"/>
              </w:rPr>
            </w:pPr>
            <w:r>
              <w:rPr>
                <w:rFonts w:ascii="Arial" w:cs="Arial" w:eastAsia="Arial" w:hAnsi="Arial"/>
                <w:sz w:val="17"/>
                <w:szCs w:val="17"/>
                <w:b w:val="1"/>
                <w:bCs w:val="1"/>
                <w:color w:val="auto"/>
              </w:rPr>
              <w:t>Authorized</w:t>
            </w:r>
          </w:p>
        </w:tc>
        <w:tc>
          <w:tcPr>
            <w:tcW w:w="2220" w:type="dxa"/>
            <w:vAlign w:val="bottom"/>
            <w:gridSpan w:val="3"/>
          </w:tcPr>
          <w:p>
            <w:pPr>
              <w:jc w:val="center"/>
              <w:ind w:left="1394"/>
              <w:spacing w:after="0"/>
              <w:rPr>
                <w:sz w:val="20"/>
                <w:szCs w:val="20"/>
                <w:color w:val="auto"/>
              </w:rPr>
            </w:pPr>
            <w:r>
              <w:rPr>
                <w:rFonts w:ascii="Arial" w:cs="Arial" w:eastAsia="Arial" w:hAnsi="Arial"/>
                <w:sz w:val="17"/>
                <w:szCs w:val="17"/>
                <w:b w:val="1"/>
                <w:bCs w:val="1"/>
                <w:color w:val="auto"/>
                <w:w w:val="93"/>
              </w:rPr>
              <w:t>Issued &amp;</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Votes per</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1"/>
              </w:rPr>
              <w:t>Economic</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460" w:type="dxa"/>
            <w:vAlign w:val="bottom"/>
            <w:gridSpan w:val="4"/>
          </w:tcPr>
          <w:p>
            <w:pPr>
              <w:jc w:val="center"/>
              <w:ind w:left="1134"/>
              <w:spacing w:after="0"/>
              <w:rPr>
                <w:sz w:val="20"/>
                <w:szCs w:val="20"/>
                <w:color w:val="auto"/>
              </w:rPr>
            </w:pPr>
            <w:r>
              <w:rPr>
                <w:rFonts w:ascii="Arial" w:cs="Arial" w:eastAsia="Arial" w:hAnsi="Arial"/>
                <w:sz w:val="17"/>
                <w:szCs w:val="17"/>
                <w:b w:val="1"/>
                <w:bCs w:val="1"/>
                <w:color w:val="auto"/>
                <w:w w:val="91"/>
              </w:rPr>
              <w:t>Outstanding</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share</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86"/>
              </w:rPr>
              <w:t>Rights</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Preferred stock</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10,000,000</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88"/>
              </w:rPr>
              <w:t>None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7"/>
                <w:szCs w:val="17"/>
                <w:color w:val="auto"/>
                <w:w w:val="93"/>
              </w:rPr>
              <w:t>None</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20"/>
              <w:spacing w:after="0"/>
              <w:rPr>
                <w:sz w:val="20"/>
                <w:szCs w:val="20"/>
                <w:color w:val="auto"/>
              </w:rPr>
            </w:pPr>
            <w:r>
              <w:rPr>
                <w:rFonts w:ascii="Arial" w:cs="Arial" w:eastAsia="Arial" w:hAnsi="Arial"/>
                <w:sz w:val="17"/>
                <w:szCs w:val="17"/>
                <w:color w:val="auto"/>
              </w:rPr>
              <w:t>Class A</w:t>
            </w:r>
          </w:p>
        </w:tc>
        <w:tc>
          <w:tcPr>
            <w:tcW w:w="1800" w:type="dxa"/>
            <w:vAlign w:val="bottom"/>
          </w:tcPr>
          <w:p>
            <w:pPr>
              <w:jc w:val="right"/>
              <w:spacing w:after="0"/>
              <w:rPr>
                <w:sz w:val="20"/>
                <w:szCs w:val="20"/>
                <w:color w:val="auto"/>
              </w:rPr>
            </w:pPr>
            <w:r>
              <w:rPr>
                <w:rFonts w:ascii="Arial" w:cs="Arial" w:eastAsia="Arial" w:hAnsi="Arial"/>
                <w:sz w:val="17"/>
                <w:szCs w:val="17"/>
                <w:color w:val="auto"/>
              </w:rPr>
              <w:t>1,200,000,000</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10,940,372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9,614,523</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Class 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35,395,738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35,658,013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r>
        <w:trPr>
          <w:trHeight w:val="230"/>
        </w:trPr>
        <w:tc>
          <w:tcPr>
            <w:tcW w:w="1920" w:type="dxa"/>
            <w:vAlign w:val="bottom"/>
          </w:tcPr>
          <w:p>
            <w:pPr>
              <w:ind w:left="220"/>
              <w:spacing w:after="0"/>
              <w:rPr>
                <w:sz w:val="20"/>
                <w:szCs w:val="20"/>
                <w:color w:val="auto"/>
              </w:rPr>
            </w:pPr>
            <w:r>
              <w:rPr>
                <w:rFonts w:ascii="Arial" w:cs="Arial" w:eastAsia="Arial" w:hAnsi="Arial"/>
                <w:sz w:val="17"/>
                <w:szCs w:val="17"/>
                <w:color w:val="auto"/>
              </w:rPr>
              <w:t>Class C</w:t>
            </w:r>
          </w:p>
        </w:tc>
        <w:tc>
          <w:tcPr>
            <w:tcW w:w="1800" w:type="dxa"/>
            <w:vAlign w:val="bottom"/>
          </w:tcPr>
          <w:p>
            <w:pPr>
              <w:jc w:val="right"/>
              <w:spacing w:after="0"/>
              <w:rPr>
                <w:sz w:val="20"/>
                <w:szCs w:val="20"/>
                <w:color w:val="auto"/>
              </w:rPr>
            </w:pPr>
            <w:r>
              <w:rPr>
                <w:rFonts w:ascii="Arial" w:cs="Arial" w:eastAsia="Arial" w:hAnsi="Arial"/>
                <w:sz w:val="17"/>
                <w:szCs w:val="17"/>
                <w:color w:val="auto"/>
              </w:rPr>
              <w:t>150,000,000</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49,119,976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49,505,250</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Class 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7"/>
                <w:szCs w:val="17"/>
                <w:color w:val="auto"/>
              </w:rPr>
              <w:t>None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None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r>
        <w:trPr>
          <w:trHeight w:val="258"/>
        </w:trPr>
        <w:tc>
          <w:tcPr>
            <w:tcW w:w="37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Common stock reserved for issuances:</w:t>
            </w: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20"/>
              <w:spacing w:after="0"/>
              <w:rPr>
                <w:sz w:val="20"/>
                <w:szCs w:val="20"/>
                <w:color w:val="auto"/>
              </w:rPr>
            </w:pPr>
            <w:r>
              <w:rPr>
                <w:rFonts w:ascii="Arial" w:cs="Arial" w:eastAsia="Arial" w:hAnsi="Arial"/>
                <w:sz w:val="17"/>
                <w:szCs w:val="17"/>
                <w:color w:val="auto"/>
              </w:rPr>
              <w:t>Conversion of LLC</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vMerge w:val="restart"/>
          </w:tcPr>
          <w:p>
            <w:pPr>
              <w:jc w:val="right"/>
              <w:spacing w:after="0"/>
              <w:rPr>
                <w:sz w:val="20"/>
                <w:szCs w:val="20"/>
                <w:color w:val="auto"/>
              </w:rPr>
            </w:pPr>
            <w:r>
              <w:rPr>
                <w:rFonts w:ascii="Arial" w:cs="Arial" w:eastAsia="Arial" w:hAnsi="Arial"/>
                <w:sz w:val="17"/>
                <w:szCs w:val="17"/>
                <w:color w:val="auto"/>
              </w:rPr>
              <w:t>84,515,714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85,163,263</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20" w:type="dxa"/>
            <w:vAlign w:val="bottom"/>
          </w:tcPr>
          <w:p>
            <w:pPr>
              <w:ind w:left="220"/>
              <w:spacing w:after="0"/>
              <w:rPr>
                <w:sz w:val="20"/>
                <w:szCs w:val="20"/>
                <w:color w:val="auto"/>
              </w:rPr>
            </w:pPr>
            <w:r>
              <w:rPr>
                <w:rFonts w:ascii="Arial" w:cs="Arial" w:eastAsia="Arial" w:hAnsi="Arial"/>
                <w:sz w:val="17"/>
                <w:szCs w:val="17"/>
                <w:color w:val="auto"/>
              </w:rPr>
              <w:t>Units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Unvested LLC Units</w:t>
            </w: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1,007,274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1,901,977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20"/>
              <w:spacing w:after="0"/>
              <w:rPr>
                <w:sz w:val="20"/>
                <w:szCs w:val="20"/>
                <w:color w:val="auto"/>
              </w:rPr>
            </w:pPr>
            <w:r>
              <w:rPr>
                <w:rFonts w:ascii="Arial" w:cs="Arial" w:eastAsia="Arial" w:hAnsi="Arial"/>
                <w:sz w:val="17"/>
                <w:szCs w:val="17"/>
                <w:color w:val="auto"/>
              </w:rPr>
              <w:t>Unvested RSUs</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3,411,794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1,377,728</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Stock options</w:t>
            </w: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513,375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1,449,181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LLC Units</w:t>
            </w:r>
          </w:p>
        </w:tc>
        <w:tc>
          <w:tcPr>
            <w:tcW w:w="1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84,515,714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85,163,263</w:t>
            </w:r>
          </w:p>
        </w:tc>
        <w:tc>
          <w:tcPr>
            <w:tcW w:w="1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No</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The Board of Directors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September 30, 2022, no series of preferred stock have been issued.</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stock or Class C common stock, as applicable, as discussed below under </w:t>
      </w:r>
      <w:r>
        <w:rPr>
          <w:rFonts w:ascii="Arial" w:cs="Arial" w:eastAsia="Arial" w:hAnsi="Arial"/>
          <w:sz w:val="18"/>
          <w:szCs w:val="18"/>
          <w:i w:val="1"/>
          <w:iCs w:val="1"/>
          <w:color w:val="auto"/>
        </w:rPr>
        <w:t>Brilliant Earth, LLC</w:t>
      </w:r>
      <w:r>
        <w:rPr>
          <w:rFonts w:ascii="Arial" w:cs="Arial" w:eastAsia="Arial" w:hAnsi="Arial"/>
          <w:sz w:val="18"/>
          <w:szCs w:val="18"/>
          <w:color w:val="auto"/>
        </w:rPr>
        <w:t>. When a common unit is redeemed for cash or Class A or D common stock by a Continuing Equity Owner who holds shares of Class B common stock or Class C common stock, such Continuing Equity Owner will be required to surrender a share of Class B common stock or Class C common stock, as applicable, which will be cancelled for no consideration.</w:t>
      </w:r>
    </w:p>
    <w:p>
      <w:pPr>
        <w:spacing w:after="0" w:line="201" w:lineRule="exact"/>
        <w:rPr>
          <w:sz w:val="20"/>
          <w:szCs w:val="20"/>
          <w:color w:val="auto"/>
        </w:rPr>
      </w:pPr>
    </w:p>
    <w:p>
      <w:pPr>
        <w:ind w:right="300"/>
        <w:spacing w:after="0" w:line="259" w:lineRule="auto"/>
        <w:rPr>
          <w:sz w:val="20"/>
          <w:szCs w:val="20"/>
          <w:color w:val="auto"/>
        </w:rPr>
      </w:pPr>
      <w:r>
        <w:rPr>
          <w:rFonts w:ascii="Arial" w:cs="Arial" w:eastAsia="Arial" w:hAnsi="Arial"/>
          <w:sz w:val="19"/>
          <w:szCs w:val="19"/>
          <w:color w:val="auto"/>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9" w:name="page30"/>
    <w:bookmarkEnd w:id="29"/>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 common stock owned by the Continuing Equity Owners and the number of LLC Interests owned by them.</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different classes of common stock as of September 30, 2022, were held as follows:</w:t>
      </w:r>
    </w:p>
    <w:p>
      <w:pPr>
        <w:spacing w:after="0" w:line="233"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7"/>
          <w:szCs w:val="17"/>
          <w:color w:val="auto"/>
        </w:rPr>
        <w:t>10,940,372 shares of Class A common stock were issued in the IPO, through subsequent conversion of LLC Units and vesting of RSUs;</w:t>
      </w:r>
    </w:p>
    <w:p>
      <w:pPr>
        <w:spacing w:after="0" w:line="268"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35,395,738 shares of Class B common stock are held by the Continuing Equity Owners excluding the Founders; and</w:t>
      </w:r>
    </w:p>
    <w:p>
      <w:pPr>
        <w:spacing w:after="0" w:line="232" w:lineRule="exact"/>
        <w:rPr>
          <w:rFonts w:ascii="Arial" w:cs="Arial" w:eastAsia="Arial" w:hAnsi="Arial"/>
          <w:sz w:val="19"/>
          <w:szCs w:val="19"/>
          <w:color w:val="auto"/>
        </w:rPr>
      </w:pPr>
    </w:p>
    <w:p>
      <w:pPr>
        <w:ind w:left="620" w:hanging="307"/>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49,119,976 shares of Class C common stock are held by the Founders.</w:t>
      </w:r>
    </w:p>
    <w:p>
      <w:pPr>
        <w:spacing w:after="0" w:line="246"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Brilliant Earth, LLC</w:t>
      </w:r>
    </w:p>
    <w:p>
      <w:pPr>
        <w:spacing w:after="0" w:line="233"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color w:val="auto"/>
        </w:rPr>
        <w:t>As of September 30, 2022, Brilliant Earth Group, Inc. holds a 11.5% economic interest in Brilliant Earth, LLC through its ownership of 10,940,372 LLC Units, but consolidates Brilliant Earth, LLC as sole managing member. The remaining 84,515,714 LLC Units representing an 88.5% interest are held by the Continuing Equity Owners and presented in the condensed consolidated financial statements as a non-controlling interest.</w:t>
      </w:r>
    </w:p>
    <w:p>
      <w:pPr>
        <w:spacing w:after="0" w:line="15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Brilliant Earth LLC Agreement. The redemption feature is not bifurcated from the underlying LLC Unit.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Issuance of Additional LLC Units</w:t>
      </w:r>
    </w:p>
    <w:p>
      <w:pPr>
        <w:spacing w:after="0" w:line="24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w:t>
      </w:r>
    </w:p>
    <w:p>
      <w:pPr>
        <w:spacing w:after="0" w:line="18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For the three and nine months ended September 30, 2022, the Company caused Brilliant Earth, LLC to issue to the Company a vested total of 19,270 and 76,227 LLC Units for RSUs, respectively. The Company also caused Brilliant Earth Group, Inc. to issue 123,853 and 602,073 shares of Class B common stock to the Continuing Equity Owners associated with LLC units which vested during the three and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0" w:name="page31"/>
    <w:bookmarkEnd w:id="30"/>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months ended September 30, 2022, respectively. During the three and nine months ended September 30, 2022, there were 85,708 and 864,348 shares of Class B common stock, respectively, and nil and 385,274 shares of Class C common stock, respectively, converted to Class A common stock related to the Continuing Equity Owners. There were no stock options exercised during the three and nine months ended September 30, 2022.</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 to Members Related to Their Income Tax Liabilities</w:t>
      </w:r>
    </w:p>
    <w:p>
      <w:pPr>
        <w:spacing w:after="0" w:line="24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projected year-to-date taxable income, with a final accounting once actual taxable income or loss has been determined. Such distributions totaled approximately $3.3 million and $2.8 million for the three months ended September 30, 2022 and September 30, 2021, respectively, and $18.3 million and $21.4 million for the nine months ended September 30, 2022 and September 30, 2021,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EQUITY-BASED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24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At the time of the IPO on September 23, 2021, 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as defined,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Under the 2021 Incentive Award Plan, 10,923,912 shares of common stock were reserved for issuance pursuant to a variety of equity-based compensation awards, including stock options, stock appreciation rights, or SARs, restricted stock awards, restricted stock unit awards, and other equity-based awards. In addition, 1,638,586 shares of Class A common stock were reserved for issuance under our Employee Stock Purchase Plan. The number of shares initially reserved for issuance or transfer pursuant to awards under the 2021 Incentive Award Plan will be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of directors; provided, however, that no more than 81,929,342 shares of stock may be issued upon the exercise of incentive stock options. As of September 30, 2022, 6,969,403 shares of common stock are available for future grant under the 2021 Incentive Award Plan. All of the shares of Class A common stock reserved for issuance remain available. Vesting is subject to certain change in control provisions as provided in the award agreements. Under the 2021 Employee Stock Purchase Plan, 1,638,586 shares of common stock were reserved for sale pursuant to said plan. The number of shares initially reserved for issuance under the 2021 Employee Stock Purchase Plan will be increased by an annual increase on the first day of each fiscal year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1" w:name="page32"/>
    <w:bookmarkEnd w:id="3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0"/>
        <w:spacing w:after="0" w:line="280" w:lineRule="auto"/>
        <w:rPr>
          <w:sz w:val="20"/>
          <w:szCs w:val="20"/>
          <w:color w:val="auto"/>
        </w:rPr>
      </w:pPr>
      <w:r>
        <w:rPr>
          <w:rFonts w:ascii="Arial" w:cs="Arial" w:eastAsia="Arial" w:hAnsi="Arial"/>
          <w:sz w:val="18"/>
          <w:szCs w:val="18"/>
          <w:color w:val="auto"/>
        </w:rPr>
        <w:t>in 2022 and ending in 2031, equal to the lesser of (A) 1% of the shares of common stock outstanding (on an as converted basis) on the last day of the immediately preceding fiscal year and (B) such smaller number of shares of stock as determined by the board of directors; provided, however, that no more than 15,839,672 shares of stock may be issued under the 2021 Employee Stock Purchase Plan.</w:t>
      </w:r>
    </w:p>
    <w:p>
      <w:pPr>
        <w:spacing w:after="0" w:line="19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Prior to the IPO, Class M Units were granted to certain employees at the Company’s discretion in consideration of services provided by employees. The agreements generally provide for 25% vesting on the first anniversary from the date of grant (or a shorter period at the Company's board of directors' discretion), with the remainder vesting monthly over the subsequent three years. Compensation cost related to these Class M Units was measured as of the grant date based on the fair value of the award and is being expensed ratably over the service period. Class M Units were issued and outstanding as of the date of grant. As discussed in Note 1, </w:t>
      </w:r>
      <w:r>
        <w:rPr>
          <w:rFonts w:ascii="Arial" w:cs="Arial" w:eastAsia="Arial" w:hAnsi="Arial"/>
          <w:sz w:val="18"/>
          <w:szCs w:val="18"/>
          <w:i w:val="1"/>
          <w:iCs w:val="1"/>
          <w:color w:val="auto"/>
        </w:rPr>
        <w:t>Business and organization</w:t>
      </w:r>
      <w:r>
        <w:rPr>
          <w:rFonts w:ascii="Arial" w:cs="Arial" w:eastAsia="Arial" w:hAnsi="Arial"/>
          <w:sz w:val="18"/>
          <w:szCs w:val="18"/>
          <w:color w:val="auto"/>
        </w:rPr>
        <w:t xml:space="preserve">, under </w:t>
      </w:r>
      <w:r>
        <w:rPr>
          <w:rFonts w:ascii="Arial" w:cs="Arial" w:eastAsia="Arial" w:hAnsi="Arial"/>
          <w:sz w:val="18"/>
          <w:szCs w:val="18"/>
          <w:i w:val="1"/>
          <w:iCs w:val="1"/>
          <w:color w:val="auto"/>
        </w:rPr>
        <w:t>Conversion of Class F, P and M units at time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IPO, </w:t>
      </w:r>
      <w:r>
        <w:rPr>
          <w:rFonts w:ascii="Arial" w:cs="Arial" w:eastAsia="Arial" w:hAnsi="Arial"/>
          <w:sz w:val="18"/>
          <w:szCs w:val="18"/>
          <w:color w:val="auto"/>
        </w:rPr>
        <w:t>at the time of the IPO, the LLC Agreement was amended and restated to recapitalize all 2,006,212 unvested Class M Units into 2,046,008</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LLC Units after applying a conversion ratio of 1.8588 with a further adjustment for a distribution threshold (which impacted their allocation of value) so the economic effect of the exchange was a like-for-like value. The unamortized compensation and remaining vesting period for these awards prior to the IPO has been carried forward after the IPO without adjustment. The number of unvested Class M Units presented in these financial statements for periods prior to the IPO have been retroactively adjusted to reflect the conversion ratio similar to the presentation of a stock-split.</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Grants of Restricted Stock Units</w:t>
      </w:r>
    </w:p>
    <w:p>
      <w:pPr>
        <w:spacing w:after="0" w:line="246"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color w:val="auto"/>
        </w:rPr>
        <w:t>RSUs have a time-based vesting requirement (based on continuous employment). Upon vesting, the RSUs convert into Class A common stock; unvested RSUs are not considered outstanding shares of Class A common stock. The agreements generally provide for 25% vesting at the first anniversary of the date of the grant (or a shorter period at the Company's board of director's discretion), with the remainder vesting quarterly over the following three years.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activity related to the Company’s RSUs for the nine months ended September 30, 2022:</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80" w:type="dxa"/>
            <w:vAlign w:val="bottom"/>
          </w:tcPr>
          <w:p>
            <w:pPr>
              <w:spacing w:after="0"/>
              <w:rPr>
                <w:sz w:val="19"/>
                <w:szCs w:val="19"/>
                <w:color w:val="auto"/>
              </w:rPr>
            </w:pPr>
          </w:p>
        </w:tc>
        <w:tc>
          <w:tcPr>
            <w:tcW w:w="278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w w:val="96"/>
              </w:rPr>
              <w:t>Number of Restricted Stock Units</w:t>
            </w:r>
          </w:p>
        </w:tc>
        <w:tc>
          <w:tcPr>
            <w:tcW w:w="80" w:type="dxa"/>
            <w:vAlign w:val="bottom"/>
          </w:tcPr>
          <w:p>
            <w:pPr>
              <w:spacing w:after="0"/>
              <w:rPr>
                <w:sz w:val="19"/>
                <w:szCs w:val="19"/>
                <w:color w:val="auto"/>
              </w:rPr>
            </w:pPr>
          </w:p>
        </w:tc>
        <w:tc>
          <w:tcPr>
            <w:tcW w:w="278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w w:val="96"/>
              </w:rPr>
              <w:t>Weighted Average Grant Date Fair</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2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40" w:type="dxa"/>
            <w:vAlign w:val="bottom"/>
          </w:tcPr>
          <w:p>
            <w:pPr>
              <w:jc w:val="right"/>
              <w:ind w:right="109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2021, unvested</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1,377,728</w:t>
            </w:r>
          </w:p>
        </w:tc>
        <w:tc>
          <w:tcPr>
            <w:tcW w:w="720" w:type="dxa"/>
            <w:vAlign w:val="bottom"/>
            <w:tcBorders>
              <w:bottom w:val="single" w:sz="8" w:color="CCEEFF"/>
            </w:tcBorders>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7"/>
                <w:szCs w:val="17"/>
                <w:color w:val="auto"/>
              </w:rPr>
              <w:t>Granted</w:t>
            </w:r>
          </w:p>
        </w:tc>
        <w:tc>
          <w:tcPr>
            <w:tcW w:w="2780" w:type="dxa"/>
            <w:vAlign w:val="bottom"/>
          </w:tcPr>
          <w:p>
            <w:pPr>
              <w:jc w:val="right"/>
              <w:spacing w:after="0"/>
              <w:rPr>
                <w:sz w:val="20"/>
                <w:szCs w:val="20"/>
                <w:color w:val="auto"/>
              </w:rPr>
            </w:pPr>
            <w:r>
              <w:rPr>
                <w:rFonts w:ascii="Arial" w:cs="Arial" w:eastAsia="Arial" w:hAnsi="Arial"/>
                <w:sz w:val="17"/>
                <w:szCs w:val="17"/>
                <w:color w:val="auto"/>
              </w:rPr>
              <w:t>2,623,482</w:t>
            </w:r>
          </w:p>
        </w:tc>
        <w:tc>
          <w:tcPr>
            <w:tcW w:w="720" w:type="dxa"/>
            <w:vAlign w:val="bottom"/>
            <w:gridSpan w:val="2"/>
          </w:tcPr>
          <w:p>
            <w:pPr>
              <w:jc w:val="right"/>
              <w:ind w:right="434"/>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(76,227)</w:t>
            </w:r>
          </w:p>
        </w:tc>
        <w:tc>
          <w:tcPr>
            <w:tcW w:w="720" w:type="dxa"/>
            <w:vAlign w:val="bottom"/>
            <w:tcBorders>
              <w:bottom w:val="single" w:sz="8" w:color="CCEEFF"/>
            </w:tcBorders>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80" w:type="dxa"/>
            <w:vAlign w:val="bottom"/>
          </w:tcPr>
          <w:p>
            <w:pPr>
              <w:jc w:val="right"/>
              <w:spacing w:after="0"/>
              <w:rPr>
                <w:sz w:val="20"/>
                <w:szCs w:val="20"/>
                <w:color w:val="auto"/>
              </w:rPr>
            </w:pPr>
            <w:r>
              <w:rPr>
                <w:rFonts w:ascii="Arial" w:cs="Arial" w:eastAsia="Arial" w:hAnsi="Arial"/>
                <w:sz w:val="17"/>
                <w:szCs w:val="17"/>
                <w:color w:val="auto"/>
              </w:rPr>
              <w:t>(513,189)</w:t>
            </w:r>
          </w:p>
        </w:tc>
        <w:tc>
          <w:tcPr>
            <w:tcW w:w="720" w:type="dxa"/>
            <w:vAlign w:val="bottom"/>
            <w:gridSpan w:val="2"/>
          </w:tcPr>
          <w:p>
            <w:pPr>
              <w:jc w:val="right"/>
              <w:ind w:right="434"/>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40"/>
        </w:trPr>
        <w:tc>
          <w:tcPr>
            <w:tcW w:w="5580" w:type="dxa"/>
            <w:vAlign w:val="bottom"/>
            <w:tcBorders>
              <w:bottom w:val="single" w:sz="8" w:color="CCEEFF"/>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2022, unvested</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3,411,794</w:t>
            </w:r>
          </w:p>
        </w:tc>
        <w:tc>
          <w:tcPr>
            <w:tcW w:w="720" w:type="dxa"/>
            <w:vAlign w:val="bottom"/>
            <w:tcBorders>
              <w:bottom w:val="single" w:sz="8" w:color="CCEEFF"/>
            </w:tcBorders>
            <w:gridSpan w:val="2"/>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right="160"/>
        <w:spacing w:after="0" w:line="267" w:lineRule="auto"/>
        <w:rPr>
          <w:sz w:val="20"/>
          <w:szCs w:val="20"/>
          <w:color w:val="auto"/>
        </w:rPr>
      </w:pPr>
      <w:r>
        <w:rPr>
          <w:rFonts w:ascii="Arial" w:cs="Arial" w:eastAsia="Arial" w:hAnsi="Arial"/>
          <w:sz w:val="19"/>
          <w:szCs w:val="19"/>
          <w:color w:val="auto"/>
        </w:rPr>
        <w:t>The fair value of the RSUs was based on the fair value of a Class A share of common stock at the time of grant. Total compensation expense for RSUs was approximately $2.0 million and $5.2 million, respectively, for the three and nine months ended September 30, 2022, and is included in selling, general and administrative expenses in the unaudited condensed consolidated statements of operations. No tax benefit was associated with the equity-based compensation expense for RSUs.</w:t>
      </w:r>
    </w:p>
    <w:p>
      <w:pPr>
        <w:spacing w:after="0" w:line="201" w:lineRule="exact"/>
        <w:rPr>
          <w:sz w:val="20"/>
          <w:szCs w:val="20"/>
          <w:color w:val="auto"/>
        </w:rPr>
      </w:pPr>
    </w:p>
    <w:p>
      <w:pPr>
        <w:ind w:right="440"/>
        <w:spacing w:after="0" w:line="264" w:lineRule="auto"/>
        <w:rPr>
          <w:sz w:val="20"/>
          <w:szCs w:val="20"/>
          <w:color w:val="auto"/>
        </w:rPr>
      </w:pPr>
      <w:r>
        <w:rPr>
          <w:rFonts w:ascii="Arial" w:cs="Arial" w:eastAsia="Arial" w:hAnsi="Arial"/>
          <w:sz w:val="19"/>
          <w:szCs w:val="19"/>
          <w:color w:val="auto"/>
        </w:rPr>
        <w:t>The unamortized compensation cost related to RSUs of $27.5 million as of September 30, 2022, is expected to be recognized over a weighted-average period of approximately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2" w:name="page33"/>
    <w:bookmarkEnd w:id="3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Grants of Stock Options</w:t>
      </w:r>
    </w:p>
    <w:p>
      <w:pPr>
        <w:spacing w:after="0" w:line="246"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On September 22, 2021, options to purchase 1,618,064 shares of Class A common stock with a strike price of $12.00 (per share underlying the option) were granted to certain executives, employees and members of the Board with the number of shares underlying the options determined based on the number of Class M Units reduced in the conversion of LLC Units. No additional options were granted subsequent to September 22, 2021. The awards have a time-based vesting requirement (based on continuous employment). Upon vesting, the stock options are exercisable into Class A common stock. Vesting is generally over four years from the date of grant of the related Class M Units and options may be exercised up to 10 years from the date of issuance.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the outstanding and exercisable stock options for the nine months ended September 30,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380" w:type="dxa"/>
            <w:vAlign w:val="bottom"/>
          </w:tcPr>
          <w:p>
            <w:pPr>
              <w:spacing w:after="0"/>
              <w:rPr>
                <w:sz w:val="19"/>
                <w:szCs w:val="19"/>
                <w:color w:val="auto"/>
              </w:rPr>
            </w:pPr>
          </w:p>
        </w:tc>
        <w:tc>
          <w:tcPr>
            <w:tcW w:w="2380" w:type="dxa"/>
            <w:vAlign w:val="bottom"/>
            <w:vMerge w:val="restart"/>
          </w:tcPr>
          <w:p>
            <w:pPr>
              <w:jc w:val="right"/>
              <w:ind w:right="414"/>
              <w:spacing w:after="0"/>
              <w:rPr>
                <w:sz w:val="20"/>
                <w:szCs w:val="20"/>
                <w:color w:val="auto"/>
              </w:rPr>
            </w:pPr>
            <w:r>
              <w:rPr>
                <w:rFonts w:ascii="Arial" w:cs="Arial" w:eastAsia="Arial" w:hAnsi="Arial"/>
                <w:sz w:val="17"/>
                <w:szCs w:val="17"/>
                <w:b w:val="1"/>
                <w:bCs w:val="1"/>
                <w:color w:val="auto"/>
              </w:rPr>
              <w:t>Number of options</w:t>
            </w:r>
          </w:p>
        </w:tc>
        <w:tc>
          <w:tcPr>
            <w:tcW w:w="248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Weighted Average Grant Date</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jc w:val="right"/>
              <w:ind w:right="714"/>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1,612,133</w:t>
            </w:r>
          </w:p>
        </w:tc>
        <w:tc>
          <w:tcPr>
            <w:tcW w:w="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380" w:type="dxa"/>
            <w:vAlign w:val="bottom"/>
          </w:tcPr>
          <w:p>
            <w:pPr>
              <w:jc w:val="right"/>
              <w:spacing w:after="0"/>
              <w:rPr>
                <w:sz w:val="20"/>
                <w:szCs w:val="20"/>
                <w:color w:val="auto"/>
              </w:rPr>
            </w:pPr>
            <w:r>
              <w:rPr>
                <w:rFonts w:ascii="Arial" w:cs="Arial" w:eastAsia="Arial" w:hAnsi="Arial"/>
                <w:sz w:val="17"/>
                <w:szCs w:val="17"/>
                <w:color w:val="auto"/>
              </w:rPr>
              <w:t>(667,717)</w:t>
            </w:r>
          </w:p>
        </w:tc>
        <w:tc>
          <w:tcPr>
            <w:tcW w:w="5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40"/>
        </w:trPr>
        <w:tc>
          <w:tcPr>
            <w:tcW w:w="6380" w:type="dxa"/>
            <w:vAlign w:val="bottom"/>
            <w:tcBorders>
              <w:bottom w:val="single" w:sz="8" w:color="CCEEFF"/>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September 30, 2022</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944,416</w:t>
            </w:r>
          </w:p>
        </w:tc>
        <w:tc>
          <w:tcPr>
            <w:tcW w:w="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and exercisable as of September 30, 2022</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431,041</w:t>
            </w:r>
          </w:p>
        </w:tc>
        <w:tc>
          <w:tcPr>
            <w:tcW w:w="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Unvested as of September 30, 2022</w:t>
            </w:r>
          </w:p>
        </w:tc>
        <w:tc>
          <w:tcPr>
            <w:tcW w:w="2380" w:type="dxa"/>
            <w:vAlign w:val="bottom"/>
          </w:tcPr>
          <w:p>
            <w:pPr>
              <w:jc w:val="right"/>
              <w:spacing w:after="0"/>
              <w:rPr>
                <w:sz w:val="20"/>
                <w:szCs w:val="20"/>
                <w:color w:val="auto"/>
              </w:rPr>
            </w:pPr>
            <w:r>
              <w:rPr>
                <w:rFonts w:ascii="Arial" w:cs="Arial" w:eastAsia="Arial" w:hAnsi="Arial"/>
                <w:sz w:val="17"/>
                <w:szCs w:val="17"/>
                <w:color w:val="auto"/>
              </w:rPr>
              <w:t>513,375</w:t>
            </w:r>
          </w:p>
        </w:tc>
        <w:tc>
          <w:tcPr>
            <w:tcW w:w="5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40"/>
        </w:trPr>
        <w:tc>
          <w:tcPr>
            <w:tcW w:w="6380" w:type="dxa"/>
            <w:vAlign w:val="bottom"/>
            <w:tcBorders>
              <w:bottom w:val="single" w:sz="8" w:color="CCEEFF"/>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and expected to vest as of September 30, 2022</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944,416</w:t>
            </w:r>
          </w:p>
        </w:tc>
        <w:tc>
          <w:tcPr>
            <w:tcW w:w="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460"/>
        <w:spacing w:after="0" w:line="340" w:lineRule="auto"/>
        <w:rPr>
          <w:sz w:val="20"/>
          <w:szCs w:val="20"/>
          <w:color w:val="auto"/>
        </w:rPr>
      </w:pPr>
      <w:r>
        <w:rPr>
          <w:rFonts w:ascii="Arial" w:cs="Arial" w:eastAsia="Arial" w:hAnsi="Arial"/>
          <w:sz w:val="17"/>
          <w:szCs w:val="17"/>
          <w:color w:val="auto"/>
        </w:rPr>
        <w:t>As of September 30, 2022, the vested stock options did not have an aggregated intrinsic value as the exercise price exceeded the estimated fair market value of the stock options. The stock option awards have weighted average remaining contractual terms of 9.0 years.</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As discussed above, no additional stock options were granted subsequent to September 22, 2021, the discussion on such valuation model was fully described in Note 10 - "Equity-Based Compensation", to the consolidated financial statements included in "Item 8 - Financial Statements and Supplementary Data" in the 2021 Form 10-K.</w:t>
      </w: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Total compensation expense for stock options was approximately $0.2 million and $1.2 million, respectively, for the three and nine months ended September 30, 2022, and is included in selling, general and administrative expenses in the unaudited condensed consolidated statements of operations.</w:t>
      </w:r>
    </w:p>
    <w:p>
      <w:pPr>
        <w:spacing w:after="0" w:line="195"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auto"/>
        </w:rPr>
        <w:t>As of September 30, 2022, total compensation cost related to unvested option awards not yet recognized was $2.2 million and the weighted-average period over which the compensation is expected to be recognized is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3" w:name="page34"/>
    <w:bookmarkEnd w:id="33"/>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Outstanding Restricted LLC Units (formerly M Units)</w:t>
      </w:r>
    </w:p>
    <w:p>
      <w:pPr>
        <w:spacing w:after="0" w:line="233"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 xml:space="preserve">As discussed above, restricted LLC Units were granted to certain executives, employees and members of the Board prior to the IPO and have been retroactively adjusted as described in Note 1, </w:t>
      </w:r>
      <w:r>
        <w:rPr>
          <w:rFonts w:ascii="Arial" w:cs="Arial" w:eastAsia="Arial" w:hAnsi="Arial"/>
          <w:sz w:val="19"/>
          <w:szCs w:val="19"/>
          <w:i w:val="1"/>
          <w:iCs w:val="1"/>
          <w:color w:val="auto"/>
        </w:rPr>
        <w:t>Business and Organization, Conversion of Class F, P and M Units at Time of IPO</w:t>
      </w:r>
      <w:r>
        <w:rPr>
          <w:rFonts w:ascii="Arial" w:cs="Arial" w:eastAsia="Arial" w:hAnsi="Arial"/>
          <w:sz w:val="19"/>
          <w:szCs w:val="19"/>
          <w:color w:val="auto"/>
        </w:rPr>
        <w:t>. The awards have a time-based vesting requirement (based on continuous employment). Upon grant, the awards are issued and outstanding common LLC Units but subject to forfeiture in the event of a termination of service; unvested awards are outstanding LLC units. Vesting is generally over four years from the date of grant.</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activity related to the unvested LLC Units for the nine months ended September 30, 2022:</w:t>
      </w:r>
    </w:p>
    <w:p>
      <w:pPr>
        <w:spacing w:after="0" w:line="51" w:lineRule="exact"/>
        <w:rPr>
          <w:sz w:val="20"/>
          <w:szCs w:val="20"/>
          <w:color w:val="auto"/>
        </w:rPr>
      </w:pPr>
    </w:p>
    <w:tbl>
      <w:tblPr>
        <w:tblLayout w:type="fixed"/>
        <w:tblInd w:w="360" w:type="dxa"/>
        <w:tblCellMar>
          <w:top w:w="0" w:type="dxa"/>
          <w:left w:w="0" w:type="dxa"/>
          <w:bottom w:w="0" w:type="dxa"/>
          <w:right w:w="0" w:type="dxa"/>
        </w:tblCellMar>
      </w:tblPr>
      <w:tr>
        <w:trPr>
          <w:trHeight w:val="219"/>
        </w:trPr>
        <w:tc>
          <w:tcPr>
            <w:tcW w:w="5760" w:type="dxa"/>
            <w:vAlign w:val="bottom"/>
          </w:tcPr>
          <w:p>
            <w:pPr>
              <w:spacing w:after="0"/>
              <w:rPr>
                <w:sz w:val="19"/>
                <w:szCs w:val="19"/>
                <w:color w:val="auto"/>
              </w:rPr>
            </w:pPr>
          </w:p>
        </w:tc>
        <w:tc>
          <w:tcPr>
            <w:tcW w:w="240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Number of LLC Units</w:t>
            </w:r>
          </w:p>
        </w:tc>
        <w:tc>
          <w:tcPr>
            <w:tcW w:w="320" w:type="dxa"/>
            <w:vAlign w:val="bottom"/>
          </w:tcPr>
          <w:p>
            <w:pPr>
              <w:spacing w:after="0"/>
              <w:rPr>
                <w:sz w:val="19"/>
                <w:szCs w:val="19"/>
                <w:color w:val="auto"/>
              </w:rPr>
            </w:pPr>
          </w:p>
        </w:tc>
        <w:tc>
          <w:tcPr>
            <w:tcW w:w="2040" w:type="dxa"/>
            <w:vAlign w:val="bottom"/>
          </w:tcPr>
          <w:p>
            <w:pPr>
              <w:jc w:val="right"/>
              <w:ind w:right="394"/>
              <w:spacing w:after="0"/>
              <w:rPr>
                <w:sz w:val="20"/>
                <w:szCs w:val="20"/>
                <w:color w:val="auto"/>
              </w:rPr>
            </w:pPr>
            <w:r>
              <w:rPr>
                <w:rFonts w:ascii="Arial" w:cs="Arial" w:eastAsia="Arial" w:hAnsi="Arial"/>
                <w:sz w:val="17"/>
                <w:szCs w:val="17"/>
                <w:b w:val="1"/>
                <w:bCs w:val="1"/>
                <w:color w:val="auto"/>
              </w:rPr>
              <w:t>Weighted average</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ind w:right="294"/>
              <w:spacing w:after="0"/>
              <w:rPr>
                <w:sz w:val="20"/>
                <w:szCs w:val="20"/>
                <w:color w:val="auto"/>
              </w:rPr>
            </w:pPr>
            <w:r>
              <w:rPr>
                <w:rFonts w:ascii="Arial" w:cs="Arial" w:eastAsia="Arial" w:hAnsi="Arial"/>
                <w:sz w:val="17"/>
                <w:szCs w:val="17"/>
                <w:b w:val="1"/>
                <w:bCs w:val="1"/>
                <w:color w:val="auto"/>
              </w:rPr>
              <w:t>grant date fair value</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2021, unvested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1,901,977</w:t>
            </w: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400" w:type="dxa"/>
            <w:vAlign w:val="bottom"/>
          </w:tcPr>
          <w:p>
            <w:pPr>
              <w:jc w:val="right"/>
              <w:spacing w:after="0"/>
              <w:rPr>
                <w:sz w:val="20"/>
                <w:szCs w:val="20"/>
                <w:color w:val="auto"/>
              </w:rPr>
            </w:pPr>
            <w:r>
              <w:rPr>
                <w:rFonts w:ascii="Arial" w:cs="Arial" w:eastAsia="Arial" w:hAnsi="Arial"/>
                <w:sz w:val="17"/>
                <w:szCs w:val="17"/>
                <w:color w:val="auto"/>
              </w:rPr>
              <w:t>(500,443)</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(394,260)</w:t>
            </w: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7"/>
                <w:szCs w:val="17"/>
                <w:color w:val="auto"/>
              </w:rPr>
              <w:t>Balance, September 30, 2022, unvested</w:t>
            </w: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1,007,274</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0.67</w:t>
            </w:r>
          </w:p>
        </w:tc>
        <w:tc>
          <w:tcPr>
            <w:tcW w:w="0" w:type="dxa"/>
            <w:vAlign w:val="bottom"/>
          </w:tcPr>
          <w:p>
            <w:pPr>
              <w:spacing w:after="0"/>
              <w:rPr>
                <w:sz w:val="1"/>
                <w:szCs w:val="1"/>
                <w:color w:val="auto"/>
              </w:rPr>
            </w:pPr>
          </w:p>
        </w:tc>
      </w:tr>
      <w:tr>
        <w:trPr>
          <w:trHeight w:val="26"/>
        </w:trPr>
        <w:tc>
          <w:tcPr>
            <w:tcW w:w="57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fair value of restricted LLC Units was based on the fair value of an unrestricted LLC Unit at the date of grant. Total compensation expense for unvested LLC Units recorded in selling, general and administrative expenses in the unaudited condensed consolidated statements of operations were approximately $0.1 million and $0.2 million for the three and nine months ended September 30, 2022, respectively and approximately $0.1 million and $0.3 million, for the three and nine months ended September 30, 2021, respectively.</w:t>
      </w:r>
    </w:p>
    <w:p>
      <w:pPr>
        <w:spacing w:after="0" w:line="188" w:lineRule="exact"/>
        <w:rPr>
          <w:sz w:val="20"/>
          <w:szCs w:val="20"/>
          <w:color w:val="auto"/>
        </w:rPr>
      </w:pPr>
    </w:p>
    <w:p>
      <w:pPr>
        <w:ind w:right="460"/>
        <w:spacing w:after="0" w:line="278" w:lineRule="auto"/>
        <w:rPr>
          <w:sz w:val="20"/>
          <w:szCs w:val="20"/>
          <w:color w:val="auto"/>
        </w:rPr>
      </w:pPr>
      <w:r>
        <w:rPr>
          <w:rFonts w:ascii="Arial" w:cs="Arial" w:eastAsia="Arial" w:hAnsi="Arial"/>
          <w:sz w:val="19"/>
          <w:szCs w:val="19"/>
          <w:color w:val="auto"/>
        </w:rPr>
        <w:t>The unamortized LLC Unit compensation cost of $0.6 million as of September 30, 2022 is expected to be recognized over a weighted-average period of approximately 2.3 years.</w:t>
      </w:r>
    </w:p>
    <w:p>
      <w:pPr>
        <w:spacing w:after="0" w:line="171" w:lineRule="exact"/>
        <w:rPr>
          <w:sz w:val="20"/>
          <w:szCs w:val="20"/>
          <w:color w:val="auto"/>
        </w:rPr>
      </w:pPr>
    </w:p>
    <w:p>
      <w:pPr>
        <w:ind w:right="5440"/>
        <w:spacing w:after="0" w:line="285" w:lineRule="auto"/>
        <w:rPr>
          <w:sz w:val="20"/>
          <w:szCs w:val="20"/>
          <w:color w:val="auto"/>
        </w:rPr>
      </w:pPr>
      <w:r>
        <w:rPr>
          <w:rFonts w:ascii="Arial" w:cs="Arial" w:eastAsia="Arial" w:hAnsi="Arial"/>
          <w:sz w:val="19"/>
          <w:szCs w:val="19"/>
          <w:b w:val="1"/>
          <w:bCs w:val="1"/>
          <w:color w:val="auto"/>
        </w:rPr>
        <w:t xml:space="preserve">NOTE 10. INCOME TAXES AND TAX RECEIVABLE AGREEMENT </w:t>
      </w:r>
      <w:r>
        <w:rPr>
          <w:rFonts w:ascii="Arial" w:cs="Arial" w:eastAsia="Arial" w:hAnsi="Arial"/>
          <w:sz w:val="19"/>
          <w:szCs w:val="19"/>
          <w:b w:val="1"/>
          <w:bCs w:val="1"/>
          <w:i w:val="1"/>
          <w:iCs w:val="1"/>
          <w:color w:val="auto"/>
        </w:rPr>
        <w:t>Overview of Income Taxes</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Company files U.S. federal and certain state income tax returns. The income tax returns of the Company are subject to examination by U.S.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federal and state taxing authorities for various time periods, depending on those jurisdictions’ rules, generally after the income tax returns are filed.</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Provision and Deferred Tax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4" w:name="page35"/>
    <w:bookmarkEnd w:id="34"/>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In calculating the provision for interim income taxes in accordance with ASC Topic 740, </w:t>
      </w:r>
      <w:r>
        <w:rPr>
          <w:rFonts w:ascii="Arial" w:cs="Arial" w:eastAsia="Arial" w:hAnsi="Arial"/>
          <w:sz w:val="19"/>
          <w:szCs w:val="19"/>
          <w:i w:val="1"/>
          <w:iCs w:val="1"/>
          <w:color w:val="auto"/>
        </w:rPr>
        <w:t>Income Taxes</w:t>
      </w:r>
      <w:r>
        <w:rPr>
          <w:rFonts w:ascii="Arial" w:cs="Arial" w:eastAsia="Arial" w:hAnsi="Arial"/>
          <w:sz w:val="19"/>
          <w:szCs w:val="19"/>
          <w:color w:val="auto"/>
        </w:rPr>
        <w:t>, an estimated annual effective tax rate is applied to year-to-date ordinary income. At the end of each interim period, Brilliant Earth Group, Inc. estimates the effective tax rate expected to be applicable for the full fiscal year. This differs from the method utilized at the end of an annual period. The Company's effective tax rate of 2.9% for the nine months ended September 30, 2022, differs from the U.S. federal statutory tax rate of 21% primarily due to income associated with the non-controlling interest and state tax expense.</w:t>
      </w:r>
    </w:p>
    <w:p>
      <w:pPr>
        <w:spacing w:after="0" w:line="215"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The Company recorded net increases in deferred tax assets of $0.3 million and $4.2 million during the three and nine months ended September 30, 2022, respectively, with a corresponding increase to additional paid in capital, resulting from changes in the outside basis difference on Brilliant Earth's investment in LLC. The Company has determined it is more-likely-than-not that it will be able to realize this deferred tax asset in the future.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The Company’s income tax provision was $0.2 million and $0.4 million for the three and nine months ended September 30, 2022, respectively. The Company's income tax provision was not material for the period from September 23, 2021 to September 30, 2021. As the IPO occurred during the quarter ended September 30, 2021, and the Company had no business transactions or activities prior to the IPO, no amounts related to the provision for income taxes were incurred for the period from January 1, 2021 to September 22, 2021.</w:t>
      </w:r>
    </w:p>
    <w:p>
      <w:pPr>
        <w:spacing w:after="0" w:line="174"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 xml:space="preserve">On September 23, 2021, the Company recorded a deferred tax asset related to the outside basis difference between U.S. GAAP and reporting for income tax purposes of the Company’s investment in Brilliant Earth, LLC of $4.4 million. The basis difference resulted from the step-up in basis allowed under Section 743(b) and 197 of the Internal Revenue Code related to the purchase of 1,249,999 LLC Units from the Continuing Equity Owners discussed in Note 1, </w:t>
      </w:r>
      <w:r>
        <w:rPr>
          <w:rFonts w:ascii="Arial" w:cs="Arial" w:eastAsia="Arial" w:hAnsi="Arial"/>
          <w:sz w:val="17"/>
          <w:szCs w:val="17"/>
          <w:i w:val="1"/>
          <w:iCs w:val="1"/>
          <w:color w:val="auto"/>
        </w:rPr>
        <w:t>Business and organization,</w:t>
      </w:r>
      <w:r>
        <w:rPr>
          <w:rFonts w:ascii="Arial" w:cs="Arial" w:eastAsia="Arial" w:hAnsi="Arial"/>
          <w:sz w:val="17"/>
          <w:szCs w:val="17"/>
          <w:color w:val="auto"/>
        </w:rPr>
        <w:t xml:space="preserve"> which is expected to be amortized over the useful lives of the underlying assets. In assessing the realizability of deferred tax assets, management determined that it was more likely than not that the deferred tax assets will be realized. No deferred taxes were provided on the inside basis difference resulting from the direct purchase of 8,333,333 newly-issued membership units from Brilliant Earth, LLC since such difference is subject to the indefinite reversal criteria of ASC 740, </w:t>
      </w:r>
      <w:r>
        <w:rPr>
          <w:rFonts w:ascii="Arial" w:cs="Arial" w:eastAsia="Arial" w:hAnsi="Arial"/>
          <w:sz w:val="17"/>
          <w:szCs w:val="17"/>
          <w:i w:val="1"/>
          <w:iCs w:val="1"/>
          <w:color w:val="auto"/>
        </w:rPr>
        <w:t>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receivable agreement</w:t>
      </w:r>
    </w:p>
    <w:p>
      <w:pPr>
        <w:spacing w:after="0" w:line="246" w:lineRule="exact"/>
        <w:rPr>
          <w:sz w:val="20"/>
          <w:szCs w:val="20"/>
          <w:color w:val="auto"/>
        </w:rPr>
      </w:pPr>
    </w:p>
    <w:p>
      <w:pPr>
        <w:jc w:val="both"/>
        <w:ind w:right="60"/>
        <w:spacing w:after="0" w:line="272" w:lineRule="auto"/>
        <w:rPr>
          <w:sz w:val="20"/>
          <w:szCs w:val="20"/>
          <w:color w:val="auto"/>
        </w:rPr>
      </w:pPr>
      <w:r>
        <w:rPr>
          <w:rFonts w:ascii="Arial" w:cs="Arial" w:eastAsia="Arial" w:hAnsi="Arial"/>
          <w:sz w:val="18"/>
          <w:szCs w:val="18"/>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19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 addition, as part of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w:t>
      </w:r>
    </w:p>
    <w:p>
      <w:pPr>
        <w:spacing w:after="0" w:line="221"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auto"/>
        </w:rPr>
        <w:t>The Company has recorded a liability under the tax receivable agreement of $7.4 million ($6.7 million recorded in the Payable pursuant to the Tax Receivable Agreement and $0.6 million recorded in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35" w:name="page36"/>
    <w:bookmarkEnd w:id="35"/>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expenses and other current liabilities) as of September 30, 2022. The tax receivable agreement provides for the payment of 85% of the amount of the tax benefits, if any, that Brilliant Earth is deemed to realize as a result of increases in the tax basis of its ownership in Brilliant Earth, LLC related to exchanges of non-controlling interest for Class A common stock. Of which, $0.6 million is expected to be paid within the next 12 months and was included within accrued expenses and other current liabilities in the unaudited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Legal Proceedings</w:t>
      </w: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187"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 632.7. The plaintiff seeks statutory damages, injunctive relief, attorneys’ fees and costs, and other unspecified damages. The Company has obtained an extension of time to file a response, the time to file such response has not yet passed, and as of the date of this Quarterly Report on Form 10-Q, the Company has not responded to the complaint. The Company believes these claims have no merit, and intends to vigorously defend against this lawsuit, though there can be no assurance regarding its ultimate outcome. At this time, any liability related to the alleged claims is not currently probable or reasonably estimable.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Non-Income Related Taxes</w:t>
      </w:r>
    </w:p>
    <w:p>
      <w:pPr>
        <w:spacing w:after="0" w:line="246"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 Obligations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From time to time in the normal course of business, the Company will enter into agreements with suppliers or service providers. As of</w:t>
      </w:r>
    </w:p>
    <w:p>
      <w:pPr>
        <w:spacing w:after="0" w:line="2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September 30, 2022, unconditional future minimum payments under agreements to purchase services primarily related to software maintenance and marketing and advertising spending. As of September 30, 2022, these commitments with a remaining term in excess of 12 months totaled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$5.6 million.</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6" w:name="page37"/>
    <w:bookmarkEnd w:id="36"/>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color w:val="auto"/>
        </w:rPr>
        <w:t>The Company may enter into commitments to expand various locations, which generally include design, store construction and improvements. As of September 30, 2022, these commitments totaled $3.8 million related to the opening of new locations.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Letter of Credit</w:t>
      </w: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As of September 30, 2022, the Company has an unused letter of credit in the amount of $0.2 million, which was issued in lieu of a security deposit at one of its showroom locations. The certificate of deposit used to secure this letter of credit is recorded as restricted cash on the Company’s unaudited condensed consolidated balance sheets.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401(k) Plan</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 maintains a qualified defined contribution plan under Section 401(k) of the Internal Revenue Code, which provides for voluntary contributions from the Company and its employees. Contributions from the Company were $0.3 million and $0.1 million for the three months ended September 30, 2022 and 2021, respectively; and $0.7 million and $0.4 million for the nine months ended September 30, 2022 and 2021,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SUBSEQUENT EVENTS</w:t>
      </w:r>
    </w:p>
    <w:p>
      <w:pPr>
        <w:spacing w:after="0" w:line="239" w:lineRule="exact"/>
        <w:rPr>
          <w:sz w:val="20"/>
          <w:szCs w:val="20"/>
          <w:color w:val="auto"/>
        </w:rPr>
      </w:pPr>
    </w:p>
    <w:p>
      <w:pPr>
        <w:jc w:val="both"/>
        <w:ind w:right="660"/>
        <w:spacing w:after="0" w:line="266" w:lineRule="auto"/>
        <w:rPr>
          <w:sz w:val="20"/>
          <w:szCs w:val="20"/>
          <w:color w:val="auto"/>
        </w:rPr>
      </w:pPr>
      <w:r>
        <w:rPr>
          <w:rFonts w:ascii="Arial" w:cs="Arial" w:eastAsia="Arial" w:hAnsi="Arial"/>
          <w:sz w:val="19"/>
          <w:szCs w:val="19"/>
          <w:color w:val="auto"/>
        </w:rPr>
        <w:t>The Company entered into 9 new lease agreements in additional locations in the U.S. for showrooms, where the Company had not yet taken physical possession of nor had control of the physical use of these leased properties, with future minimum aggregate rent payments totaling approximately $17.5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3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2021 Form 10-K. The following discussion and analysis reflects the historical results of operations and financial position of Brilliant Earth, LLC prior to the Reorganization Transactions on September 22, 2021 and that of Brilliant Earth Group, Inc. and its consolidated subsidiary, Brilliant Earth, LLC, following the completion of the Reorganization Transactions.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2021 Form 10-K. We assume no obligation to update any of these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Overview</w:t>
      </w:r>
    </w:p>
    <w:p>
      <w:pPr>
        <w:spacing w:after="0" w:line="246" w:lineRule="exact"/>
        <w:rPr>
          <w:sz w:val="20"/>
          <w:szCs w:val="20"/>
          <w:color w:val="auto"/>
        </w:rPr>
      </w:pPr>
    </w:p>
    <w:p>
      <w:pPr>
        <w:jc w:val="both"/>
        <w:ind w:right="60"/>
        <w:spacing w:after="0" w:line="259" w:lineRule="auto"/>
        <w:rPr>
          <w:sz w:val="20"/>
          <w:szCs w:val="20"/>
          <w:color w:val="auto"/>
        </w:rPr>
      </w:pPr>
      <w:r>
        <w:rPr>
          <w:rFonts w:ascii="Arial" w:cs="Arial" w:eastAsia="Arial" w:hAnsi="Arial"/>
          <w:sz w:val="19"/>
          <w:szCs w:val="19"/>
          <w:color w:val="auto"/>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 We operate in one operating and reporting segment, the retail sale of diamonds, gemstones and jewelry.</w:t>
      </w:r>
    </w:p>
    <w:p>
      <w:pPr>
        <w:spacing w:after="0" w:line="208" w:lineRule="exact"/>
        <w:rPr>
          <w:sz w:val="20"/>
          <w:szCs w:val="20"/>
          <w:color w:val="auto"/>
        </w:rPr>
      </w:pPr>
    </w:p>
    <w:p>
      <w:pPr>
        <w:ind w:right="660"/>
        <w:spacing w:after="0" w:line="274" w:lineRule="auto"/>
        <w:rPr>
          <w:sz w:val="20"/>
          <w:szCs w:val="20"/>
          <w:color w:val="auto"/>
        </w:rPr>
      </w:pPr>
      <w:r>
        <w:rPr>
          <w:rFonts w:ascii="Arial" w:cs="Arial" w:eastAsia="Arial" w:hAnsi="Arial"/>
          <w:sz w:val="19"/>
          <w:szCs w:val="19"/>
          <w:color w:val="auto"/>
        </w:rPr>
        <w:t>Our mission is to create a more transparent, sustainable, compassionate, and inclusive jewelry industry, and we are proud to offer customers distinctive and thoughtfully designed products that they can truly feel good about wearing. Our core values resonate strongly across many demographics and particularly with values-driven Millennial and Gen Z consumers.</w:t>
      </w:r>
    </w:p>
    <w:p>
      <w:pPr>
        <w:spacing w:after="0" w:line="206" w:lineRule="exact"/>
        <w:rPr>
          <w:sz w:val="20"/>
          <w:szCs w:val="20"/>
          <w:color w:val="auto"/>
        </w:rPr>
      </w:pPr>
    </w:p>
    <w:p>
      <w:pPr>
        <w:ind w:right="300"/>
        <w:spacing w:after="0" w:line="266" w:lineRule="auto"/>
        <w:rPr>
          <w:sz w:val="20"/>
          <w:szCs w:val="20"/>
          <w:color w:val="auto"/>
        </w:rPr>
      </w:pPr>
      <w:r>
        <w:rPr>
          <w:rFonts w:ascii="Arial" w:cs="Arial" w:eastAsia="Arial" w:hAnsi="Arial"/>
          <w:sz w:val="19"/>
          <w:szCs w:val="19"/>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September 30, 2022, Brilliant Earth has sold to consumers in over 50 countries.</w:t>
      </w: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8" w:name="page39"/>
    <w:bookmarkEnd w:id="38"/>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We have achieved strong financial performance and rapid growth since our founding, and believe we are in the early stages of realizing our potential in a significant market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Below is a summary of our performance for the three months ended September 30, 2022:</w:t>
      </w:r>
    </w:p>
    <w:p>
      <w:pPr>
        <w:spacing w:after="0" w:line="246" w:lineRule="exact"/>
        <w:rPr>
          <w:sz w:val="20"/>
          <w:szCs w:val="20"/>
          <w:color w:val="auto"/>
        </w:rPr>
      </w:pPr>
    </w:p>
    <w:p>
      <w:pPr>
        <w:ind w:left="580" w:hanging="267"/>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Net sales of $111.4 million, up 17.0% from $95.2 million for the three months ended September 30, 2021;</w:t>
      </w:r>
    </w:p>
    <w:p>
      <w:pPr>
        <w:spacing w:after="0" w:line="21" w:lineRule="exact"/>
        <w:rPr>
          <w:rFonts w:ascii="Arial" w:cs="Arial" w:eastAsia="Arial" w:hAnsi="Arial"/>
          <w:sz w:val="19"/>
          <w:szCs w:val="19"/>
          <w:color w:val="auto"/>
        </w:rPr>
      </w:pPr>
    </w:p>
    <w:p>
      <w:pPr>
        <w:ind w:left="580" w:hanging="267"/>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Net income of $5.7 million, up 44.3% from $4.0 million for the three months ended September 30, 2021;</w:t>
      </w:r>
    </w:p>
    <w:p>
      <w:pPr>
        <w:spacing w:after="0" w:line="8" w:lineRule="exact"/>
        <w:rPr>
          <w:rFonts w:ascii="Arial" w:cs="Arial" w:eastAsia="Arial" w:hAnsi="Arial"/>
          <w:sz w:val="19"/>
          <w:szCs w:val="19"/>
          <w:color w:val="auto"/>
        </w:rPr>
      </w:pPr>
    </w:p>
    <w:p>
      <w:pPr>
        <w:ind w:left="580" w:hanging="267"/>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Net income margin of 5.1%, compared to 4.2% for the three months ended September 30, 2021;</w:t>
      </w:r>
    </w:p>
    <w:p>
      <w:pPr>
        <w:spacing w:after="0" w:line="5" w:lineRule="exact"/>
        <w:rPr>
          <w:rFonts w:ascii="Arial" w:cs="Arial" w:eastAsia="Arial" w:hAnsi="Arial"/>
          <w:sz w:val="19"/>
          <w:szCs w:val="19"/>
          <w:color w:val="auto"/>
        </w:rPr>
      </w:pPr>
    </w:p>
    <w:p>
      <w:pPr>
        <w:ind w:left="580" w:hanging="267"/>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Adjusted EBITDA of $10.0 million, down 26.6% from $13.6 million for the three months ended September 30, 2021; and</w:t>
      </w:r>
    </w:p>
    <w:p>
      <w:pPr>
        <w:spacing w:after="0" w:line="8" w:lineRule="exact"/>
        <w:rPr>
          <w:rFonts w:ascii="Arial" w:cs="Arial" w:eastAsia="Arial" w:hAnsi="Arial"/>
          <w:sz w:val="19"/>
          <w:szCs w:val="19"/>
          <w:color w:val="auto"/>
        </w:rPr>
      </w:pPr>
    </w:p>
    <w:p>
      <w:pPr>
        <w:ind w:left="580" w:hanging="267"/>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Adjusted EBITDA margin of 8.9%, compared to 14.2% for the three months ended September 30, 2021.</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Below is a summary of our performance for the nine months ended September 30, 2022:</w:t>
      </w:r>
    </w:p>
    <w:p>
      <w:pPr>
        <w:spacing w:after="0" w:line="246" w:lineRule="exact"/>
        <w:rPr>
          <w:sz w:val="20"/>
          <w:szCs w:val="20"/>
          <w:color w:val="auto"/>
        </w:rPr>
      </w:pPr>
    </w:p>
    <w:p>
      <w:pPr>
        <w:ind w:left="580" w:hanging="267"/>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Net sales of $320.3 million, up 24.0% from $258.3 million for the nine months ended September 30, 2021;</w:t>
      </w:r>
    </w:p>
    <w:p>
      <w:pPr>
        <w:spacing w:after="0" w:line="16" w:lineRule="exact"/>
        <w:rPr>
          <w:rFonts w:ascii="Arial" w:cs="Arial" w:eastAsia="Arial" w:hAnsi="Arial"/>
          <w:sz w:val="19"/>
          <w:szCs w:val="19"/>
          <w:color w:val="auto"/>
        </w:rPr>
      </w:pPr>
    </w:p>
    <w:p>
      <w:pPr>
        <w:ind w:left="580" w:hanging="267"/>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Net income of $12.8 million, down 13.5% from $14.8 million for the nine months ended September 30, 2021;</w:t>
      </w:r>
    </w:p>
    <w:p>
      <w:pPr>
        <w:spacing w:after="0" w:line="5" w:lineRule="exact"/>
        <w:rPr>
          <w:rFonts w:ascii="Arial" w:cs="Arial" w:eastAsia="Arial" w:hAnsi="Arial"/>
          <w:sz w:val="19"/>
          <w:szCs w:val="19"/>
          <w:color w:val="auto"/>
        </w:rPr>
      </w:pPr>
    </w:p>
    <w:p>
      <w:pPr>
        <w:ind w:left="580" w:hanging="267"/>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Net income margin of 4.0%, compared to 5.7% for the nine months ended September 30, 2021;</w:t>
      </w:r>
    </w:p>
    <w:p>
      <w:pPr>
        <w:spacing w:after="0" w:line="8" w:lineRule="exact"/>
        <w:rPr>
          <w:rFonts w:ascii="Arial" w:cs="Arial" w:eastAsia="Arial" w:hAnsi="Arial"/>
          <w:sz w:val="19"/>
          <w:szCs w:val="19"/>
          <w:color w:val="auto"/>
        </w:rPr>
      </w:pPr>
    </w:p>
    <w:p>
      <w:pPr>
        <w:ind w:left="580" w:hanging="267"/>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Adjusted EBITDA of $28.0 million, down 19.1% from $34.6 million for the nine months ended September 30, 2021; and</w:t>
      </w:r>
    </w:p>
    <w:p>
      <w:pPr>
        <w:spacing w:after="0" w:line="5" w:lineRule="exact"/>
        <w:rPr>
          <w:rFonts w:ascii="Arial" w:cs="Arial" w:eastAsia="Arial" w:hAnsi="Arial"/>
          <w:sz w:val="19"/>
          <w:szCs w:val="19"/>
          <w:color w:val="auto"/>
        </w:rPr>
      </w:pPr>
    </w:p>
    <w:p>
      <w:pPr>
        <w:ind w:left="580" w:hanging="267"/>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Adjusted EBITDA margin of 8.7%, compared to 13.4% for the nine months ended September 30, 2021.</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We operate in one operating and reporting segment, the retail sale of diamonds, gemstones and jewelry.</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Initial Public Offering and Purchase of LLC Interests</w:t>
      </w:r>
    </w:p>
    <w:p>
      <w:pPr>
        <w:spacing w:after="0" w:line="246" w:lineRule="exact"/>
        <w:rPr>
          <w:sz w:val="20"/>
          <w:szCs w:val="20"/>
          <w:color w:val="auto"/>
        </w:rPr>
      </w:pPr>
    </w:p>
    <w:p>
      <w:pPr>
        <w:ind w:right="220"/>
        <w:spacing w:after="0" w:line="304" w:lineRule="auto"/>
        <w:rPr>
          <w:sz w:val="20"/>
          <w:szCs w:val="20"/>
          <w:color w:val="auto"/>
        </w:rPr>
      </w:pPr>
      <w:r>
        <w:rPr>
          <w:rFonts w:ascii="Arial" w:cs="Arial" w:eastAsia="Arial" w:hAnsi="Arial"/>
          <w:sz w:val="17"/>
          <w:szCs w:val="17"/>
          <w:color w:val="auto"/>
        </w:rPr>
        <w:t>On September 27, 2021, we completed our IPO of 9,583,332 shares of Class A common stock at an offering price of $12.00 per share, (excluding the underwriting discount), including 1,249,999 shares of Class A common stock issued pursuant to the underwriters' over-allotment option. We received $101.6 million in proceeds after a deduction for underwriting discounts and offering costs totaling $13.4 million.</w:t>
      </w:r>
    </w:p>
    <w:p>
      <w:pPr>
        <w:spacing w:after="0" w:line="17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which represented a 10.1% economic interest as of the IPO date.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Conversion of Class F, P and M Units at Time of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the IPO, the existing limited liability company agreement of Brilliant Earth, LLC was amended and restated to, among other</w:t>
      </w:r>
    </w:p>
    <w:p>
      <w:pPr>
        <w:spacing w:after="0" w:line="3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things, recapitalize all existing Class F, P and M Units in Brilliant Earth, LLC into 86,297,284 common LLC Units after applying a conversion ratio of 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unaudited condensed consolidated financial statements for periods prior to the IPO have been retroactively adjusted to reflect the conversion ratios (as discussed in the preceding sentence) similar to the presentation of a stock-split.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Summary of the Restructuring, Offering and Other Transactions Completed in Connection with the IPO</w:t>
      </w:r>
    </w:p>
    <w:p>
      <w:pPr>
        <w:spacing w:after="0" w:line="246"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In connection with the IPO, Brilliant Earth Group, Inc. and Brilliant Earth, LLC completed a series of transactions that comprise of reorganization, offering and other financing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Reorganization Transactions which occurred as of the date of IPO:</w:t>
      </w:r>
    </w:p>
    <w:p>
      <w:pPr>
        <w:spacing w:after="0" w:line="246" w:lineRule="exact"/>
        <w:rPr>
          <w:sz w:val="20"/>
          <w:szCs w:val="20"/>
          <w:color w:val="auto"/>
        </w:rPr>
      </w:pPr>
    </w:p>
    <w:p>
      <w:pPr>
        <w:ind w:left="620" w:hanging="307"/>
        <w:spacing w:after="0" w:line="276" w:lineRule="auto"/>
        <w:tabs>
          <w:tab w:leader="none" w:pos="6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170" w:lineRule="exact"/>
        <w:rPr>
          <w:rFonts w:ascii="Arial" w:cs="Arial" w:eastAsia="Arial" w:hAnsi="Arial"/>
          <w:sz w:val="17"/>
          <w:szCs w:val="17"/>
          <w:color w:val="auto"/>
        </w:rPr>
      </w:pPr>
    </w:p>
    <w:p>
      <w:pPr>
        <w:ind w:left="620" w:right="140" w:hanging="307"/>
        <w:spacing w:after="0" w:line="307"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66" w:lineRule="exact"/>
        <w:rPr>
          <w:rFonts w:ascii="Arial" w:cs="Arial" w:eastAsia="Arial" w:hAnsi="Arial"/>
          <w:sz w:val="18"/>
          <w:szCs w:val="18"/>
          <w:color w:val="auto"/>
        </w:rPr>
      </w:pPr>
    </w:p>
    <w:p>
      <w:pPr>
        <w:ind w:left="620" w:right="280" w:hanging="307"/>
        <w:spacing w:after="0" w:line="258"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Issued 36,064,421 shares of Class B common stock (prior to the redemption of 522,386 shares pursuant to the exercise of underwriters’ overallotment options discussed below) to the Continuing Equity Owners, excluding the Founders, which is equal to the number of LLC Units held by such Continuing Equity Owners excluding the Founders, for nominal consideration.</w:t>
      </w:r>
    </w:p>
    <w:p>
      <w:pPr>
        <w:spacing w:after="0" w:line="196" w:lineRule="exact"/>
        <w:rPr>
          <w:rFonts w:ascii="Arial" w:cs="Arial" w:eastAsia="Arial" w:hAnsi="Arial"/>
          <w:sz w:val="18"/>
          <w:szCs w:val="18"/>
          <w:color w:val="auto"/>
        </w:rPr>
      </w:pPr>
    </w:p>
    <w:p>
      <w:pPr>
        <w:ind w:left="620" w:right="300" w:hanging="307"/>
        <w:spacing w:after="0" w:line="245" w:lineRule="auto"/>
        <w:tabs>
          <w:tab w:leader="none" w:pos="609" w:val="left"/>
        </w:tabs>
        <w:numPr>
          <w:ilvl w:val="0"/>
          <w:numId w:val="10"/>
        </w:numPr>
        <w:rPr>
          <w:rFonts w:ascii="Arial" w:cs="Arial" w:eastAsia="Arial" w:hAnsi="Arial"/>
          <w:sz w:val="19"/>
          <w:szCs w:val="19"/>
          <w:color w:val="auto"/>
        </w:rPr>
      </w:pPr>
      <w:r>
        <w:rPr>
          <w:rFonts w:ascii="Arial" w:cs="Arial" w:eastAsia="Arial" w:hAnsi="Arial"/>
          <w:sz w:val="19"/>
          <w:szCs w:val="19"/>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194" w:lineRule="exact"/>
        <w:rPr>
          <w:rFonts w:ascii="Arial" w:cs="Arial" w:eastAsia="Arial" w:hAnsi="Arial"/>
          <w:sz w:val="19"/>
          <w:szCs w:val="19"/>
          <w:color w:val="auto"/>
        </w:rPr>
      </w:pPr>
    </w:p>
    <w:p>
      <w:pPr>
        <w:jc w:val="both"/>
        <w:ind w:left="620" w:right="260" w:hanging="307"/>
        <w:spacing w:after="0" w:line="304" w:lineRule="auto"/>
        <w:tabs>
          <w:tab w:leader="none" w:pos="6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Entered into a TRA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0" w:name="page41"/>
    <w:bookmarkEnd w:id="40"/>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IPO and other transactions:</w:t>
      </w:r>
    </w:p>
    <w:p>
      <w:pPr>
        <w:spacing w:after="0" w:line="246" w:lineRule="exact"/>
        <w:rPr>
          <w:sz w:val="20"/>
          <w:szCs w:val="20"/>
          <w:color w:val="auto"/>
        </w:rPr>
      </w:pPr>
    </w:p>
    <w:p>
      <w:pPr>
        <w:ind w:left="620" w:right="300" w:hanging="307"/>
        <w:spacing w:after="0" w:line="259" w:lineRule="auto"/>
        <w:tabs>
          <w:tab w:leader="none" w:pos="609" w:val="left"/>
        </w:tabs>
        <w:numPr>
          <w:ilvl w:val="0"/>
          <w:numId w:val="11"/>
        </w:numPr>
        <w:rPr>
          <w:rFonts w:ascii="Arial" w:cs="Arial" w:eastAsia="Arial" w:hAnsi="Arial"/>
          <w:sz w:val="19"/>
          <w:szCs w:val="19"/>
          <w:color w:val="auto"/>
        </w:rPr>
      </w:pPr>
      <w:r>
        <w:rPr>
          <w:rFonts w:ascii="Arial" w:cs="Arial" w:eastAsia="Arial" w:hAnsi="Arial"/>
          <w:sz w:val="19"/>
          <w:szCs w:val="19"/>
          <w:color w:val="auto"/>
        </w:rPr>
        <w:t>Issued 9,583,332 shares of Class A common stock, including 1,249,999 shares of Class A common stock from the exercise of the underwriters' overallotment option, in exchange for net proceeds of approximately $101.6 million at $12.00 per share, less underwriting discount and offering expenses.</w:t>
      </w:r>
    </w:p>
    <w:p>
      <w:pPr>
        <w:spacing w:after="0" w:line="195" w:lineRule="exact"/>
        <w:rPr>
          <w:rFonts w:ascii="Arial" w:cs="Arial" w:eastAsia="Arial" w:hAnsi="Arial"/>
          <w:sz w:val="19"/>
          <w:szCs w:val="19"/>
          <w:color w:val="auto"/>
        </w:rPr>
      </w:pPr>
    </w:p>
    <w:p>
      <w:pPr>
        <w:ind w:left="620" w:right="360" w:hanging="307"/>
        <w:spacing w:after="0" w:line="340" w:lineRule="auto"/>
        <w:tabs>
          <w:tab w:leader="none" w:pos="6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142" w:lineRule="exact"/>
        <w:rPr>
          <w:rFonts w:ascii="Arial" w:cs="Arial" w:eastAsia="Arial" w:hAnsi="Arial"/>
          <w:sz w:val="17"/>
          <w:szCs w:val="17"/>
          <w:color w:val="auto"/>
        </w:rPr>
      </w:pPr>
    </w:p>
    <w:p>
      <w:pPr>
        <w:ind w:left="620" w:right="40" w:hanging="307"/>
        <w:spacing w:after="0" w:line="253" w:lineRule="auto"/>
        <w:tabs>
          <w:tab w:leader="none" w:pos="609" w:val="left"/>
        </w:tabs>
        <w:numPr>
          <w:ilvl w:val="0"/>
          <w:numId w:val="11"/>
        </w:numPr>
        <w:rPr>
          <w:rFonts w:ascii="Arial" w:cs="Arial" w:eastAsia="Arial" w:hAnsi="Arial"/>
          <w:sz w:val="19"/>
          <w:szCs w:val="19"/>
          <w:color w:val="auto"/>
        </w:rPr>
      </w:pPr>
      <w:r>
        <w:rPr>
          <w:rFonts w:ascii="Arial" w:cs="Arial" w:eastAsia="Arial" w:hAnsi="Arial"/>
          <w:sz w:val="19"/>
          <w:szCs w:val="19"/>
          <w:color w:val="auto"/>
        </w:rPr>
        <w:t>Used net proceeds from the exercise of the underwriters’ overallotment option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214" w:lineRule="exact"/>
        <w:rPr>
          <w:rFonts w:ascii="Arial" w:cs="Arial" w:eastAsia="Arial" w:hAnsi="Arial"/>
          <w:sz w:val="19"/>
          <w:szCs w:val="19"/>
          <w:color w:val="auto"/>
        </w:rPr>
      </w:pPr>
    </w:p>
    <w:p>
      <w:pPr>
        <w:ind w:left="620" w:right="40" w:hanging="307"/>
        <w:spacing w:after="0" w:line="264" w:lineRule="auto"/>
        <w:tabs>
          <w:tab w:leader="none" w:pos="609"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Corresponding cancellation of a total of 1,249,999 shares of Class B common stock and Class C common stock resulting from the purchase of 1,249,999 LLC Units from the Continuing Equity Owners.</w:t>
      </w:r>
    </w:p>
    <w:p>
      <w:pPr>
        <w:spacing w:after="0" w:line="202" w:lineRule="exact"/>
        <w:rPr>
          <w:rFonts w:ascii="Arial" w:cs="Arial" w:eastAsia="Arial" w:hAnsi="Arial"/>
          <w:sz w:val="19"/>
          <w:szCs w:val="19"/>
          <w:color w:val="auto"/>
        </w:rPr>
      </w:pPr>
    </w:p>
    <w:p>
      <w:pPr>
        <w:ind w:left="620" w:right="100" w:hanging="307"/>
        <w:spacing w:after="0" w:line="324" w:lineRule="auto"/>
        <w:tabs>
          <w:tab w:leader="none" w:pos="6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Exercise of warrants on Class P Units with a carrying value of $6.4 million as of September 22, 2021 (after the mark-to-market adjustment as of the date of exercise) into 534,589 newly issued LLC Units on a net settlement basis, elected at the option of the holder.</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Factors Affecting Our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Ability to Increase Brand Awareness</w:t>
      </w: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Cost-Effective Acquisition of New Customers and Retention of Existing Customers.</w:t>
      </w:r>
    </w:p>
    <w:p>
      <w:pPr>
        <w:spacing w:after="0" w:line="233"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color w:val="auto"/>
        </w:rPr>
        <w:t>We have historically had attractive customer acquisition economics, including substantial first order profitability. To continue to grow our business, we must continue to acquire new customers and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41" w:name="page42"/>
    <w:bookmarkEnd w:id="4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Ability to Continue Expansion of our Omnichannel Strategy</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Our ability to expand our omnichannel presence to new markets and locations is key to our success. Historically, we have been successful in every new geographic market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believe expanding our number of showrooms will drive accelerated growth by increasing our average order value (“AOV”) compared to e-commerce orders, improving conversion in the showrooms’ metro regions compared to pre-opening conversion, and raising our brand awareness. As of September 30, 2022, we have 22 showroom locations within the U.S.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Ability to Successfully Introduce New Products</w:t>
      </w:r>
    </w:p>
    <w:p>
      <w:pPr>
        <w:spacing w:after="0" w:line="24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International Expansion</w:t>
      </w:r>
    </w:p>
    <w:p>
      <w:pPr>
        <w:spacing w:after="0" w:line="233"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drive brand awareness through localized marketing channels and expect our data-driven technology platform to continue providing insights for product recommendations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2" w:name="page43"/>
    <w:bookmarkEnd w:id="4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Operational and Marketing Efficiency</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We have a unique, asset-light operating model with attractive working capital dynamics, capital-efficient showrooms, and a vast virtual inventory of premium natural and lab-grown diamonds that allows us to offer over 200,000 diamonds with significant value,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Costs of Operating as a Public Company</w:t>
      </w:r>
    </w:p>
    <w:p>
      <w:pPr>
        <w:spacing w:after="0" w:line="23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costs of operating as a public company are significant as we are now subject to the reporting, listing, and compliance requirements of various governing bodies and applicable securities laws and regulations that we were previously not subjected to as a privately-held company. These costs have been rapidly increasing over time as rules and regulations have become more complex. Since becoming a public company, compliance with rules and regulations has increased and may continue to increase our legal, financial, and technology compliance costs, and may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Macroeconomic Trends</w:t>
      </w:r>
    </w:p>
    <w:p>
      <w:pPr>
        <w:spacing w:after="0" w:line="24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could negatively impact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COVID-19 on Our Business</w:t>
      </w:r>
    </w:p>
    <w:p>
      <w:pPr>
        <w:spacing w:after="0" w:line="233"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COVID-19 pandemic remains on-going and continues to impact the global economy. Our financial performance could be adversely impacted by the on-going evolution of the pandemic, including any government-imposed pandemic restrictions. We cannot predict the full extent of the impacts of the COVID-19 pandemic on our business, our operations, or the global economy as a whole. However, the effects could have a material impact on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43" w:name="page44"/>
    <w:bookmarkEnd w:id="43"/>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key performance indicators for the periods presented (amounts in thousands, except for total orders and AOV):</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180"/>
              <w:spacing w:after="0"/>
              <w:rPr>
                <w:sz w:val="20"/>
                <w:szCs w:val="20"/>
                <w:color w:val="auto"/>
              </w:rPr>
            </w:pPr>
            <w:r>
              <w:rPr>
                <w:rFonts w:ascii="Arial" w:cs="Arial" w:eastAsia="Arial" w:hAnsi="Arial"/>
                <w:sz w:val="15"/>
                <w:szCs w:val="15"/>
                <w:b w:val="1"/>
                <w:bCs w:val="1"/>
                <w:color w:val="auto"/>
                <w:w w:val="92"/>
              </w:rPr>
              <w:t>Three months ended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jc w:val="center"/>
              <w:ind w:right="180"/>
              <w:spacing w:after="0"/>
              <w:rPr>
                <w:sz w:val="20"/>
                <w:szCs w:val="20"/>
                <w:color w:val="auto"/>
              </w:rPr>
            </w:pPr>
            <w:r>
              <w:rPr>
                <w:rFonts w:ascii="Arial" w:cs="Arial" w:eastAsia="Arial" w:hAnsi="Arial"/>
                <w:sz w:val="15"/>
                <w:szCs w:val="15"/>
                <w:b w:val="1"/>
                <w:bCs w:val="1"/>
                <w:color w:val="auto"/>
                <w:w w:val="91"/>
              </w:rPr>
              <w:t>Nine months ended</w:t>
            </w:r>
          </w:p>
        </w:tc>
        <w:tc>
          <w:tcPr>
            <w:tcW w:w="1160" w:type="dxa"/>
            <w:vAlign w:val="bottom"/>
          </w:tcPr>
          <w:p>
            <w:pPr>
              <w:spacing w:after="0"/>
              <w:rPr>
                <w:sz w:val="16"/>
                <w:szCs w:val="16"/>
                <w:color w:val="auto"/>
              </w:rPr>
            </w:pPr>
          </w:p>
        </w:tc>
      </w:tr>
      <w:tr>
        <w:trPr>
          <w:trHeight w:val="202"/>
        </w:trPr>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5"/>
                <w:szCs w:val="15"/>
                <w:b w:val="1"/>
                <w:bCs w:val="1"/>
                <w:color w:val="auto"/>
                <w:w w:val="91"/>
              </w:rPr>
              <w:t>September 30,</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5"/>
                <w:szCs w:val="15"/>
                <w:b w:val="1"/>
                <w:bCs w:val="1"/>
                <w:color w:val="auto"/>
                <w:w w:val="91"/>
              </w:rPr>
              <w:t>September 30,</w:t>
            </w:r>
          </w:p>
        </w:tc>
        <w:tc>
          <w:tcPr>
            <w:tcW w:w="1160" w:type="dxa"/>
            <w:vAlign w:val="bottom"/>
          </w:tcPr>
          <w:p>
            <w:pPr>
              <w:spacing w:after="0"/>
              <w:rPr>
                <w:sz w:val="17"/>
                <w:szCs w:val="17"/>
                <w:color w:val="auto"/>
              </w:rPr>
            </w:pPr>
          </w:p>
        </w:tc>
      </w:tr>
      <w:tr>
        <w:trPr>
          <w:trHeight w:val="245"/>
        </w:trPr>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1240" w:type="dxa"/>
            <w:vAlign w:val="bottom"/>
            <w:gridSpan w:val="2"/>
          </w:tcPr>
          <w:p>
            <w:pPr>
              <w:ind w:left="220"/>
              <w:spacing w:after="0"/>
              <w:rPr>
                <w:sz w:val="20"/>
                <w:szCs w:val="20"/>
                <w:color w:val="auto"/>
              </w:rPr>
            </w:pPr>
            <w:r>
              <w:rPr>
                <w:rFonts w:ascii="Arial" w:cs="Arial" w:eastAsia="Arial" w:hAnsi="Arial"/>
                <w:sz w:val="15"/>
                <w:szCs w:val="15"/>
                <w:b w:val="1"/>
                <w:bCs w:val="1"/>
                <w:color w:val="auto"/>
              </w:rPr>
              <w:t>% Change</w:t>
            </w:r>
          </w:p>
        </w:tc>
        <w:tc>
          <w:tcPr>
            <w:tcW w:w="240" w:type="dxa"/>
            <w:vAlign w:val="bottom"/>
          </w:tcPr>
          <w:p>
            <w:pPr>
              <w:spacing w:after="0"/>
              <w:rPr>
                <w:sz w:val="21"/>
                <w:szCs w:val="21"/>
                <w:color w:val="auto"/>
              </w:rPr>
            </w:pPr>
          </w:p>
        </w:tc>
        <w:tc>
          <w:tcPr>
            <w:tcW w:w="800" w:type="dxa"/>
            <w:vAlign w:val="bottom"/>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1160" w:type="dxa"/>
            <w:vAlign w:val="bottom"/>
          </w:tcPr>
          <w:p>
            <w:pPr>
              <w:jc w:val="right"/>
              <w:ind w:right="143"/>
              <w:spacing w:after="0"/>
              <w:rPr>
                <w:sz w:val="20"/>
                <w:szCs w:val="20"/>
                <w:color w:val="auto"/>
              </w:rPr>
            </w:pPr>
            <w:r>
              <w:rPr>
                <w:rFonts w:ascii="Arial" w:cs="Arial" w:eastAsia="Arial" w:hAnsi="Arial"/>
                <w:sz w:val="15"/>
                <w:szCs w:val="15"/>
                <w:b w:val="1"/>
                <w:bCs w:val="1"/>
                <w:color w:val="auto"/>
              </w:rPr>
              <w:t>% Change</w:t>
            </w:r>
          </w:p>
        </w:tc>
      </w:tr>
      <w:tr>
        <w:trPr>
          <w:trHeight w:val="31"/>
        </w:trPr>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Sales</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111,405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95,239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16,166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320,252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258,283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61,969</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24.0 %</w:t>
            </w:r>
          </w:p>
        </w:tc>
      </w:tr>
      <w:tr>
        <w:trPr>
          <w:trHeight w:val="214"/>
        </w:trPr>
        <w:tc>
          <w:tcPr>
            <w:tcW w:w="2100" w:type="dxa"/>
            <w:vAlign w:val="bottom"/>
          </w:tcPr>
          <w:p>
            <w:pPr>
              <w:ind w:left="20"/>
              <w:spacing w:after="0"/>
              <w:rPr>
                <w:sz w:val="20"/>
                <w:szCs w:val="20"/>
                <w:color w:val="auto"/>
              </w:rPr>
            </w:pPr>
            <w:r>
              <w:rPr>
                <w:rFonts w:ascii="Arial" w:cs="Arial" w:eastAsia="Arial" w:hAnsi="Arial"/>
                <w:sz w:val="15"/>
                <w:szCs w:val="15"/>
                <w:b w:val="1"/>
                <w:bCs w:val="1"/>
                <w:color w:val="auto"/>
              </w:rPr>
              <w:t>Total Orders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36,977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8,122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104,715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78,733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25,982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33.0 %</w:t>
            </w:r>
          </w:p>
        </w:tc>
      </w:tr>
      <w:tr>
        <w:trPr>
          <w:trHeight w:val="31"/>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4"/>
        </w:trPr>
        <w:tc>
          <w:tcPr>
            <w:tcW w:w="2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AOV</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31"/>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Sales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Net sales is defined below in “Components of 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Total Orders</w:t>
      </w:r>
    </w:p>
    <w:p>
      <w:pPr>
        <w:spacing w:after="0" w:line="246"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Average Order Value</w:t>
      </w:r>
    </w:p>
    <w:p>
      <w:pPr>
        <w:spacing w:after="0" w:line="246"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Sales</w:t>
      </w:r>
    </w:p>
    <w:p>
      <w:pPr>
        <w:spacing w:after="0" w:line="233" w:lineRule="exact"/>
        <w:rPr>
          <w:sz w:val="20"/>
          <w:szCs w:val="20"/>
          <w:color w:val="auto"/>
        </w:rPr>
      </w:pPr>
    </w:p>
    <w:p>
      <w:pPr>
        <w:ind w:right="240"/>
        <w:spacing w:after="0" w:line="254" w:lineRule="auto"/>
        <w:rPr>
          <w:sz w:val="20"/>
          <w:szCs w:val="20"/>
          <w:color w:val="auto"/>
        </w:rPr>
      </w:pPr>
      <w:r>
        <w:rPr>
          <w:rFonts w:ascii="Arial" w:cs="Arial" w:eastAsia="Arial" w:hAnsi="Arial"/>
          <w:sz w:val="19"/>
          <w:szCs w:val="19"/>
          <w:color w:val="auto"/>
        </w:rPr>
        <w:t>Our sales are recorded net of estimated sales returns and allowances and sales taxes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independently-graded natural diamonds. For an additional charge, we offer an in-house three-year extended service plan, which provides full inspection, cleaning, and certain repairs due to normal wear. We also offer an extended protection plan through a third-party that has terms ranging from two years to lifetime that vary based on the item purchased.</w:t>
      </w:r>
    </w:p>
    <w:p>
      <w:pPr>
        <w:spacing w:after="0" w:line="198" w:lineRule="exact"/>
        <w:rPr>
          <w:sz w:val="20"/>
          <w:szCs w:val="20"/>
          <w:color w:val="auto"/>
        </w:rPr>
      </w:pPr>
    </w:p>
    <w:p>
      <w:pPr>
        <w:ind w:right="280"/>
        <w:spacing w:after="0" w:line="307" w:lineRule="auto"/>
        <w:rPr>
          <w:sz w:val="20"/>
          <w:szCs w:val="20"/>
          <w:color w:val="auto"/>
        </w:rPr>
      </w:pPr>
      <w:r>
        <w:rPr>
          <w:rFonts w:ascii="Arial" w:cs="Arial" w:eastAsia="Arial" w:hAnsi="Arial"/>
          <w:sz w:val="18"/>
          <w:szCs w:val="18"/>
          <w:color w:val="auto"/>
        </w:rPr>
        <w:t>Revenue is deferred on transactions where payment has been received from the customer, but control has not yet transferred. Revenue related to customer purchases of our in-house extended service plan are deferred and recognized ratably over the service plan term.</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Cost of Sales</w:t>
      </w:r>
    </w:p>
    <w:p>
      <w:pPr>
        <w:spacing w:after="0" w:line="24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and costs of shipping orders to customers. Our cost of sales includes reserves for disposal of obsolete, slow-moving or defective items, and shrinkage, which we estimate and record on a periodic basis.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Selling, General and Administrative Expenses</w:t>
      </w:r>
    </w:p>
    <w:p>
      <w:pPr>
        <w:spacing w:after="0" w:line="246"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Selling, general and administrative (“SG&amp;A”)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other general corporate expenses, and charitable donations in connection with establishing and funding the Brilliant Earth Foundation, a donor advised fund, to support our charitable giving efforts.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246" w:lineRule="exact"/>
        <w:rPr>
          <w:sz w:val="20"/>
          <w:szCs w:val="20"/>
          <w:color w:val="auto"/>
        </w:rPr>
      </w:pPr>
    </w:p>
    <w:p>
      <w:pPr>
        <w:ind w:right="300"/>
        <w:spacing w:after="0" w:line="278" w:lineRule="auto"/>
        <w:rPr>
          <w:sz w:val="20"/>
          <w:szCs w:val="20"/>
          <w:color w:val="auto"/>
        </w:rPr>
      </w:pPr>
      <w:r>
        <w:rPr>
          <w:rFonts w:ascii="Arial" w:cs="Arial" w:eastAsia="Arial" w:hAnsi="Arial"/>
          <w:sz w:val="19"/>
          <w:szCs w:val="19"/>
          <w:color w:val="auto"/>
        </w:rPr>
        <w:t>Interest expense primarily consists of interest incurred under the Runway Term Loan Agreement and the SVB Credit Facilities (each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36" w:right="419" w:bottom="1440" w:gutter="0" w:footer="0" w:header="0"/>
        </w:sectPr>
      </w:pPr>
    </w:p>
    <w:bookmarkStart w:id="45" w:name="page46"/>
    <w:bookmarkEnd w:id="45"/>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246" w:lineRule="exact"/>
        <w:rPr>
          <w:sz w:val="20"/>
          <w:szCs w:val="20"/>
          <w:color w:val="auto"/>
        </w:rPr>
      </w:pPr>
    </w:p>
    <w:p>
      <w:pPr>
        <w:jc w:val="both"/>
        <w:ind w:right="180"/>
        <w:spacing w:after="0" w:line="259" w:lineRule="auto"/>
        <w:rPr>
          <w:sz w:val="20"/>
          <w:szCs w:val="20"/>
          <w:color w:val="auto"/>
        </w:rPr>
      </w:pPr>
      <w:r>
        <w:rPr>
          <w:rFonts w:ascii="Arial" w:cs="Arial" w:eastAsia="Arial" w:hAnsi="Arial"/>
          <w:sz w:val="19"/>
          <w:szCs w:val="19"/>
          <w:color w:val="auto"/>
        </w:rPr>
        <w:t>Other income (expense), net in prior years consisted primarily of the change in fair value of the warrant liability necessary to mark our warrants to fair market value. The warrant liability was settled at the time of IPO. Additionally, these expenses include losses on exchange rates on consumer payments, partially offset by interest and other miscellaneous income.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 Data</w:t>
      </w:r>
    </w:p>
    <w:p>
      <w:pPr>
        <w:spacing w:after="0" w:line="148" w:lineRule="exact"/>
        <w:rPr>
          <w:sz w:val="20"/>
          <w:szCs w:val="20"/>
          <w:color w:val="auto"/>
        </w:rPr>
      </w:pPr>
    </w:p>
    <w:p>
      <w:pPr>
        <w:ind w:right="580"/>
        <w:spacing w:after="0" w:line="264" w:lineRule="auto"/>
        <w:rPr>
          <w:sz w:val="20"/>
          <w:szCs w:val="20"/>
          <w:color w:val="auto"/>
        </w:rPr>
      </w:pPr>
      <w:r>
        <w:rPr>
          <w:rFonts w:ascii="Arial" w:cs="Arial" w:eastAsia="Arial" w:hAnsi="Arial"/>
          <w:sz w:val="19"/>
          <w:szCs w:val="19"/>
          <w:color w:val="auto"/>
        </w:rPr>
        <w:t>The results of operations data in the following tables for the periods presented have been derived from the unaudited condensed consolidated financial statements included elsewhere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Comparison of Three Months Ended September 30, 2022 and 2021</w:t>
      </w:r>
    </w:p>
    <w:p>
      <w:pPr>
        <w:spacing w:after="0" w:line="246" w:lineRule="exact"/>
        <w:rPr>
          <w:sz w:val="20"/>
          <w:szCs w:val="20"/>
          <w:color w:val="auto"/>
        </w:rPr>
      </w:pPr>
    </w:p>
    <w:p>
      <w:pPr>
        <w:ind w:right="620"/>
        <w:spacing w:after="0" w:line="355" w:lineRule="auto"/>
        <w:rPr>
          <w:sz w:val="20"/>
          <w:szCs w:val="20"/>
          <w:color w:val="auto"/>
        </w:rPr>
      </w:pPr>
      <w:r>
        <w:rPr>
          <w:rFonts w:ascii="Arial" w:cs="Arial" w:eastAsia="Arial" w:hAnsi="Arial"/>
          <w:sz w:val="17"/>
          <w:szCs w:val="17"/>
          <w:color w:val="auto"/>
        </w:rPr>
        <w:t>The following table sets forth our statements of operations for the three months ended September 30, 2022 and 2021, including amounts and percentages of net sales for each period and the period-to-period change in dollars and percent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0" w:type="dxa"/>
            <w:vAlign w:val="bottom"/>
            <w:gridSpan w:val="8"/>
          </w:tcPr>
          <w:p>
            <w:pPr>
              <w:jc w:val="center"/>
              <w:spacing w:after="0"/>
              <w:rPr>
                <w:sz w:val="20"/>
                <w:szCs w:val="20"/>
                <w:color w:val="auto"/>
              </w:rPr>
            </w:pPr>
            <w:r>
              <w:rPr>
                <w:rFonts w:ascii="Arial" w:cs="Arial" w:eastAsia="Arial" w:hAnsi="Arial"/>
                <w:sz w:val="17"/>
                <w:szCs w:val="17"/>
                <w:b w:val="1"/>
                <w:bCs w:val="1"/>
                <w:color w:val="auto"/>
                <w:w w:val="90"/>
              </w:rPr>
              <w:t>Three months ended September 30,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2022</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2021</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3"/>
          </w:tcPr>
          <w:p>
            <w:pPr>
              <w:jc w:val="right"/>
              <w:ind w:right="614"/>
              <w:spacing w:after="0"/>
              <w:rPr>
                <w:sz w:val="20"/>
                <w:szCs w:val="20"/>
                <w:color w:val="auto"/>
              </w:rPr>
            </w:pPr>
            <w:r>
              <w:rPr>
                <w:rFonts w:ascii="Arial" w:cs="Arial" w:eastAsia="Arial" w:hAnsi="Arial"/>
                <w:sz w:val="17"/>
                <w:szCs w:val="17"/>
                <w:b w:val="1"/>
                <w:bCs w:val="1"/>
                <w:color w:val="auto"/>
              </w:rPr>
              <w:t>Period change</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7"/>
                <w:szCs w:val="17"/>
                <w:b w:val="1"/>
                <w:bCs w:val="1"/>
                <w:color w:val="auto"/>
              </w:rPr>
              <w:t>Amount</w:t>
            </w:r>
          </w:p>
        </w:tc>
        <w:tc>
          <w:tcPr>
            <w:tcW w:w="960" w:type="dxa"/>
            <w:vAlign w:val="bottom"/>
          </w:tcPr>
          <w:p>
            <w:pPr>
              <w:jc w:val="right"/>
              <w:ind w:right="214"/>
              <w:spacing w:after="0"/>
              <w:rPr>
                <w:sz w:val="20"/>
                <w:szCs w:val="20"/>
                <w:color w:val="auto"/>
              </w:rPr>
            </w:pPr>
            <w:r>
              <w:rPr>
                <w:rFonts w:ascii="Arial" w:cs="Arial" w:eastAsia="Arial" w:hAnsi="Arial"/>
                <w:sz w:val="17"/>
                <w:szCs w:val="17"/>
                <w:b w:val="1"/>
                <w:bCs w:val="1"/>
                <w:color w:val="auto"/>
              </w:rPr>
              <w:t>Percent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ind w:left="80"/>
              <w:spacing w:after="0"/>
              <w:rPr>
                <w:sz w:val="20"/>
                <w:szCs w:val="20"/>
                <w:color w:val="auto"/>
              </w:rPr>
            </w:pPr>
            <w:r>
              <w:rPr>
                <w:rFonts w:ascii="Arial" w:cs="Arial" w:eastAsia="Arial" w:hAnsi="Arial"/>
                <w:sz w:val="17"/>
                <w:szCs w:val="17"/>
                <w:b w:val="1"/>
                <w:bCs w:val="1"/>
                <w:color w:val="auto"/>
              </w:rPr>
              <w:t>Amount</w:t>
            </w:r>
          </w:p>
        </w:tc>
        <w:tc>
          <w:tcPr>
            <w:tcW w:w="1040" w:type="dxa"/>
            <w:vAlign w:val="bottom"/>
            <w:gridSpan w:val="3"/>
          </w:tcPr>
          <w:p>
            <w:pPr>
              <w:ind w:left="80"/>
              <w:spacing w:after="0"/>
              <w:rPr>
                <w:sz w:val="20"/>
                <w:szCs w:val="20"/>
                <w:color w:val="auto"/>
              </w:rPr>
            </w:pPr>
            <w:r>
              <w:rPr>
                <w:rFonts w:ascii="Arial" w:cs="Arial" w:eastAsia="Arial" w:hAnsi="Arial"/>
                <w:sz w:val="17"/>
                <w:szCs w:val="17"/>
                <w:b w:val="1"/>
                <w:bCs w:val="1"/>
                <w:color w:val="auto"/>
              </w:rPr>
              <w:t>Percent</w:t>
            </w:r>
          </w:p>
        </w:tc>
        <w:tc>
          <w:tcPr>
            <w:tcW w:w="18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Condensed consolidated statements of operations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data:</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Net sales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111,405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100.0 %</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95,239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16,166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45.3 %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47,224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49.6 %</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r>
        <w:trPr>
          <w:trHeight w:val="223"/>
        </w:trPr>
        <w:tc>
          <w:tcPr>
            <w:tcW w:w="3800" w:type="dxa"/>
            <w:vAlign w:val="bottom"/>
          </w:tcPr>
          <w:p>
            <w:pPr>
              <w:ind w:left="440"/>
              <w:spacing w:after="0"/>
              <w:rPr>
                <w:sz w:val="20"/>
                <w:szCs w:val="20"/>
                <w:color w:val="auto"/>
              </w:rPr>
            </w:pPr>
            <w:r>
              <w:rPr>
                <w:rFonts w:ascii="Arial" w:cs="Arial" w:eastAsia="Arial" w:hAnsi="Arial"/>
                <w:sz w:val="17"/>
                <w:szCs w:val="17"/>
                <w:b w:val="1"/>
                <w:bCs w:val="1"/>
                <w:color w:val="auto"/>
              </w:rPr>
              <w:t>Gross profit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54.7 %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48,015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50.4 %</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26.9 %</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54,615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49.0 %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38,147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40.1 %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16,468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43.2 %</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1,134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223"/>
        </w:trPr>
        <w:tc>
          <w:tcPr>
            <w:tcW w:w="3800" w:type="dxa"/>
            <w:vAlign w:val="bottom"/>
          </w:tcPr>
          <w:p>
            <w:pPr>
              <w:ind w:left="440"/>
              <w:spacing w:after="0"/>
              <w:rPr>
                <w:sz w:val="20"/>
                <w:szCs w:val="20"/>
                <w:color w:val="auto"/>
              </w:rPr>
            </w:pPr>
            <w:r>
              <w:rPr>
                <w:rFonts w:ascii="Arial" w:cs="Arial" w:eastAsia="Arial" w:hAnsi="Arial"/>
                <w:sz w:val="17"/>
                <w:szCs w:val="17"/>
                <w:b w:val="1"/>
                <w:bCs w:val="1"/>
                <w:color w:val="auto"/>
              </w:rPr>
              <w:t>Net income before tax</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4.2 %</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48.0 %</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682.6 %</w:t>
            </w:r>
          </w:p>
        </w:tc>
        <w:tc>
          <w:tcPr>
            <w:tcW w:w="0" w:type="dxa"/>
            <w:vAlign w:val="bottom"/>
          </w:tcPr>
          <w:p>
            <w:pPr>
              <w:spacing w:after="0"/>
              <w:rPr>
                <w:sz w:val="1"/>
                <w:szCs w:val="1"/>
                <w:color w:val="auto"/>
              </w:rPr>
            </w:pPr>
          </w:p>
        </w:tc>
      </w:tr>
      <w:tr>
        <w:trPr>
          <w:trHeight w:val="223"/>
        </w:trPr>
        <w:tc>
          <w:tcPr>
            <w:tcW w:w="3800" w:type="dxa"/>
            <w:vAlign w:val="bottom"/>
          </w:tcPr>
          <w:p>
            <w:pPr>
              <w:ind w:left="44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3,962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4.2 %</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44.3 %</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allocable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30.2 %</w:t>
            </w:r>
          </w:p>
        </w:tc>
        <w:tc>
          <w:tcPr>
            <w:tcW w:w="0" w:type="dxa"/>
            <w:vAlign w:val="bottom"/>
          </w:tcPr>
          <w:p>
            <w:pPr>
              <w:spacing w:after="0"/>
              <w:rPr>
                <w:sz w:val="1"/>
                <w:szCs w:val="1"/>
                <w:color w:val="auto"/>
              </w:rPr>
            </w:pPr>
          </w:p>
        </w:tc>
      </w:tr>
      <w:tr>
        <w:trPr>
          <w:trHeight w:val="207"/>
        </w:trPr>
        <w:tc>
          <w:tcPr>
            <w:tcW w:w="3800" w:type="dxa"/>
            <w:vAlign w:val="bottom"/>
          </w:tcPr>
          <w:p>
            <w:pPr>
              <w:ind w:left="440"/>
              <w:spacing w:after="0"/>
              <w:rPr>
                <w:sz w:val="20"/>
                <w:szCs w:val="20"/>
                <w:color w:val="auto"/>
              </w:rPr>
            </w:pPr>
            <w:r>
              <w:rPr>
                <w:rFonts w:ascii="Arial" w:cs="Arial" w:eastAsia="Arial" w:hAnsi="Arial"/>
                <w:sz w:val="17"/>
                <w:szCs w:val="17"/>
                <w:b w:val="1"/>
                <w:bCs w:val="1"/>
                <w:color w:val="auto"/>
              </w:rPr>
              <w:t>Net income allocable to Brilliant Earth</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0.6 %</w:t>
            </w:r>
          </w:p>
        </w:tc>
        <w:tc>
          <w:tcPr>
            <w:tcW w:w="8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0.1 %</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4"/>
        </w:trPr>
        <w:tc>
          <w:tcPr>
            <w:tcW w:w="3800" w:type="dxa"/>
            <w:vAlign w:val="bottom"/>
          </w:tcPr>
          <w:p>
            <w:pPr>
              <w:ind w:left="440"/>
              <w:spacing w:after="0"/>
              <w:rPr>
                <w:sz w:val="20"/>
                <w:szCs w:val="20"/>
                <w:color w:val="auto"/>
              </w:rPr>
            </w:pPr>
            <w:r>
              <w:rPr>
                <w:rFonts w:ascii="Arial" w:cs="Arial" w:eastAsia="Arial" w:hAnsi="Arial"/>
                <w:sz w:val="17"/>
                <w:szCs w:val="17"/>
                <w:b w:val="1"/>
                <w:bCs w:val="1"/>
                <w:color w:val="auto"/>
              </w:rPr>
              <w:t>Group, Inc.</w:t>
            </w: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31515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51505" cy="825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may not sum due to rounding</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6" w:name="page47"/>
    <w:bookmarkEnd w:id="46"/>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Sales</w:t>
      </w:r>
    </w:p>
    <w:p>
      <w:pPr>
        <w:spacing w:after="0" w:line="2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sales for the three months ended September 30, 2022 increased by $16.2 million, or 17.0%, compared to the three months ended September 30, 2021. We experienced increases in net sales across our products, primarily driven by a 28.1% increase in order volumes due to:</w:t>
      </w:r>
    </w:p>
    <w:p>
      <w:pPr>
        <w:spacing w:after="0" w:line="1"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3"/>
          <w:szCs w:val="13"/>
          <w:color w:val="auto"/>
        </w:rPr>
      </w:pPr>
      <w:r>
        <w:rPr>
          <w:rFonts w:ascii="Arial" w:cs="Arial" w:eastAsia="Arial" w:hAnsi="Arial"/>
          <w:sz w:val="19"/>
          <w:szCs w:val="19"/>
          <w:color w:val="auto"/>
        </w:rPr>
        <w:t>continued efficiency of our customer acquisition and conversion activities;</w:t>
      </w:r>
    </w:p>
    <w:p>
      <w:pPr>
        <w:spacing w:after="0" w:line="5" w:lineRule="exact"/>
        <w:rPr>
          <w:rFonts w:ascii="Arial" w:cs="Arial" w:eastAsia="Arial" w:hAnsi="Arial"/>
          <w:sz w:val="13"/>
          <w:szCs w:val="13"/>
          <w:color w:val="auto"/>
        </w:rPr>
      </w:pPr>
    </w:p>
    <w:p>
      <w:pPr>
        <w:ind w:left="620" w:hanging="307"/>
        <w:spacing w:after="0"/>
        <w:tabs>
          <w:tab w:leader="none" w:pos="620" w:val="left"/>
        </w:tabs>
        <w:numPr>
          <w:ilvl w:val="0"/>
          <w:numId w:val="12"/>
        </w:numPr>
        <w:rPr>
          <w:rFonts w:ascii="Arial" w:cs="Arial" w:eastAsia="Arial" w:hAnsi="Arial"/>
          <w:sz w:val="12"/>
          <w:szCs w:val="12"/>
          <w:color w:val="auto"/>
        </w:rPr>
      </w:pPr>
      <w:r>
        <w:rPr>
          <w:rFonts w:ascii="Arial" w:cs="Arial" w:eastAsia="Arial" w:hAnsi="Arial"/>
          <w:sz w:val="17"/>
          <w:szCs w:val="17"/>
          <w:color w:val="auto"/>
        </w:rPr>
        <w:t>an increase in orders driven by strong omnichannel performance across the Company's products and new product collection releases; and</w:t>
      </w:r>
    </w:p>
    <w:p>
      <w:pPr>
        <w:spacing w:after="0" w:line="41" w:lineRule="exact"/>
        <w:rPr>
          <w:rFonts w:ascii="Arial" w:cs="Arial" w:eastAsia="Arial" w:hAnsi="Arial"/>
          <w:sz w:val="12"/>
          <w:szCs w:val="12"/>
          <w:color w:val="auto"/>
        </w:rPr>
      </w:pPr>
    </w:p>
    <w:p>
      <w:pPr>
        <w:ind w:left="620" w:hanging="307"/>
        <w:spacing w:after="0"/>
        <w:tabs>
          <w:tab w:leader="none" w:pos="620" w:val="left"/>
        </w:tabs>
        <w:numPr>
          <w:ilvl w:val="0"/>
          <w:numId w:val="12"/>
        </w:numPr>
        <w:rPr>
          <w:rFonts w:ascii="Arial" w:cs="Arial" w:eastAsia="Arial" w:hAnsi="Arial"/>
          <w:sz w:val="13"/>
          <w:szCs w:val="13"/>
          <w:color w:val="auto"/>
        </w:rPr>
      </w:pPr>
      <w:r>
        <w:rPr>
          <w:rFonts w:ascii="Arial" w:cs="Arial" w:eastAsia="Arial" w:hAnsi="Arial"/>
          <w:sz w:val="19"/>
          <w:szCs w:val="19"/>
          <w:color w:val="auto"/>
        </w:rPr>
        <w:t>the opening of new showrooms.</w:t>
      </w:r>
    </w:p>
    <w:p>
      <w:pPr>
        <w:spacing w:after="0" w:line="246" w:lineRule="exact"/>
        <w:rPr>
          <w:sz w:val="20"/>
          <w:szCs w:val="20"/>
          <w:color w:val="auto"/>
        </w:rPr>
      </w:pPr>
    </w:p>
    <w:p>
      <w:pPr>
        <w:ind w:right="560"/>
        <w:spacing w:after="0" w:line="278" w:lineRule="auto"/>
        <w:rPr>
          <w:sz w:val="20"/>
          <w:szCs w:val="20"/>
          <w:color w:val="auto"/>
        </w:rPr>
      </w:pPr>
      <w:r>
        <w:rPr>
          <w:rFonts w:ascii="Arial" w:cs="Arial" w:eastAsia="Arial" w:hAnsi="Arial"/>
          <w:sz w:val="19"/>
          <w:szCs w:val="19"/>
          <w:color w:val="auto"/>
        </w:rPr>
        <w:t>The increase in net sales was partially offset by a decline of 8.7% in AOV driven by an increase in sales of lower price point fine jewelry and wedding bands.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Gross Profit</w:t>
      </w:r>
    </w:p>
    <w:p>
      <w:pPr>
        <w:spacing w:after="0" w:line="246"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color w:val="auto"/>
        </w:rPr>
        <w:t>Gross profit for the three months ended September 30, 2022 increased by $12.9 million, or 26.9%, compared to the three months ended September 30, 2021. Gross margin, expressed as a percentage and calculated as gross profit divided by net sales, increased by 430 basis points for the three months ended September 30, 2022 compared to the three months ended September 30, 2021, primarily driven by our premium brand and differentiated product offerings, performance of our pricing engine, procurement efficiencies and benefits from our enhanced extended warranty program. Gross margin improvements were also due to reduced average platinum spot prices of 13.1% and reduced average gold spot prices of 3.3% for the three months ended September 30, 2022 as compared to the three months ended September 30, 2021.</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Selling, General and Administrative Expenses</w:t>
      </w:r>
    </w:p>
    <w:p>
      <w:pPr>
        <w:spacing w:after="0" w:line="24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Selling, general and administrative (“SG&amp;A”) expenses for the three months ended September 30, 2022 increased by $16.5 million, or 43.2% compared to the three months ended September 30, 2021. SG&amp;A expenses as a percentage of net sales increased by 890 basis points for the quarter ended September 30, 2022 compared to the quarter ended September 30, 2021. The increase in SG&amp;A expenses was driven by an increase in employment expenses, marketing expenses and other selling, general and administrative expense, which increased by $7.0 million, $6.8 million, and $2.7 million, respectively, from the quarter ended September 30, 2021 to the quarter ended September 30, 2022. The increase in employment expenses was driven by a $5.4 million increase in salaries and wages, payroll taxes and other benefits expense due to the addition of corporate and showroom staff and a $1.6 million increase in equity-based compensation. The increase in marketing expenses was driven by increased investments in marketing and advertising to increase brand awareness and support strategic growth initiatives. The increase in other general and administrative expenses was principally driven by a $2.1 million increase in public company operating costs and other costs to support our growth, a $0.9 million increase in merchant bank fees, packaging supplies and other variable expenses due to revenue growth, a $0.5 million increase in rent expense, partially offset by an $0.7 million decrease in pre-opening expenses from the opening of new showrooms.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259"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color w:val="auto"/>
        </w:rPr>
        <w:t>Interest expense for the three months ended September 30, 2022 decreased by $1.1 million, or 59.3% compared to the three months ended September 30, 2021, primarily due to a reduction in the interest rate to approximately 4.1% pursuant to the SVB Credit Agreement (defined below) executed on May 24, 2022.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246" w:lineRule="exact"/>
        <w:rPr>
          <w:sz w:val="20"/>
          <w:szCs w:val="20"/>
          <w:color w:val="auto"/>
        </w:rPr>
      </w:pPr>
    </w:p>
    <w:p>
      <w:pPr>
        <w:jc w:val="both"/>
        <w:ind w:right="40"/>
        <w:spacing w:after="0" w:line="320" w:lineRule="auto"/>
        <w:rPr>
          <w:sz w:val="20"/>
          <w:szCs w:val="20"/>
          <w:color w:val="auto"/>
        </w:rPr>
      </w:pPr>
      <w:r>
        <w:rPr>
          <w:rFonts w:ascii="Arial" w:cs="Arial" w:eastAsia="Arial" w:hAnsi="Arial"/>
          <w:sz w:val="17"/>
          <w:szCs w:val="17"/>
          <w:color w:val="auto"/>
        </w:rPr>
        <w:t>Other income, net for the three months ended September 30, 2022 increased by $4.3 million, or 109.4% primarily related to expense recorded as the result of the change in the fair market value of the warrant liability during the third quarter of 2021. Additionally, the Company earned more interest and other miscellaneous income in the three months ended September 30, 2022 compared to three months ended September 30, 2021.</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Comparison of Nine Months Ended September 30, 2022 and 2021</w:t>
      </w:r>
    </w:p>
    <w:p>
      <w:pPr>
        <w:spacing w:after="0" w:line="246" w:lineRule="exact"/>
        <w:rPr>
          <w:sz w:val="20"/>
          <w:szCs w:val="20"/>
          <w:color w:val="auto"/>
        </w:rPr>
      </w:pPr>
    </w:p>
    <w:p>
      <w:pPr>
        <w:ind w:right="680"/>
        <w:spacing w:after="0" w:line="324" w:lineRule="auto"/>
        <w:rPr>
          <w:sz w:val="20"/>
          <w:szCs w:val="20"/>
          <w:color w:val="auto"/>
        </w:rPr>
      </w:pPr>
      <w:r>
        <w:rPr>
          <w:rFonts w:ascii="Arial" w:cs="Arial" w:eastAsia="Arial" w:hAnsi="Arial"/>
          <w:sz w:val="17"/>
          <w:szCs w:val="17"/>
          <w:color w:val="auto"/>
        </w:rPr>
        <w:t>The following table sets forth our statements of operations for the nine months ended September 30, 2022 and 2021, including amounts and percentages of net sales for each period and the period-to-period change in dollars and percent (amounts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0" w:type="dxa"/>
            <w:vAlign w:val="bottom"/>
            <w:gridSpan w:val="7"/>
          </w:tcPr>
          <w:p>
            <w:pPr>
              <w:jc w:val="center"/>
              <w:spacing w:after="0"/>
              <w:rPr>
                <w:sz w:val="20"/>
                <w:szCs w:val="20"/>
                <w:color w:val="auto"/>
              </w:rPr>
            </w:pPr>
            <w:r>
              <w:rPr>
                <w:rFonts w:ascii="Arial" w:cs="Arial" w:eastAsia="Arial" w:hAnsi="Arial"/>
                <w:sz w:val="17"/>
                <w:szCs w:val="17"/>
                <w:b w:val="1"/>
                <w:bCs w:val="1"/>
                <w:color w:val="auto"/>
                <w:w w:val="90"/>
              </w:rPr>
              <w:t>Nine months ended September 30,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2022</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2021</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594"/>
              <w:spacing w:after="0"/>
              <w:rPr>
                <w:sz w:val="20"/>
                <w:szCs w:val="20"/>
                <w:color w:val="auto"/>
              </w:rPr>
            </w:pPr>
            <w:r>
              <w:rPr>
                <w:rFonts w:ascii="Arial" w:cs="Arial" w:eastAsia="Arial" w:hAnsi="Arial"/>
                <w:sz w:val="17"/>
                <w:szCs w:val="17"/>
                <w:b w:val="1"/>
                <w:bCs w:val="1"/>
                <w:color w:val="auto"/>
              </w:rPr>
              <w:t>Period change</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7"/>
                <w:szCs w:val="17"/>
                <w:b w:val="1"/>
                <w:bCs w:val="1"/>
                <w:color w:val="auto"/>
              </w:rPr>
              <w:t>Amount</w:t>
            </w:r>
          </w:p>
        </w:tc>
        <w:tc>
          <w:tcPr>
            <w:tcW w:w="960" w:type="dxa"/>
            <w:vAlign w:val="bottom"/>
          </w:tcPr>
          <w:p>
            <w:pPr>
              <w:jc w:val="right"/>
              <w:ind w:right="214"/>
              <w:spacing w:after="0"/>
              <w:rPr>
                <w:sz w:val="20"/>
                <w:szCs w:val="20"/>
                <w:color w:val="auto"/>
              </w:rPr>
            </w:pPr>
            <w:r>
              <w:rPr>
                <w:rFonts w:ascii="Arial" w:cs="Arial" w:eastAsia="Arial" w:hAnsi="Arial"/>
                <w:sz w:val="17"/>
                <w:szCs w:val="17"/>
                <w:b w:val="1"/>
                <w:bCs w:val="1"/>
                <w:color w:val="auto"/>
              </w:rPr>
              <w:t>Percent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1040" w:type="dxa"/>
            <w:vAlign w:val="bottom"/>
            <w:gridSpan w:val="2"/>
          </w:tcPr>
          <w:p>
            <w:pPr>
              <w:ind w:left="100"/>
              <w:spacing w:after="0"/>
              <w:rPr>
                <w:sz w:val="20"/>
                <w:szCs w:val="20"/>
                <w:color w:val="auto"/>
              </w:rPr>
            </w:pPr>
            <w:r>
              <w:rPr>
                <w:rFonts w:ascii="Arial" w:cs="Arial" w:eastAsia="Arial" w:hAnsi="Arial"/>
                <w:sz w:val="17"/>
                <w:szCs w:val="17"/>
                <w:b w:val="1"/>
                <w:bCs w:val="1"/>
                <w:color w:val="auto"/>
              </w:rPr>
              <w:t>Percent</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Condensed consolidated statements of operations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data:</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Net sales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320,252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100.0 %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258,283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61,969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24.0 %</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151,397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133,148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23"/>
        </w:trPr>
        <w:tc>
          <w:tcPr>
            <w:tcW w:w="3800" w:type="dxa"/>
            <w:vAlign w:val="bottom"/>
          </w:tcPr>
          <w:p>
            <w:pPr>
              <w:ind w:left="440"/>
              <w:spacing w:after="0"/>
              <w:rPr>
                <w:sz w:val="20"/>
                <w:szCs w:val="20"/>
                <w:color w:val="auto"/>
              </w:rPr>
            </w:pPr>
            <w:r>
              <w:rPr>
                <w:rFonts w:ascii="Arial" w:cs="Arial" w:eastAsia="Arial" w:hAnsi="Arial"/>
                <w:sz w:val="17"/>
                <w:szCs w:val="17"/>
                <w:b w:val="1"/>
                <w:bCs w:val="1"/>
                <w:color w:val="auto"/>
              </w:rPr>
              <w:t>Gross profit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168,855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52.7 %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125,135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43,720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34.9 %</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97,961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37.9 %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53,615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54.7 %</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(9,895)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2,086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7"/>
                <w:szCs w:val="17"/>
                <w:color w:val="auto"/>
              </w:rPr>
              <w:t>Loss on extinguishment of debt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(617)</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Net income before tax</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Net income allocable to non-controlling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(3,368)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Net income allocable to Brilliant Earth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4"/>
        </w:trPr>
        <w:tc>
          <w:tcPr>
            <w:tcW w:w="38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Group, Inc.</w:t>
            </w:r>
          </w:p>
        </w:tc>
        <w:tc>
          <w:tcPr>
            <w:tcW w:w="1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31515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51505" cy="825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may not sum due to rounding</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Sales</w:t>
      </w:r>
    </w:p>
    <w:p>
      <w:pPr>
        <w:spacing w:after="0" w:line="246" w:lineRule="exact"/>
        <w:rPr>
          <w:sz w:val="20"/>
          <w:szCs w:val="20"/>
          <w:color w:val="auto"/>
        </w:rPr>
      </w:pPr>
    </w:p>
    <w:p>
      <w:pPr>
        <w:ind w:right="160"/>
        <w:spacing w:after="0" w:line="251" w:lineRule="auto"/>
        <w:rPr>
          <w:sz w:val="20"/>
          <w:szCs w:val="20"/>
          <w:color w:val="auto"/>
        </w:rPr>
      </w:pPr>
      <w:r>
        <w:rPr>
          <w:rFonts w:ascii="Arial" w:cs="Arial" w:eastAsia="Arial" w:hAnsi="Arial"/>
          <w:sz w:val="19"/>
          <w:szCs w:val="19"/>
          <w:color w:val="auto"/>
        </w:rPr>
        <w:t>Net sales for the nine months ended September 30, 2022 increased by $62.0 million, or 24.0%, compared to the nine months ended September 30, 2021. We experienced increases in net sales across our products, and in both domestic and international markets, primarily driven by a 33.0% increase in order volumes due to:</w:t>
      </w:r>
    </w:p>
    <w:p>
      <w:pPr>
        <w:spacing w:after="0" w:line="1"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3"/>
          <w:szCs w:val="13"/>
          <w:color w:val="auto"/>
        </w:rPr>
      </w:pPr>
      <w:r>
        <w:rPr>
          <w:rFonts w:ascii="Arial" w:cs="Arial" w:eastAsia="Arial" w:hAnsi="Arial"/>
          <w:sz w:val="19"/>
          <w:szCs w:val="19"/>
          <w:color w:val="auto"/>
        </w:rPr>
        <w:t>continued efficiency of our customer acquisition and conversion activities;</w:t>
      </w:r>
    </w:p>
    <w:p>
      <w:pPr>
        <w:spacing w:after="0" w:line="5" w:lineRule="exact"/>
        <w:rPr>
          <w:rFonts w:ascii="Arial" w:cs="Arial" w:eastAsia="Arial" w:hAnsi="Arial"/>
          <w:sz w:val="13"/>
          <w:szCs w:val="13"/>
          <w:color w:val="auto"/>
        </w:rPr>
      </w:pPr>
    </w:p>
    <w:p>
      <w:pPr>
        <w:ind w:left="620" w:hanging="307"/>
        <w:spacing w:after="0"/>
        <w:tabs>
          <w:tab w:leader="none" w:pos="620" w:val="left"/>
        </w:tabs>
        <w:numPr>
          <w:ilvl w:val="0"/>
          <w:numId w:val="13"/>
        </w:numPr>
        <w:rPr>
          <w:rFonts w:ascii="Arial" w:cs="Arial" w:eastAsia="Arial" w:hAnsi="Arial"/>
          <w:sz w:val="12"/>
          <w:szCs w:val="12"/>
          <w:color w:val="auto"/>
        </w:rPr>
      </w:pPr>
      <w:r>
        <w:rPr>
          <w:rFonts w:ascii="Arial" w:cs="Arial" w:eastAsia="Arial" w:hAnsi="Arial"/>
          <w:sz w:val="17"/>
          <w:szCs w:val="17"/>
          <w:color w:val="auto"/>
        </w:rPr>
        <w:t>an increase in orders driven by strong omnichannel performance across the Company's products and new product collection releases; and</w:t>
      </w:r>
    </w:p>
    <w:p>
      <w:pPr>
        <w:spacing w:after="0" w:line="36" w:lineRule="exact"/>
        <w:rPr>
          <w:rFonts w:ascii="Arial" w:cs="Arial" w:eastAsia="Arial" w:hAnsi="Arial"/>
          <w:sz w:val="12"/>
          <w:szCs w:val="12"/>
          <w:color w:val="auto"/>
        </w:rPr>
      </w:pPr>
    </w:p>
    <w:p>
      <w:pPr>
        <w:ind w:left="620" w:hanging="307"/>
        <w:spacing w:after="0"/>
        <w:tabs>
          <w:tab w:leader="none" w:pos="620" w:val="left"/>
        </w:tabs>
        <w:numPr>
          <w:ilvl w:val="0"/>
          <w:numId w:val="13"/>
        </w:numPr>
        <w:rPr>
          <w:rFonts w:ascii="Arial" w:cs="Arial" w:eastAsia="Arial" w:hAnsi="Arial"/>
          <w:sz w:val="13"/>
          <w:szCs w:val="13"/>
          <w:color w:val="auto"/>
        </w:rPr>
      </w:pPr>
      <w:r>
        <w:rPr>
          <w:rFonts w:ascii="Arial" w:cs="Arial" w:eastAsia="Arial" w:hAnsi="Arial"/>
          <w:sz w:val="19"/>
          <w:szCs w:val="19"/>
          <w:color w:val="auto"/>
        </w:rPr>
        <w:t>the opening of new showrooms.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was partially offset by a decline of 6.8% in AOV driven by an increase in sales of lower price point fine jewelry.</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Gross Profit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nine months ended September 30, 2022 increased by $43.7 million, or 34.9%, compared to the nine months ended</w:t>
      </w:r>
    </w:p>
    <w:p>
      <w:pPr>
        <w:spacing w:after="0" w:line="3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September 30, 2021. Gross margin, expressed as a percentage and calculated as gross profit divided by net sales, increased by 430 basis points for the nine months ended September 30, 2022 compared to the nine months ended September 30, 2021, primarily driven by our premium brand and differentiated product offerings, performance of our pricing engine, procurement efficiencies and benefits from our enhanced extended warranty program. Gross margin improvements were also due to reduced average platinum spot prices of 14.7%, partially offset by higher average gold spot prices of 1.4% for the nine months ended September 30, 2022 as compared to the nine months ended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Selling, General and Administrative Expenses</w:t>
      </w:r>
    </w:p>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SG&amp;A expenses for the nine months ended September 30, 2022 increased by $53.6 million, or 54.7% compared to the nine months ended September 30, 2021. SG&amp;A expenses as a percentage of net sales increased by 940 basis points for the period ended September 30, 2022 compared to the period ended September 30, 2021. The increase in SG&amp;A expenses was driven by an increase in employment expenses, marketing expenses and other general and administrative expenses, which increased by $22.1 million, $19.6 million and $11.9 million, respectively, from the nine months ended September 30, 2021 to the nine months ended September 30, 2022. The increase in employment expenses was driven by a $16.4 million increase in salaries and wages, payroll taxes and other benefits expense due to the addition of corporate and showroom staff and a $5.7 million increase in equity-based compensation. The increase in marketing expenses was driven by increased investments in marketing and advertising to increase brand awareness and support strategic growth initiatives. The increase in other general and administrative expenses was principally driven by a $6.2 million increase in public company operating costs and other costs to support our growth, a $2.7 million increase in merchant bank fees, packaging supplies and other variable expenses due to revenue growth, a $1.9 million increase in rent and occupancy expenses, and $0.6 million increase in office supplies and other 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49" w:name="page50"/>
    <w:bookmarkEnd w:id="49"/>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Interest expense for the nine months ended September 30, 2022 decreased by $2.1 million, or 36.1% compared to the nine months ended September 30, 2021, primarily due to a decrease in the interest rate pursuant to the third amendment of the Runway Term Loan Agreement with the previous lender, executed during the third quarter of 2021, which reduced the variable interest rate from 8.25% to 7.75%, and the LIBOR floor from 1.00% to 0.50%, and a reduction in the interest rate to approximately 4.1% pursuant to the SVB Credit Agreement (defined below) executed on May 24, 2022.</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246"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Other income, net for the nine months ended September 30, 2022 increased by $6.8 million, or 104.1% primarily due to an expense of $6.3 million recorded that was related to the change in the fair market value of the warrant liability recognized during the nine months ended September 30, 2021. Additionally, the Company earned more interest and other miscellaneous income in the nine months ended September 30, 2022 compared to nine months ended September 30, 2021.</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w:t>
      </w:r>
    </w:p>
    <w:p>
      <w:pPr>
        <w:spacing w:after="0" w:line="239" w:lineRule="exact"/>
        <w:rPr>
          <w:sz w:val="20"/>
          <w:szCs w:val="20"/>
          <w:color w:val="auto"/>
        </w:rPr>
      </w:pPr>
    </w:p>
    <w:p>
      <w:pPr>
        <w:ind w:right="680"/>
        <w:spacing w:after="0" w:line="278" w:lineRule="auto"/>
        <w:rPr>
          <w:sz w:val="20"/>
          <w:szCs w:val="20"/>
          <w:color w:val="auto"/>
        </w:rPr>
      </w:pPr>
      <w:r>
        <w:rPr>
          <w:rFonts w:ascii="Arial" w:cs="Arial" w:eastAsia="Arial" w:hAnsi="Arial"/>
          <w:sz w:val="19"/>
          <w:szCs w:val="19"/>
          <w:color w:val="auto"/>
        </w:rPr>
        <w:t>Our business is subject to seasonal fluctuation with a typical increase in sales around the holiday season, with the fourth quarter historically representing approximately 30% of annual net sales and a high percentage of annual net income.</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EBITDA and Adjusted EBITDA Margin</w:t>
      </w:r>
    </w:p>
    <w:p>
      <w:pPr>
        <w:spacing w:after="0" w:line="233"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Adjusted EBITDA and Adjusted EBITDA margin are included in this Quarterly Report on Form 10-Q because they are non-GAAP financial measures used by management and our board of directors to assess our financial performance. We define Adjusted EBITDA as net income excluding interest expense, income taxes, depreciation expense, amortization of cloud-based software implementation costs, equity-based compensation expense, showroom pre-opening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254" w:lineRule="exact"/>
        <w:rPr>
          <w:sz w:val="20"/>
          <w:szCs w:val="20"/>
          <w:color w:val="auto"/>
        </w:rPr>
      </w:pPr>
    </w:p>
    <w:p>
      <w:pPr>
        <w:ind w:right="340"/>
        <w:spacing w:after="0" w:line="264" w:lineRule="auto"/>
        <w:rPr>
          <w:sz w:val="20"/>
          <w:szCs w:val="20"/>
          <w:color w:val="auto"/>
        </w:rPr>
      </w:pPr>
      <w:r>
        <w:rPr>
          <w:rFonts w:ascii="Arial" w:cs="Arial" w:eastAsia="Arial" w:hAnsi="Arial"/>
          <w:sz w:val="19"/>
          <w:szCs w:val="19"/>
          <w:color w:val="auto"/>
        </w:rPr>
        <w:t>The following table presents a reconciliation of net income and net income margin, the most comparable GAAP financial measures, to Adjusted EBITDA and Adjusted EBITDA margin, respectively, for the periods presented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gridSpan w:val="5"/>
          </w:tcPr>
          <w:p>
            <w:pPr>
              <w:ind w:left="52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9"/>
                <w:szCs w:val="19"/>
                <w:color w:val="auto"/>
              </w:rPr>
            </w:pPr>
          </w:p>
        </w:tc>
        <w:tc>
          <w:tcPr>
            <w:tcW w:w="3020" w:type="dxa"/>
            <w:vAlign w:val="bottom"/>
            <w:gridSpan w:val="4"/>
            <w:vMerge w:val="restart"/>
          </w:tcPr>
          <w:p>
            <w:pPr>
              <w:jc w:val="right"/>
              <w:ind w:right="294"/>
              <w:spacing w:after="0"/>
              <w:rPr>
                <w:sz w:val="20"/>
                <w:szCs w:val="20"/>
                <w:color w:val="auto"/>
              </w:rPr>
            </w:pPr>
            <w:r>
              <w:rPr>
                <w:rFonts w:ascii="Arial" w:cs="Arial" w:eastAsia="Arial" w:hAnsi="Arial"/>
                <w:sz w:val="17"/>
                <w:szCs w:val="17"/>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40"/>
        </w:trPr>
        <w:tc>
          <w:tcPr>
            <w:tcW w:w="46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5,719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3,962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12,839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14,847</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778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54"/>
              <w:spacing w:after="0"/>
              <w:rPr>
                <w:sz w:val="20"/>
                <w:szCs w:val="20"/>
                <w:color w:val="auto"/>
              </w:rPr>
            </w:pPr>
            <w:r>
              <w:rPr>
                <w:rFonts w:ascii="Arial" w:cs="Arial" w:eastAsia="Arial" w:hAnsi="Arial"/>
                <w:sz w:val="17"/>
                <w:szCs w:val="17"/>
                <w:color w:val="auto"/>
              </w:rPr>
              <w:t>1,912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3,700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5,786</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180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Depreciation expense</w:t>
            </w: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54"/>
              <w:spacing w:after="0"/>
              <w:rPr>
                <w:sz w:val="20"/>
                <w:szCs w:val="20"/>
                <w:color w:val="auto"/>
              </w:rPr>
            </w:pPr>
            <w:r>
              <w:rPr>
                <w:rFonts w:ascii="Arial" w:cs="Arial" w:eastAsia="Arial" w:hAnsi="Arial"/>
                <w:sz w:val="17"/>
                <w:szCs w:val="17"/>
                <w:color w:val="auto"/>
              </w:rPr>
              <w:t>215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1,248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cloud-based software implementation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Showroom pre-opening expense</w:t>
            </w: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796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54"/>
              <w:spacing w:after="0"/>
              <w:rPr>
                <w:sz w:val="20"/>
                <w:szCs w:val="20"/>
                <w:color w:val="auto"/>
              </w:rPr>
            </w:pPr>
            <w:r>
              <w:rPr>
                <w:rFonts w:ascii="Arial" w:cs="Arial" w:eastAsia="Arial" w:hAnsi="Arial"/>
                <w:sz w:val="17"/>
                <w:szCs w:val="17"/>
                <w:color w:val="auto"/>
              </w:rPr>
              <w:t>1,517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2,602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2,198</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2,311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684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6,563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3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(374)</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3,971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6,518</w:t>
            </w:r>
          </w:p>
        </w:tc>
        <w:tc>
          <w:tcPr>
            <w:tcW w:w="0" w:type="dxa"/>
            <w:vAlign w:val="bottom"/>
          </w:tcPr>
          <w:p>
            <w:pPr>
              <w:spacing w:after="0"/>
              <w:rPr>
                <w:sz w:val="1"/>
                <w:szCs w:val="1"/>
                <w:color w:val="auto"/>
              </w:rPr>
            </w:pPr>
          </w:p>
        </w:tc>
      </w:tr>
      <w:tr>
        <w:trPr>
          <w:trHeight w:val="271"/>
        </w:trPr>
        <w:tc>
          <w:tcPr>
            <w:tcW w:w="4640" w:type="dxa"/>
            <w:vAlign w:val="bottom"/>
          </w:tcPr>
          <w:p>
            <w:pPr>
              <w:ind w:left="20"/>
              <w:spacing w:after="0"/>
              <w:rPr>
                <w:sz w:val="20"/>
                <w:szCs w:val="20"/>
                <w:color w:val="auto"/>
              </w:rPr>
            </w:pPr>
            <w:r>
              <w:rPr>
                <w:rFonts w:ascii="Arial" w:cs="Arial" w:eastAsia="Arial" w:hAnsi="Arial"/>
                <w:sz w:val="17"/>
                <w:szCs w:val="17"/>
                <w:color w:val="auto"/>
              </w:rPr>
              <w:t xml:space="preserve">Transaction costs and other expense </w:t>
            </w:r>
            <w:r>
              <w:rPr>
                <w:rFonts w:ascii="Arial" w:cs="Arial" w:eastAsia="Arial" w:hAnsi="Arial"/>
                <w:sz w:val="22"/>
                <w:szCs w:val="22"/>
                <w:color w:val="auto"/>
                <w:vertAlign w:val="superscript"/>
              </w:rPr>
              <w:t>(2)</w:t>
            </w:r>
          </w:p>
        </w:tc>
        <w:tc>
          <w:tcPr>
            <w:tcW w:w="36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3"/>
                <w:szCs w:val="23"/>
                <w:color w:val="auto"/>
              </w:rPr>
            </w:pPr>
          </w:p>
        </w:tc>
        <w:tc>
          <w:tcPr>
            <w:tcW w:w="1040" w:type="dxa"/>
            <w:vAlign w:val="bottom"/>
          </w:tcPr>
          <w:p>
            <w:pPr>
              <w:jc w:val="right"/>
              <w:ind w:right="154"/>
              <w:spacing w:after="0"/>
              <w:rPr>
                <w:sz w:val="20"/>
                <w:szCs w:val="20"/>
                <w:color w:val="auto"/>
              </w:rPr>
            </w:pPr>
            <w:r>
              <w:rPr>
                <w:rFonts w:ascii="Arial" w:cs="Arial" w:eastAsia="Arial" w:hAnsi="Arial"/>
                <w:sz w:val="17"/>
                <w:szCs w:val="17"/>
                <w:color w:val="auto"/>
              </w:rPr>
              <w:t>1,281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54"/>
              <w:spacing w:after="0"/>
              <w:rPr>
                <w:sz w:val="20"/>
                <w:szCs w:val="20"/>
                <w:color w:val="auto"/>
              </w:rPr>
            </w:pPr>
            <w:r>
              <w:rPr>
                <w:rFonts w:ascii="Arial" w:cs="Arial" w:eastAsia="Arial" w:hAnsi="Arial"/>
                <w:sz w:val="17"/>
                <w:szCs w:val="17"/>
                <w:color w:val="auto"/>
              </w:rPr>
              <w:t>3,776</w:t>
            </w:r>
          </w:p>
        </w:tc>
        <w:tc>
          <w:tcPr>
            <w:tcW w:w="0" w:type="dxa"/>
            <w:vAlign w:val="bottom"/>
          </w:tcPr>
          <w:p>
            <w:pPr>
              <w:spacing w:after="0"/>
              <w:rPr>
                <w:sz w:val="1"/>
                <w:szCs w:val="1"/>
                <w:color w:val="auto"/>
              </w:rPr>
            </w:pPr>
          </w:p>
        </w:tc>
      </w:tr>
      <w:tr>
        <w:trPr>
          <w:trHeight w:val="264"/>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9,961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13,565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27,958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34,556</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Net income margin</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5.1 %</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4.2 %</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4.0 %</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5.7 %</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margin</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14.2 %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13.4 %</w:t>
            </w:r>
          </w:p>
        </w:tc>
        <w:tc>
          <w:tcPr>
            <w:tcW w:w="0" w:type="dxa"/>
            <w:vAlign w:val="bottom"/>
          </w:tcPr>
          <w:p>
            <w:pPr>
              <w:spacing w:after="0"/>
              <w:rPr>
                <w:sz w:val="1"/>
                <w:szCs w:val="1"/>
                <w:color w:val="auto"/>
              </w:rPr>
            </w:pPr>
          </w:p>
        </w:tc>
      </w:tr>
      <w:tr>
        <w:trPr>
          <w:trHeight w:val="40"/>
        </w:trPr>
        <w:tc>
          <w:tcPr>
            <w:tcW w:w="46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right="260" w:hanging="317"/>
        <w:spacing w:after="0" w:line="324" w:lineRule="auto"/>
        <w:tabs>
          <w:tab w:leader="none" w:pos="342" w:val="left"/>
        </w:tabs>
        <w:numPr>
          <w:ilvl w:val="0"/>
          <w:numId w:val="14"/>
        </w:numPr>
        <w:rPr>
          <w:rFonts w:ascii="Arial" w:cs="Arial" w:eastAsia="Arial" w:hAnsi="Arial"/>
          <w:sz w:val="11"/>
          <w:szCs w:val="11"/>
          <w:color w:val="auto"/>
        </w:rPr>
      </w:pPr>
      <w:r>
        <w:rPr>
          <w:rFonts w:ascii="Arial" w:cs="Arial" w:eastAsia="Arial" w:hAnsi="Arial"/>
          <w:sz w:val="11"/>
          <w:szCs w:val="11"/>
          <w:color w:val="auto"/>
        </w:rPr>
        <w:t>Other (income) expense, net for the three and nine months ended September 30, 2021 consisted primarily of the change in fair value of the warrant liability necessary to mark our warrants to fair market value. Additionally, these expenses for all periods presented include losses on exchange rates on consumer payments, partially offset by interest and other miscellaneous income.</w:t>
      </w:r>
    </w:p>
    <w:p>
      <w:pPr>
        <w:ind w:left="320" w:right="20" w:hanging="317"/>
        <w:spacing w:after="0" w:line="245"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expenses are those that we did not incur in the normal course of business. These expenses for all periods presented include professional fees in connection with the evaluation and preparation for operations as a public company. Additionally, the expense also includes a charitable donation during the three and nine months ended September 30, 2021 and costs associated with the opening of a new operations facility for the nine month period ended September 30, 2021.</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primary requirements for liquidity and capital are for purchases of inventory, payment of operating expenses, tax distributions to LLC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members, debt service, and capital expenditures. Historically, these cash requirements have been met through cash provided by operating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borrowings under the Runway Term Loan Facility and the SVB Credit Facilities (as defined below). We have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historically had negative working capital driven by our high inventory turns and typical collection of payment from customers prior to payment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suppliers. As of September 30, 2022, we had a cash balance, excluding restricted cash, of $152.9 million, working capital, excluding cash,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($27.3) million, and the SVB Term Loan Facility with a principal balance of $64.2 million, of which $60.9 is classified as long-term, excluding</w:t>
      </w:r>
    </w:p>
    <w:p>
      <w:pPr>
        <w:spacing w:after="0"/>
        <w:rPr>
          <w:sz w:val="20"/>
          <w:szCs w:val="20"/>
          <w:color w:val="auto"/>
        </w:rPr>
      </w:pPr>
      <w:r>
        <w:rPr>
          <w:rFonts w:ascii="Arial" w:cs="Arial" w:eastAsia="Arial" w:hAnsi="Arial"/>
          <w:sz w:val="19"/>
          <w:szCs w:val="19"/>
          <w:color w:val="auto"/>
        </w:rPr>
        <w:t>unamortized debt issuance costs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60"/>
        <w:spacing w:after="0" w:line="278" w:lineRule="auto"/>
        <w:rPr>
          <w:sz w:val="20"/>
          <w:szCs w:val="20"/>
          <w:color w:val="auto"/>
        </w:rPr>
      </w:pPr>
      <w:r>
        <w:rPr>
          <w:rFonts w:ascii="Arial" w:cs="Arial" w:eastAsia="Arial" w:hAnsi="Arial"/>
          <w:sz w:val="19"/>
          <w:szCs w:val="19"/>
          <w:color w:val="auto"/>
        </w:rPr>
        <w:t>We lease our showrooms and headquarters office space under operating leases pursuant to which $0.8 million is due in the year ending December 31, 2022. Total future lease payments as of September 30, 2022 are $31.2 million.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the nine months ended September 30, 2022, the Company declared and paid $18.3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w:t>
      </w:r>
    </w:p>
    <w:p>
      <w:pPr>
        <w:spacing w:after="0" w:line="20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Notwithstanding our obligations under the TRA discussed below, we believe that our current sources of liquidity, which include cash, and net cash provided by operating activities, will be sufficient to meet our projected operating, debt service, and tax distribution requirements for at least the next 12 months. We have capital commitments of $3.8 million related to the opening of new locations as of September 30, 2022. We also have scheduled principal repayments on our SVB Term Loan Facility as presented below.</w:t>
      </w:r>
    </w:p>
    <w:p>
      <w:pPr>
        <w:spacing w:after="0" w:line="245" w:lineRule="exact"/>
        <w:rPr>
          <w:sz w:val="20"/>
          <w:szCs w:val="20"/>
          <w:color w:val="auto"/>
        </w:rPr>
      </w:pPr>
    </w:p>
    <w:tbl>
      <w:tblPr>
        <w:tblLayout w:type="fixed"/>
        <w:tblInd w:w="1240" w:type="dxa"/>
        <w:tblCellMar>
          <w:top w:w="0" w:type="dxa"/>
          <w:left w:w="0" w:type="dxa"/>
          <w:bottom w:w="0" w:type="dxa"/>
          <w:right w:w="0" w:type="dxa"/>
        </w:tblCellMar>
      </w:tblPr>
      <w:tr>
        <w:trPr>
          <w:trHeight w:val="223"/>
        </w:trPr>
        <w:tc>
          <w:tcPr>
            <w:tcW w:w="5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ind w:right="534"/>
              <w:spacing w:after="0"/>
              <w:rPr>
                <w:sz w:val="20"/>
                <w:szCs w:val="20"/>
                <w:color w:val="auto"/>
              </w:rPr>
            </w:pPr>
            <w:r>
              <w:rPr>
                <w:rFonts w:ascii="Arial" w:cs="Arial" w:eastAsia="Arial" w:hAnsi="Arial"/>
                <w:sz w:val="17"/>
                <w:szCs w:val="17"/>
                <w:b w:val="1"/>
                <w:bCs w:val="1"/>
                <w:color w:val="auto"/>
              </w:rPr>
              <w:t>Principal</w:t>
            </w:r>
          </w:p>
        </w:tc>
      </w:tr>
      <w:tr>
        <w:trPr>
          <w:trHeight w:val="40"/>
        </w:trPr>
        <w:tc>
          <w:tcPr>
            <w:tcW w:w="5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4"/>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For the three months ending December 31, 2022</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813</w:t>
            </w:r>
          </w:p>
        </w:tc>
      </w:tr>
      <w:tr>
        <w:trPr>
          <w:trHeight w:val="230"/>
        </w:trPr>
        <w:tc>
          <w:tcPr>
            <w:tcW w:w="5760" w:type="dxa"/>
            <w:vAlign w:val="bottom"/>
          </w:tcPr>
          <w:p>
            <w:pPr>
              <w:ind w:left="20"/>
              <w:spacing w:after="0"/>
              <w:rPr>
                <w:sz w:val="20"/>
                <w:szCs w:val="20"/>
                <w:color w:val="auto"/>
              </w:rPr>
            </w:pPr>
            <w:r>
              <w:rPr>
                <w:rFonts w:ascii="Arial" w:cs="Arial" w:eastAsia="Arial" w:hAnsi="Arial"/>
                <w:sz w:val="17"/>
                <w:szCs w:val="17"/>
                <w:b w:val="1"/>
                <w:bCs w:val="1"/>
                <w:color w:val="auto"/>
              </w:rPr>
              <w:t>Years ending December 31,</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0"/>
        </w:trPr>
        <w:tc>
          <w:tcPr>
            <w:tcW w:w="5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1"/>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30"/>
        </w:trPr>
        <w:tc>
          <w:tcPr>
            <w:tcW w:w="5760" w:type="dxa"/>
            <w:vAlign w:val="bottom"/>
          </w:tcPr>
          <w:p>
            <w:pPr>
              <w:ind w:left="120"/>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4,062</w:t>
            </w:r>
          </w:p>
        </w:tc>
      </w:tr>
      <w:tr>
        <w:trPr>
          <w:trHeight w:val="40"/>
        </w:trPr>
        <w:tc>
          <w:tcPr>
            <w:tcW w:w="5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1"/>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5,688</w:t>
            </w:r>
          </w:p>
        </w:tc>
      </w:tr>
      <w:tr>
        <w:trPr>
          <w:trHeight w:val="230"/>
        </w:trPr>
        <w:tc>
          <w:tcPr>
            <w:tcW w:w="5760" w:type="dxa"/>
            <w:vAlign w:val="bottom"/>
          </w:tcPr>
          <w:p>
            <w:pPr>
              <w:ind w:left="120"/>
              <w:spacing w:after="0"/>
              <w:rPr>
                <w:sz w:val="20"/>
                <w:szCs w:val="20"/>
                <w:color w:val="auto"/>
              </w:rPr>
            </w:pPr>
            <w:r>
              <w:rPr>
                <w:rFonts w:ascii="Arial" w:cs="Arial" w:eastAsia="Arial" w:hAnsi="Arial"/>
                <w:sz w:val="17"/>
                <w:szCs w:val="17"/>
                <w:color w:val="auto"/>
              </w:rPr>
              <w:t>2026</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6,500</w:t>
            </w:r>
          </w:p>
        </w:tc>
      </w:tr>
      <w:tr>
        <w:trPr>
          <w:trHeight w:val="40"/>
        </w:trPr>
        <w:tc>
          <w:tcPr>
            <w:tcW w:w="5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71"/>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2027</w:t>
            </w: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43,875</w:t>
            </w:r>
          </w:p>
        </w:tc>
      </w:tr>
      <w:tr>
        <w:trPr>
          <w:trHeight w:val="257"/>
        </w:trPr>
        <w:tc>
          <w:tcPr>
            <w:tcW w:w="5760" w:type="dxa"/>
            <w:vAlign w:val="bottom"/>
          </w:tcPr>
          <w:p>
            <w:pPr>
              <w:ind w:left="220"/>
              <w:spacing w:after="0"/>
              <w:rPr>
                <w:sz w:val="20"/>
                <w:szCs w:val="20"/>
                <w:color w:val="auto"/>
              </w:rPr>
            </w:pPr>
            <w:r>
              <w:rPr>
                <w:rFonts w:ascii="Arial" w:cs="Arial" w:eastAsia="Arial" w:hAnsi="Arial"/>
                <w:sz w:val="17"/>
                <w:szCs w:val="17"/>
                <w:b w:val="1"/>
                <w:bCs w:val="1"/>
                <w:color w:val="auto"/>
              </w:rPr>
              <w:t>Total aggregate future principal payments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64,188</w:t>
            </w:r>
          </w:p>
        </w:tc>
      </w:tr>
      <w:tr>
        <w:trPr>
          <w:trHeight w:val="26"/>
        </w:trPr>
        <w:tc>
          <w:tcPr>
            <w:tcW w:w="5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 future liquidity needs may include public company costs,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20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 from Operating, Investing, and Financing Activities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our cash flows for the nine months ended September 30, 2022 and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3540" w:type="dxa"/>
            <w:vAlign w:val="bottom"/>
            <w:gridSpan w:val="5"/>
          </w:tcPr>
          <w:p>
            <w:pPr>
              <w:jc w:val="right"/>
              <w:ind w:right="434"/>
              <w:spacing w:after="0"/>
              <w:rPr>
                <w:sz w:val="20"/>
                <w:szCs w:val="20"/>
                <w:color w:val="auto"/>
              </w:rPr>
            </w:pPr>
            <w:r>
              <w:rPr>
                <w:rFonts w:ascii="Arial" w:cs="Arial" w:eastAsia="Arial" w:hAnsi="Arial"/>
                <w:sz w:val="17"/>
                <w:szCs w:val="17"/>
                <w:b w:val="1"/>
                <w:bCs w:val="1"/>
                <w:color w:val="auto"/>
              </w:rPr>
              <w:t>Nine months ended September 30,</w:t>
            </w:r>
          </w:p>
        </w:tc>
      </w:tr>
      <w:tr>
        <w:trPr>
          <w:trHeight w:val="40"/>
        </w:trPr>
        <w:tc>
          <w:tcPr>
            <w:tcW w:w="76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3"/>
        </w:trPr>
        <w:tc>
          <w:tcPr>
            <w:tcW w:w="7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Arial" w:cs="Arial" w:eastAsia="Arial" w:hAnsi="Arial"/>
                <w:sz w:val="17"/>
                <w:szCs w:val="17"/>
                <w:b w:val="1"/>
                <w:bCs w:val="1"/>
                <w:color w:val="auto"/>
              </w:rPr>
              <w:t>2021</w:t>
            </w:r>
          </w:p>
        </w:tc>
      </w:tr>
      <w:tr>
        <w:trPr>
          <w:trHeight w:val="40"/>
        </w:trPr>
        <w:tc>
          <w:tcPr>
            <w:tcW w:w="76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33,821</w:t>
            </w:r>
          </w:p>
        </w:tc>
      </w:tr>
      <w:tr>
        <w:trPr>
          <w:trHeight w:val="230"/>
        </w:trPr>
        <w:tc>
          <w:tcPr>
            <w:tcW w:w="76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(4,385)</w:t>
            </w:r>
          </w:p>
        </w:tc>
      </w:tr>
      <w:tr>
        <w:trPr>
          <w:trHeight w:val="40"/>
        </w:trPr>
        <w:tc>
          <w:tcPr>
            <w:tcW w:w="7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(22,387)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65,382</w:t>
            </w: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Net (decrease) increase in cash, cash equivalents and restricted cash</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(19,934)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94,818</w:t>
            </w:r>
          </w:p>
        </w:tc>
      </w:tr>
      <w:tr>
        <w:trPr>
          <w:trHeight w:val="40"/>
        </w:trPr>
        <w:tc>
          <w:tcPr>
            <w:tcW w:w="7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173,070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66,474</w:t>
            </w:r>
          </w:p>
        </w:tc>
      </w:tr>
      <w:tr>
        <w:trPr>
          <w:trHeight w:val="257"/>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153,136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161,292</w:t>
            </w:r>
          </w:p>
        </w:tc>
      </w:tr>
      <w:tr>
        <w:trPr>
          <w:trHeight w:val="26"/>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246"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Net cash provided by operating activities was $9.0 million for the nine months ended September 30, 2022, consisting of $12.8 million in net income adjusted for $11.2 million in non-cash expense addbacks, primarily comprised of equity-based compensation, non-cash operating lease costs, depreciation, loss on extinguishment of debt, and amortization of debt issuance costs, offset by a $15.1 million decrease from changes in assets and liabilities related to operating activities. The change in assets and liabilities related to operating activities, which is the result of our revenue growth, primarily reflects a $19.6 million increase in inventories, prepaid expenses and other current assets and other assets and a $0.8 million decrease in operating lease liabilities, offset by $5.3 million increase in deferred revenue and accounts payable and accrued expenses and other current liabilities.</w:t>
      </w:r>
    </w:p>
    <w:p>
      <w:pPr>
        <w:spacing w:after="0" w:line="21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Net cash provided by operating activities was $33.8 million for the nine months ended September 30, 2021, consisting of $14.8 million in net income adjusted for $9.0 million in non-cash expense addbacks, primarily composed of the change in fair value of warrants, amortization of debt issuance costs, equity based compensation and depreciation expenses, plus a $9.9 million increase from changes in assets and liabilities related to operating activities. The change in assets and liabilities related to operating activities, which is the result of our revenue growth, primarily reflects a $16.7 million increase in deferred revenue, accounts payable, accrued expenses and other current liabilities and deferred rent, and a decrease in prepaid expenses and other current assets, offset by a $6.8 million increase in inventories and other assets.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46" w:lineRule="exact"/>
        <w:rPr>
          <w:sz w:val="20"/>
          <w:szCs w:val="20"/>
          <w:color w:val="auto"/>
        </w:rPr>
      </w:pPr>
    </w:p>
    <w:p>
      <w:pPr>
        <w:ind w:right="220"/>
        <w:spacing w:after="0" w:line="340" w:lineRule="auto"/>
        <w:rPr>
          <w:sz w:val="20"/>
          <w:szCs w:val="20"/>
          <w:color w:val="auto"/>
        </w:rPr>
      </w:pPr>
      <w:r>
        <w:rPr>
          <w:rFonts w:ascii="Arial" w:cs="Arial" w:eastAsia="Arial" w:hAnsi="Arial"/>
          <w:sz w:val="17"/>
          <w:szCs w:val="17"/>
          <w:color w:val="auto"/>
        </w:rPr>
        <w:t>Net cash used in investing activities was $6.6 million for the nine months ended September 30, 2022, and $4.4 million for the nine months ended September 30, 2021, which primarily consisted of purchases of property and equipment related to new showrooms leased during each period.</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246"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Net cash used in financing activities was $22.4 million for the nine months ended September 30, 2022 related to the payoff of the Runway Term Loan (defined below), tax distributions to members pursuant to the LLC Agreement and quarterly repayment on SVB Term Loan Facility (defined below), partially offset by proceeds received from the SVB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53" w:name="page54"/>
    <w:bookmarkEnd w:id="53"/>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Net cash provided by financing activities was $65.4 million for the nine months ended September 30, 2021. We received net proceeds of $101.9 million, after deducting underwriting discounts and offering costs from the IPO. This was partially offset by $14.0 million paid to continuing equity owners for the redemption of LLC Units, $21.4 million paid to members for tax distributions and $1.1 million of offering costs that were paid in connection with the IPO.</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Silicon Valley Bank Credit Facilities</w:t>
      </w:r>
    </w:p>
    <w:p>
      <w:pPr>
        <w:spacing w:after="0" w:line="246"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On May 24, 2022 (the “Closing Date”), Brilliant Earth, LLC, as borrower, and Silicon Valley Bank, as administrative agent and collateral agent for the lenders entered into a credit agreement (the “SVB Credit Agreement”) which provides for a secured term loan credit facility of $65.0 million (the “SVB Term Loan Facility”) and a secured revolving credit facility in an amount of up to $40.0 million (the “SVB Revolving Credit Facility”, and together with the SVB Term Loan Facility, the “SVB Credit Facilities”).</w:t>
      </w: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Proceeds from the SVB Credit Facilities were used on the Closing Date to refinance existing indebtedness, pay related fees and expenses, and will be used from and after the Closing Date for working capital and general corporate purposes. The SVB Credit Facilities mature on May 24, 2027 (the “SVB Maturity Date”).</w:t>
      </w:r>
    </w:p>
    <w:p>
      <w:pPr>
        <w:spacing w:after="0" w:line="202"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spacing w:after="0" w:line="193" w:lineRule="exact"/>
        <w:rPr>
          <w:sz w:val="20"/>
          <w:szCs w:val="20"/>
          <w:color w:val="auto"/>
        </w:rPr>
      </w:pPr>
    </w:p>
    <w:p>
      <w:pPr>
        <w:ind w:right="140"/>
        <w:spacing w:after="0" w:line="299" w:lineRule="auto"/>
        <w:rPr>
          <w:sz w:val="20"/>
          <w:szCs w:val="20"/>
          <w:color w:val="auto"/>
        </w:rPr>
      </w:pPr>
      <w:r>
        <w:rPr>
          <w:rFonts w:ascii="Arial" w:cs="Arial" w:eastAsia="Arial" w:hAnsi="Arial"/>
          <w:sz w:val="17"/>
          <w:szCs w:val="17"/>
          <w:color w:val="auto"/>
        </w:rPr>
        <w:t>Borrowings under the SVB Credit Facilities bear interest at either (a) a secured overnight financing rate plus an annual adjustment of 0.125%, plus an applicable margin of 2.25% to 2.75%, depending on the Consolidated Total Leverage Ratio (as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SVB Credit Agreement).</w:t>
      </w:r>
    </w:p>
    <w:p>
      <w:pPr>
        <w:spacing w:after="0" w:line="1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spacing w:after="0" w:line="170" w:lineRule="exact"/>
        <w:rPr>
          <w:sz w:val="20"/>
          <w:szCs w:val="20"/>
          <w:color w:val="auto"/>
        </w:rPr>
      </w:pPr>
    </w:p>
    <w:p>
      <w:pPr>
        <w:jc w:val="both"/>
        <w:ind w:right="160"/>
        <w:spacing w:after="0" w:line="320" w:lineRule="auto"/>
        <w:rPr>
          <w:sz w:val="20"/>
          <w:szCs w:val="20"/>
          <w:color w:val="auto"/>
        </w:rPr>
      </w:pPr>
      <w:r>
        <w:rPr>
          <w:rFonts w:ascii="Arial" w:cs="Arial" w:eastAsia="Arial" w:hAnsi="Arial"/>
          <w:sz w:val="17"/>
          <w:szCs w:val="17"/>
          <w:color w:val="auto"/>
        </w:rPr>
        <w:t>The SVB Credit Facilities are subject to customary affirmative covenants and negative covenants as well as financial maintenance covenants. The financial covenants are tested at the end of each fiscal quarter, beginning with the quarter ending June 30, 2022, and requires that (a) the Company and its subsidiaries not have a Consolidated Fixed Charge Coverage Ratio (defined as the ratio of (i) Consolidated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 xml:space="preserve">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September 30, 2022, the Company was in compliance with such covenants. For additional information regarding our long-term debt activity,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unaudited condensed consolidated financial statements included elsewhere in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Additional Liquidity Requirements after Completion of Offering</w:t>
      </w:r>
    </w:p>
    <w:p>
      <w:pPr>
        <w:spacing w:after="0" w:line="24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We are a holding company and have no material assets other than our ownership of LLC Interests. We have no independent means of generating revenue. The Brilliant Earth LLC Agreement in effect since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182" w:lineRule="exact"/>
        <w:rPr>
          <w:sz w:val="20"/>
          <w:szCs w:val="20"/>
          <w:color w:val="auto"/>
        </w:rPr>
      </w:pPr>
    </w:p>
    <w:p>
      <w:pPr>
        <w:ind w:right="260"/>
        <w:spacing w:after="0" w:line="298" w:lineRule="auto"/>
        <w:rPr>
          <w:sz w:val="20"/>
          <w:szCs w:val="20"/>
          <w:color w:val="auto"/>
        </w:rPr>
      </w:pPr>
      <w:r>
        <w:rPr>
          <w:rFonts w:ascii="Arial" w:cs="Arial" w:eastAsia="Arial" w:hAnsi="Arial"/>
          <w:sz w:val="17"/>
          <w:szCs w:val="17"/>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177"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color w:val="auto"/>
        </w:rPr>
        <w:t>Contractual obligations with a remaining term in excess of 12 months primarily related to marketing and advertising spending as well as software maintenance totaling $5.6 million.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In preparing our unaudited condensed consolidated financial statements and the related notes thereto included elsewhere in this Quarterly Report on Form 10-Q in conformity with U.S.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unaudited condensed consolidated financial statements are prepared.</w:t>
      </w:r>
    </w:p>
    <w:p>
      <w:pPr>
        <w:spacing w:after="0" w:line="211" w:lineRule="exact"/>
        <w:rPr>
          <w:sz w:val="20"/>
          <w:szCs w:val="20"/>
          <w:color w:val="auto"/>
        </w:rPr>
      </w:pPr>
    </w:p>
    <w:p>
      <w:pPr>
        <w:jc w:val="both"/>
        <w:ind w:right="360"/>
        <w:spacing w:after="0" w:line="239" w:lineRule="auto"/>
        <w:rPr>
          <w:sz w:val="20"/>
          <w:szCs w:val="20"/>
          <w:color w:val="auto"/>
        </w:rPr>
      </w:pPr>
      <w:r>
        <w:rPr>
          <w:rFonts w:ascii="Arial" w:cs="Arial" w:eastAsia="Arial" w:hAnsi="Arial"/>
          <w:sz w:val="19"/>
          <w:szCs w:val="19"/>
          <w:color w:val="auto"/>
        </w:rPr>
        <w:t>Our critical accounting policies are described under the heading “Management’s Discussion and Analysis of Financial Condition and Results of Operations—Critical Accounting Policies and Estimates” in the 2021 Form 10-K and the notes to the audited consolidated financial statements included in the 2021 Form 10-K. During the nine months ended September 30, 2022, there were no material changes to our critical accounting policies from those discussed in our 2021 Form 10-K.</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46"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Net sales primarily consists of revenue from the sale of inventory, and we recognize revenue as control of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 three-year extended in-house service plan, which gives rise to an additional performance obligation that is recognized over the course of the service plan. We 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56" w:name="page57"/>
    <w:bookmarkEnd w:id="56"/>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Equity-Based Compensation</w:t>
      </w:r>
    </w:p>
    <w:p>
      <w:pPr>
        <w:spacing w:after="0" w:line="24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Equity-based compensation is accounted for as an expense in accordance with the fair value recognition and measurement provisions of U.S. GAAP which requires compensation cost for the grant-date fair value of equity-based awards to be recognized over the requisite service period. We account for a forfeiture when it occurs, and any compensation expense previously recognized on unvested equity-based awards will be reversed when forfeited.</w:t>
      </w:r>
    </w:p>
    <w:p>
      <w:pPr>
        <w:spacing w:after="0" w:line="226"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our IPO in September 2021 was determined by considering a number of objective, subjective and highly complex factors including independent third-party valuations of our member units, operating and financial performance, the lack of liquidity of member units and general and industry specific economic outlook among other factors. We do not anticipate issuing any new restricted LLC Units.</w:t>
      </w:r>
    </w:p>
    <w:p>
      <w:pPr>
        <w:spacing w:after="0" w:line="188"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auto"/>
        </w:rPr>
        <w:t>The fair value of RSUs, all of which were granted at the time of the IPO or thereafter, is based on the fair value of the Class A common stock at the time of grant.</w:t>
      </w: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spacing w:after="0" w:line="206" w:lineRule="exact"/>
        <w:rPr>
          <w:sz w:val="20"/>
          <w:szCs w:val="20"/>
          <w:color w:val="auto"/>
        </w:rPr>
      </w:pPr>
    </w:p>
    <w:p>
      <w:pPr>
        <w:ind w:right="240"/>
        <w:spacing w:after="0" w:line="267" w:lineRule="auto"/>
        <w:rPr>
          <w:sz w:val="20"/>
          <w:szCs w:val="20"/>
          <w:color w:val="auto"/>
        </w:rPr>
      </w:pPr>
      <w:r>
        <w:rPr>
          <w:rFonts w:ascii="Arial" w:cs="Arial" w:eastAsia="Arial" w:hAnsi="Arial"/>
          <w:sz w:val="19"/>
          <w:szCs w:val="19"/>
          <w:color w:val="auto"/>
        </w:rPr>
        <w:t>We have elected to use the “simplified method” to determine the expected term which is the midpoint between the vesting date and the end of the contractual term because it has insufficient history upon which to base an assumption about the term; we believe the simplified method approximates a term if it were to be based on expected life. The expected dividend yield is nil as we have not paid and do not anticipate paying dividends on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Tax Asset and Tax Receivable Agreement</w:t>
      </w:r>
    </w:p>
    <w:p>
      <w:pPr>
        <w:spacing w:after="0" w:line="259"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191"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The amounts to be recorded for both the deferred tax asset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 We currently believe that all deferred tax assets will be recovered based upon the projected profitability of our operations. Judgement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246" w:lineRule="exact"/>
        <w:rPr>
          <w:sz w:val="20"/>
          <w:szCs w:val="20"/>
          <w:color w:val="auto"/>
        </w:rPr>
      </w:pPr>
    </w:p>
    <w:p>
      <w:pPr>
        <w:ind w:right="600"/>
        <w:spacing w:after="0" w:line="264" w:lineRule="auto"/>
        <w:rPr>
          <w:sz w:val="20"/>
          <w:szCs w:val="20"/>
          <w:color w:val="auto"/>
        </w:rPr>
      </w:pPr>
      <w:r>
        <w:rPr>
          <w:rFonts w:ascii="Arial" w:cs="Arial" w:eastAsia="Arial" w:hAnsi="Arial"/>
          <w:sz w:val="19"/>
          <w:szCs w:val="19"/>
          <w:color w:val="auto"/>
        </w:rPr>
        <w:t xml:space="preserve">For information regarding recent accounting pronouncements, see Note 2, </w:t>
      </w:r>
      <w:r>
        <w:rPr>
          <w:rFonts w:ascii="Arial" w:cs="Arial" w:eastAsia="Arial" w:hAnsi="Arial"/>
          <w:sz w:val="19"/>
          <w:szCs w:val="19"/>
          <w:i w:val="1"/>
          <w:iCs w:val="1"/>
          <w:color w:val="auto"/>
        </w:rPr>
        <w:t>Recent accounting pronouncements</w:t>
      </w:r>
      <w:r>
        <w:rPr>
          <w:rFonts w:ascii="Arial" w:cs="Arial" w:eastAsia="Arial" w:hAnsi="Arial"/>
          <w:sz w:val="19"/>
          <w:szCs w:val="19"/>
          <w:color w:val="auto"/>
        </w:rPr>
        <w:t xml:space="preserve"> in these unaudited condensed consolidated financial statements and related notes thereto.</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JOBS Act</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$1.07 billion or (iii) in which we are deemed to be a large accelerated filer, which means the market value of our common stock that is held by non-affiliates exceeds $700 million as of the last business day of our prior second fiscal quarter, and (b) the date on which we have issued more than $1.07 billion in non-convertible debt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58" w:name="page59"/>
    <w:bookmarkEnd w:id="58"/>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65" w:lineRule="exact"/>
        <w:rPr>
          <w:sz w:val="20"/>
          <w:szCs w:val="20"/>
          <w:color w:val="auto"/>
        </w:rPr>
      </w:pPr>
    </w:p>
    <w:p>
      <w:pPr>
        <w:ind w:right="300"/>
        <w:spacing w:after="0" w:line="278" w:lineRule="auto"/>
        <w:rPr>
          <w:sz w:val="20"/>
          <w:szCs w:val="20"/>
          <w:color w:val="auto"/>
        </w:rPr>
      </w:pPr>
      <w:r>
        <w:rPr>
          <w:rFonts w:ascii="Arial" w:cs="Arial" w:eastAsia="Arial" w:hAnsi="Arial"/>
          <w:sz w:val="19"/>
          <w:szCs w:val="19"/>
          <w:color w:val="auto"/>
        </w:rPr>
        <w:t>Market risk is the risk of economic losses due to adverse changes in financial market prices and rates. Our primary market risk has been interest rate, foreign currency, inflation and commodity risk.</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Fluctuation Risk</w:t>
      </w:r>
    </w:p>
    <w:p>
      <w:pPr>
        <w:spacing w:after="0" w:line="2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cash and cash equivalents consist of cash and money market funds in government securities. The primary objective of our investment activities is to preserve principal while increasing income without significantly increasing risk. Because our cash and cash equivalents have a relatively short maturity, our portfolio’s fair value is relatively insensitive to interest rate changes. We do not believe that an increase or decrease in interest rates of 10% would have a material effect on our operating results or financial condition. In future periods, we will continue to evaluate our investment policy in order to ensure that we continue to meet our overall objectives.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SVB Credit Facilities bear interest at Brilliant Earth, LLC's option, of either (a) a secured overnight financing rate plus an annual adjustment of 0.125%, plus an applicable margin of 2.25% to 2.75%, depending on the Consolidated Total Leverage Ratio (as defined below), or an alternate base rate plus an applicable margin of 1.25% to 1.75%, depending on the Consolidated Total Leverage Ratio, each subject to a 0.00% floor. In addition, the Company pays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Credit Agreement). The interest rate as of September 30, 2022 was 4.12%. A 10% change in interest rates would not result in a material change to the annual interest expense.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Risk</w:t>
      </w:r>
    </w:p>
    <w:p>
      <w:pPr>
        <w:spacing w:after="0" w:line="246" w:lineRule="exact"/>
        <w:rPr>
          <w:sz w:val="20"/>
          <w:szCs w:val="20"/>
          <w:color w:val="auto"/>
        </w:rPr>
      </w:pPr>
    </w:p>
    <w:p>
      <w:pPr>
        <w:ind w:right="520"/>
        <w:spacing w:after="0" w:line="293" w:lineRule="auto"/>
        <w:rPr>
          <w:sz w:val="20"/>
          <w:szCs w:val="20"/>
          <w:color w:val="auto"/>
        </w:rPr>
      </w:pPr>
      <w:r>
        <w:rPr>
          <w:rFonts w:ascii="Arial" w:cs="Arial" w:eastAsia="Arial" w:hAnsi="Arial"/>
          <w:sz w:val="19"/>
          <w:szCs w:val="19"/>
          <w:color w:val="auto"/>
        </w:rPr>
        <w:t>Over 90% of sales are to customers in the United States (“U.S.”); sales to non-U.S. customers immediately settle in U.S. Dollars and no cash balances are carried in foreign currencies.</w:t>
      </w:r>
    </w:p>
    <w:p>
      <w:pPr>
        <w:spacing w:after="0" w:line="176"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We do not believe that fluctuations in exchange rates have had a material effect on our historical operating results or financial condition. In future periods, we will continue to evaluate fluctuations in currency exchange rates and the requirements of currency control regulations, which might impact the conversion of other currencies into U.S. Dollars.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Inflation and Commodity Risk</w:t>
      </w:r>
    </w:p>
    <w:p>
      <w:pPr>
        <w:spacing w:after="0" w:line="246" w:lineRule="exact"/>
        <w:rPr>
          <w:sz w:val="20"/>
          <w:szCs w:val="20"/>
          <w:color w:val="auto"/>
        </w:rPr>
      </w:pPr>
    </w:p>
    <w:p>
      <w:pPr>
        <w:ind w:right="360"/>
        <w:spacing w:after="0" w:line="264" w:lineRule="auto"/>
        <w:rPr>
          <w:sz w:val="20"/>
          <w:szCs w:val="20"/>
          <w:color w:val="auto"/>
        </w:rPr>
      </w:pPr>
      <w:r>
        <w:rPr>
          <w:rFonts w:ascii="Arial" w:cs="Arial" w:eastAsia="Arial" w:hAnsi="Arial"/>
          <w:sz w:val="19"/>
          <w:szCs w:val="19"/>
          <w:color w:val="auto"/>
        </w:rPr>
        <w:t>Our results are subject to risks associated with inflation including to the cost of inventory, compensation expenses, and other costs. The current inflationary environment could negatively impact our operating results.</w:t>
      </w:r>
    </w:p>
    <w:p>
      <w:pPr>
        <w:spacing w:after="0" w:line="203"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Our results are also subject to fluctuations in the supply and market pricing of diamonds, gold, platinum and certain other precious metals and gemstones, all of which are key raw material components of our products. We manage exposure to market risk through certain operating activities. We do not currently deploy the use of financial derivatives as a hedge against fluctuations in precious metal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59" w:name="page60"/>
    <w:bookmarkEnd w:id="59"/>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effectiveness of control and procedures</w:t>
      </w:r>
    </w:p>
    <w:p>
      <w:pPr>
        <w:spacing w:after="0" w:line="252"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In designing and evaluation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judgement in evaluating the benefits of possible controls relative to their costs.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September 30, 2022, our disclosure controls and procedures were effective at the reasonable assurance level.</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26"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60" w:name="page61"/>
    <w:bookmarkEnd w:id="60"/>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II - Other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p>
    <w:p>
      <w:pPr>
        <w:spacing w:after="0" w:line="252" w:lineRule="exact"/>
        <w:rPr>
          <w:sz w:val="20"/>
          <w:szCs w:val="20"/>
          <w:color w:val="auto"/>
        </w:rPr>
      </w:pPr>
    </w:p>
    <w:p>
      <w:pPr>
        <w:jc w:val="both"/>
        <w:ind w:right="180"/>
        <w:spacing w:after="0" w:line="274" w:lineRule="auto"/>
        <w:rPr>
          <w:sz w:val="20"/>
          <w:szCs w:val="20"/>
          <w:color w:val="auto"/>
        </w:rPr>
      </w:pPr>
      <w:r>
        <w:rPr>
          <w:rFonts w:ascii="Arial" w:cs="Arial" w:eastAsia="Arial" w:hAnsi="Arial"/>
          <w:sz w:val="19"/>
          <w:szCs w:val="19"/>
          <w:color w:val="auto"/>
        </w:rPr>
        <w:t>We are, from time to time, party to various claims and legal proceedings arising out of our ordinary course of business, but we do not believe that any of these claims or proceedings will have a material effect on our business, unaudited condensed consolidated financial condition or results of operations.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632.7. The plaintiff seeks statutory damages, injunctive relief, attorneys’ fees and costs, and other unspecified damages. The Company has obtained an extension of time to file a response, the time to file such response has not yet passed, and as of the date of this Quarterly Report on Form 10-Q, the Company has not responded to the complaint. We believe these claims have no merit, and intends to vigorously defend against this lawsuit, though there can be no assurance regarding its ultimate outcome. At this time, any liability related to the alleged claims is not currently probable or reasonably estimable.</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risk factors are described in Part I, Item 1A, “Risk Factors” of our 2021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2021 Form 10-K.</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61" w:name="page62"/>
    <w:bookmarkEnd w:id="61"/>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340"/>
        <w:spacing w:after="0"/>
        <w:rPr>
          <w:sz w:val="20"/>
          <w:szCs w:val="20"/>
          <w:color w:val="auto"/>
        </w:rPr>
      </w:pPr>
      <w:r>
        <w:rPr>
          <w:rFonts w:ascii="Arial" w:cs="Arial" w:eastAsia="Arial" w:hAnsi="Arial"/>
          <w:sz w:val="17"/>
          <w:szCs w:val="17"/>
          <w:b w:val="1"/>
          <w:bCs w:val="1"/>
          <w:color w:val="auto"/>
        </w:rPr>
        <w:t>Item 6. Exhibits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40" w:type="dxa"/>
            <w:vAlign w:val="bottom"/>
            <w:gridSpan w:val="2"/>
          </w:tcPr>
          <w:p>
            <w:pPr>
              <w:ind w:left="540"/>
              <w:spacing w:after="0"/>
              <w:rPr>
                <w:sz w:val="20"/>
                <w:szCs w:val="20"/>
                <w:color w:val="auto"/>
              </w:rPr>
            </w:pPr>
            <w:r>
              <w:rPr>
                <w:rFonts w:ascii="Arial" w:cs="Arial" w:eastAsia="Arial" w:hAnsi="Arial"/>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317"/>
        </w:trPr>
        <w:tc>
          <w:tcPr>
            <w:tcW w:w="1160" w:type="dxa"/>
            <w:vAlign w:val="bottom"/>
          </w:tcPr>
          <w:p>
            <w:pPr>
              <w:jc w:val="center"/>
              <w:spacing w:after="0"/>
              <w:rPr>
                <w:sz w:val="20"/>
                <w:szCs w:val="20"/>
                <w:color w:val="auto"/>
              </w:rPr>
            </w:pPr>
            <w:r>
              <w:rPr>
                <w:rFonts w:ascii="Arial" w:cs="Arial" w:eastAsia="Arial" w:hAnsi="Arial"/>
                <w:sz w:val="14"/>
                <w:szCs w:val="14"/>
                <w:color w:val="auto"/>
                <w:w w:val="94"/>
              </w:rPr>
              <w:t>Exhibit Number</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8"/>
          </w:tcPr>
          <w:p>
            <w:pPr>
              <w:ind w:left="840"/>
              <w:spacing w:after="0"/>
              <w:rPr>
                <w:sz w:val="20"/>
                <w:szCs w:val="20"/>
                <w:color w:val="auto"/>
              </w:rPr>
            </w:pPr>
            <w:r>
              <w:rPr>
                <w:rFonts w:ascii="Arial" w:cs="Arial" w:eastAsia="Arial" w:hAnsi="Arial"/>
                <w:sz w:val="14"/>
                <w:szCs w:val="14"/>
                <w:color w:val="auto"/>
              </w:rPr>
              <w:t>Exhibit Description</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Form</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File No.</w:t>
            </w:r>
          </w:p>
        </w:tc>
        <w:tc>
          <w:tcPr>
            <w:tcW w:w="1060" w:type="dxa"/>
            <w:vAlign w:val="bottom"/>
          </w:tcPr>
          <w:p>
            <w:pPr>
              <w:jc w:val="center"/>
              <w:ind w:right="31"/>
              <w:spacing w:after="0"/>
              <w:rPr>
                <w:sz w:val="20"/>
                <w:szCs w:val="20"/>
                <w:color w:val="auto"/>
              </w:rPr>
            </w:pPr>
            <w:r>
              <w:rPr>
                <w:rFonts w:ascii="Arial" w:cs="Arial" w:eastAsia="Arial" w:hAnsi="Arial"/>
                <w:sz w:val="14"/>
                <w:szCs w:val="14"/>
                <w:color w:val="auto"/>
                <w:w w:val="95"/>
              </w:rPr>
              <w:t>Exhibit</w:t>
            </w:r>
          </w:p>
        </w:tc>
        <w:tc>
          <w:tcPr>
            <w:tcW w:w="1220" w:type="dxa"/>
            <w:vAlign w:val="bottom"/>
          </w:tcPr>
          <w:p>
            <w:pPr>
              <w:jc w:val="center"/>
              <w:ind w:right="51"/>
              <w:spacing w:after="0"/>
              <w:rPr>
                <w:sz w:val="20"/>
                <w:szCs w:val="20"/>
                <w:color w:val="auto"/>
              </w:rPr>
            </w:pPr>
            <w:r>
              <w:rPr>
                <w:rFonts w:ascii="Arial" w:cs="Arial" w:eastAsia="Arial" w:hAnsi="Arial"/>
                <w:sz w:val="14"/>
                <w:szCs w:val="14"/>
                <w:color w:val="auto"/>
                <w:w w:val="92"/>
              </w:rPr>
              <w:t>Filing Date</w:t>
            </w:r>
          </w:p>
        </w:tc>
        <w:tc>
          <w:tcPr>
            <w:tcW w:w="1680" w:type="dxa"/>
            <w:vAlign w:val="bottom"/>
          </w:tcPr>
          <w:p>
            <w:pPr>
              <w:ind w:left="100"/>
              <w:spacing w:after="0"/>
              <w:rPr>
                <w:sz w:val="20"/>
                <w:szCs w:val="20"/>
                <w:color w:val="auto"/>
              </w:rPr>
            </w:pPr>
            <w:r>
              <w:rPr>
                <w:rFonts w:ascii="Arial" w:cs="Arial" w:eastAsia="Arial" w:hAnsi="Arial"/>
                <w:sz w:val="14"/>
                <w:szCs w:val="14"/>
                <w:color w:val="auto"/>
                <w:w w:val="95"/>
              </w:rPr>
              <w:t>Filed / Furnished Herewith</w:t>
            </w:r>
          </w:p>
        </w:tc>
      </w:tr>
      <w:tr>
        <w:trPr>
          <w:trHeight w:val="24"/>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0"/>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4020" w:type="dxa"/>
            <w:vAlign w:val="bottom"/>
            <w:gridSpan w:val="11"/>
          </w:tcPr>
          <w:p>
            <w:pPr>
              <w:spacing w:after="0"/>
              <w:rPr>
                <w:rFonts w:ascii="Arial" w:cs="Arial" w:eastAsia="Arial" w:hAnsi="Arial"/>
                <w:sz w:val="14"/>
                <w:szCs w:val="14"/>
                <w:color w:val="0000FF"/>
                <w:w w:val="95"/>
              </w:rPr>
            </w:pPr>
            <w:hyperlink r:id="rId80">
              <w:r>
                <w:rPr>
                  <w:rFonts w:ascii="Arial" w:cs="Arial" w:eastAsia="Arial" w:hAnsi="Arial"/>
                  <w:sz w:val="14"/>
                  <w:szCs w:val="14"/>
                  <w:color w:val="0000FF"/>
                  <w:w w:val="95"/>
                </w:rPr>
                <w:t>Amended and Restated Certificate of Incorporation of Brilliant Earth</w:t>
              </w:r>
            </w:hyperlink>
          </w:p>
        </w:tc>
        <w:tc>
          <w:tcPr>
            <w:tcW w:w="92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001-40836</w:t>
            </w:r>
          </w:p>
        </w:tc>
        <w:tc>
          <w:tcPr>
            <w:tcW w:w="1060" w:type="dxa"/>
            <w:vAlign w:val="bottom"/>
          </w:tcPr>
          <w:p>
            <w:pPr>
              <w:jc w:val="center"/>
              <w:ind w:right="11"/>
              <w:spacing w:after="0"/>
              <w:rPr>
                <w:sz w:val="20"/>
                <w:szCs w:val="20"/>
                <w:color w:val="auto"/>
              </w:rPr>
            </w:pPr>
            <w:r>
              <w:rPr>
                <w:rFonts w:ascii="Arial" w:cs="Arial" w:eastAsia="Arial" w:hAnsi="Arial"/>
                <w:sz w:val="14"/>
                <w:szCs w:val="14"/>
                <w:color w:val="auto"/>
                <w:w w:val="92"/>
              </w:rPr>
              <w:t>3.1</w:t>
            </w:r>
          </w:p>
        </w:tc>
        <w:tc>
          <w:tcPr>
            <w:tcW w:w="1220" w:type="dxa"/>
            <w:vAlign w:val="bottom"/>
          </w:tcPr>
          <w:p>
            <w:pPr>
              <w:jc w:val="center"/>
              <w:ind w:right="71"/>
              <w:spacing w:after="0"/>
              <w:rPr>
                <w:sz w:val="20"/>
                <w:szCs w:val="20"/>
                <w:color w:val="auto"/>
              </w:rPr>
            </w:pPr>
            <w:r>
              <w:rPr>
                <w:rFonts w:ascii="Arial" w:cs="Arial" w:eastAsia="Arial" w:hAnsi="Arial"/>
                <w:sz w:val="14"/>
                <w:szCs w:val="14"/>
                <w:color w:val="auto"/>
                <w:w w:val="89"/>
              </w:rPr>
              <w:t>9/27/2021</w:t>
            </w:r>
          </w:p>
        </w:tc>
        <w:tc>
          <w:tcPr>
            <w:tcW w:w="1680" w:type="dxa"/>
            <w:vAlign w:val="bottom"/>
          </w:tcPr>
          <w:p>
            <w:pPr>
              <w:spacing w:after="0"/>
              <w:rPr>
                <w:sz w:val="13"/>
                <w:szCs w:val="13"/>
                <w:color w:val="auto"/>
              </w:rPr>
            </w:pPr>
          </w:p>
        </w:tc>
      </w:tr>
      <w:tr>
        <w:trPr>
          <w:trHeight w:val="160"/>
        </w:trPr>
        <w:tc>
          <w:tcPr>
            <w:tcW w:w="1160" w:type="dxa"/>
            <w:vAlign w:val="bottom"/>
          </w:tcPr>
          <w:p>
            <w:pPr>
              <w:spacing w:after="0"/>
              <w:rPr>
                <w:sz w:val="13"/>
                <w:szCs w:val="13"/>
                <w:color w:val="auto"/>
              </w:rPr>
            </w:pPr>
          </w:p>
        </w:tc>
        <w:tc>
          <w:tcPr>
            <w:tcW w:w="3780" w:type="dxa"/>
            <w:vAlign w:val="bottom"/>
            <w:tcBorders>
              <w:top w:val="single" w:sz="8" w:color="0000FF"/>
            </w:tcBorders>
            <w:gridSpan w:val="6"/>
          </w:tcPr>
          <w:p>
            <w:pPr>
              <w:spacing w:after="0"/>
              <w:rPr>
                <w:rFonts w:ascii="Arial" w:cs="Arial" w:eastAsia="Arial" w:hAnsi="Arial"/>
                <w:sz w:val="14"/>
                <w:szCs w:val="14"/>
                <w:color w:val="0000FF"/>
              </w:rPr>
            </w:pPr>
            <w:hyperlink r:id="rId80">
              <w:r>
                <w:rPr>
                  <w:rFonts w:ascii="Arial" w:cs="Arial" w:eastAsia="Arial" w:hAnsi="Arial"/>
                  <w:sz w:val="14"/>
                  <w:szCs w:val="14"/>
                  <w:color w:val="0000FF"/>
                </w:rPr>
                <w:t>Group, Inc.</w:t>
              </w:r>
            </w:hyperlink>
          </w:p>
        </w:tc>
        <w:tc>
          <w:tcPr>
            <w:tcW w:w="24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9"/>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3360" w:type="dxa"/>
            <w:vAlign w:val="bottom"/>
            <w:tcBorders>
              <w:bottom w:val="single" w:sz="8" w:color="0000FF"/>
            </w:tcBorders>
            <w:gridSpan w:val="4"/>
          </w:tcPr>
          <w:p>
            <w:pPr>
              <w:spacing w:after="0"/>
              <w:rPr>
                <w:rFonts w:ascii="Arial" w:cs="Arial" w:eastAsia="Arial" w:hAnsi="Arial"/>
                <w:sz w:val="14"/>
                <w:szCs w:val="14"/>
                <w:color w:val="0000FF"/>
                <w:w w:val="89"/>
              </w:rPr>
            </w:pPr>
            <w:hyperlink r:id="rId81">
              <w:r>
                <w:rPr>
                  <w:rFonts w:ascii="Arial" w:cs="Arial" w:eastAsia="Arial" w:hAnsi="Arial"/>
                  <w:sz w:val="14"/>
                  <w:szCs w:val="14"/>
                  <w:color w:val="0000FF"/>
                  <w:w w:val="89"/>
                </w:rPr>
                <w:t>Amended and Restated Bylaws of Brilliant Earth Group, Inc.</w:t>
              </w:r>
            </w:hyperlink>
          </w:p>
        </w:tc>
        <w:tc>
          <w:tcPr>
            <w:tcW w:w="660" w:type="dxa"/>
            <w:vAlign w:val="bottom"/>
            <w:gridSpan w:val="7"/>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001-40836</w:t>
            </w:r>
          </w:p>
        </w:tc>
        <w:tc>
          <w:tcPr>
            <w:tcW w:w="1060" w:type="dxa"/>
            <w:vAlign w:val="bottom"/>
          </w:tcPr>
          <w:p>
            <w:pPr>
              <w:jc w:val="center"/>
              <w:ind w:right="11"/>
              <w:spacing w:after="0"/>
              <w:rPr>
                <w:sz w:val="20"/>
                <w:szCs w:val="20"/>
                <w:color w:val="auto"/>
              </w:rPr>
            </w:pPr>
            <w:r>
              <w:rPr>
                <w:rFonts w:ascii="Arial" w:cs="Arial" w:eastAsia="Arial" w:hAnsi="Arial"/>
                <w:sz w:val="14"/>
                <w:szCs w:val="14"/>
                <w:color w:val="auto"/>
                <w:w w:val="92"/>
              </w:rPr>
              <w:t>3.2</w:t>
            </w:r>
          </w:p>
        </w:tc>
        <w:tc>
          <w:tcPr>
            <w:tcW w:w="1220" w:type="dxa"/>
            <w:vAlign w:val="bottom"/>
          </w:tcPr>
          <w:p>
            <w:pPr>
              <w:jc w:val="center"/>
              <w:ind w:right="71"/>
              <w:spacing w:after="0"/>
              <w:rPr>
                <w:sz w:val="20"/>
                <w:szCs w:val="20"/>
                <w:color w:val="auto"/>
              </w:rPr>
            </w:pPr>
            <w:r>
              <w:rPr>
                <w:rFonts w:ascii="Arial" w:cs="Arial" w:eastAsia="Arial" w:hAnsi="Arial"/>
                <w:sz w:val="14"/>
                <w:szCs w:val="14"/>
                <w:color w:val="auto"/>
                <w:w w:val="89"/>
              </w:rPr>
              <w:t>9/27/2021</w:t>
            </w:r>
          </w:p>
        </w:tc>
        <w:tc>
          <w:tcPr>
            <w:tcW w:w="1680" w:type="dxa"/>
            <w:vAlign w:val="bottom"/>
          </w:tcPr>
          <w:p>
            <w:pPr>
              <w:spacing w:after="0"/>
              <w:rPr>
                <w:sz w:val="17"/>
                <w:szCs w:val="17"/>
                <w:color w:val="auto"/>
              </w:rPr>
            </w:pPr>
          </w:p>
        </w:tc>
      </w:tr>
      <w:tr>
        <w:trPr>
          <w:trHeight w:val="199"/>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3680" w:type="dxa"/>
            <w:vAlign w:val="bottom"/>
            <w:tcBorders>
              <w:bottom w:val="single" w:sz="8" w:color="0000FF"/>
            </w:tcBorders>
            <w:gridSpan w:val="5"/>
          </w:tcPr>
          <w:p>
            <w:pPr>
              <w:spacing w:after="0"/>
              <w:rPr>
                <w:rFonts w:ascii="Arial" w:cs="Arial" w:eastAsia="Arial" w:hAnsi="Arial"/>
                <w:sz w:val="14"/>
                <w:szCs w:val="14"/>
                <w:color w:val="0000FF"/>
                <w:w w:val="88"/>
              </w:rPr>
            </w:pPr>
            <w:hyperlink r:id="rId82">
              <w:r>
                <w:rPr>
                  <w:rFonts w:ascii="Arial" w:cs="Arial" w:eastAsia="Arial" w:hAnsi="Arial"/>
                  <w:sz w:val="14"/>
                  <w:szCs w:val="14"/>
                  <w:color w:val="0000FF"/>
                  <w:w w:val="88"/>
                </w:rPr>
                <w:t>Specimen Stock Certificate evidencing shares of Class A Common</w:t>
              </w:r>
            </w:hyperlink>
          </w:p>
        </w:tc>
        <w:tc>
          <w:tcPr>
            <w:tcW w:w="340" w:type="dxa"/>
            <w:vAlign w:val="bottom"/>
            <w:gridSpan w:val="6"/>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S-1/A</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001-40836</w:t>
            </w:r>
          </w:p>
        </w:tc>
        <w:tc>
          <w:tcPr>
            <w:tcW w:w="1060" w:type="dxa"/>
            <w:vAlign w:val="bottom"/>
          </w:tcPr>
          <w:p>
            <w:pPr>
              <w:jc w:val="center"/>
              <w:ind w:right="11"/>
              <w:spacing w:after="0"/>
              <w:rPr>
                <w:sz w:val="20"/>
                <w:szCs w:val="20"/>
                <w:color w:val="auto"/>
              </w:rPr>
            </w:pPr>
            <w:r>
              <w:rPr>
                <w:rFonts w:ascii="Arial" w:cs="Arial" w:eastAsia="Arial" w:hAnsi="Arial"/>
                <w:sz w:val="14"/>
                <w:szCs w:val="14"/>
                <w:color w:val="auto"/>
                <w:w w:val="92"/>
              </w:rPr>
              <w:t>4.1</w:t>
            </w:r>
          </w:p>
        </w:tc>
        <w:tc>
          <w:tcPr>
            <w:tcW w:w="1220" w:type="dxa"/>
            <w:vAlign w:val="bottom"/>
          </w:tcPr>
          <w:p>
            <w:pPr>
              <w:jc w:val="center"/>
              <w:ind w:right="71"/>
              <w:spacing w:after="0"/>
              <w:rPr>
                <w:sz w:val="20"/>
                <w:szCs w:val="20"/>
                <w:color w:val="auto"/>
              </w:rPr>
            </w:pPr>
            <w:r>
              <w:rPr>
                <w:rFonts w:ascii="Arial" w:cs="Arial" w:eastAsia="Arial" w:hAnsi="Arial"/>
                <w:sz w:val="14"/>
                <w:szCs w:val="14"/>
                <w:color w:val="auto"/>
                <w:w w:val="89"/>
              </w:rPr>
              <w:t>9/14/2021</w:t>
            </w:r>
          </w:p>
        </w:tc>
        <w:tc>
          <w:tcPr>
            <w:tcW w:w="1680" w:type="dxa"/>
            <w:vAlign w:val="bottom"/>
          </w:tcPr>
          <w:p>
            <w:pPr>
              <w:spacing w:after="0"/>
              <w:rPr>
                <w:sz w:val="17"/>
                <w:szCs w:val="17"/>
                <w:color w:val="auto"/>
              </w:rPr>
            </w:pP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rFonts w:ascii="Arial" w:cs="Arial" w:eastAsia="Arial" w:hAnsi="Arial"/>
                <w:sz w:val="14"/>
                <w:szCs w:val="14"/>
                <w:color w:val="0000FF"/>
                <w:w w:val="85"/>
              </w:rPr>
            </w:pPr>
            <w:hyperlink r:id="rId82">
              <w:r>
                <w:rPr>
                  <w:rFonts w:ascii="Arial" w:cs="Arial" w:eastAsia="Arial" w:hAnsi="Arial"/>
                  <w:sz w:val="14"/>
                  <w:szCs w:val="14"/>
                  <w:color w:val="0000FF"/>
                  <w:w w:val="85"/>
                </w:rPr>
                <w:t>Stock</w:t>
              </w:r>
            </w:hyperlink>
          </w:p>
        </w:tc>
        <w:tc>
          <w:tcPr>
            <w:tcW w:w="37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400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0"/>
              </w:rPr>
              <w:t>Certification of Chief Executive Officer pursuant to Rule 13a-14(a)/15d-</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1"/>
              </w:rPr>
              <w:t>14(a).</w:t>
            </w:r>
          </w:p>
        </w:tc>
        <w:tc>
          <w:tcPr>
            <w:tcW w:w="37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396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w w:val="90"/>
              </w:rPr>
              <w:t>Certification of Chief Financial Officer pursuant to Rule 13a-14(a)/15d-</w:t>
            </w:r>
          </w:p>
        </w:tc>
        <w:tc>
          <w:tcPr>
            <w:tcW w:w="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1"/>
              </w:rPr>
              <w:t>14(a).</w:t>
            </w:r>
          </w:p>
        </w:tc>
        <w:tc>
          <w:tcPr>
            <w:tcW w:w="37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4020" w:type="dxa"/>
            <w:vAlign w:val="bottom"/>
            <w:gridSpan w:val="11"/>
          </w:tcPr>
          <w:p>
            <w:pPr>
              <w:spacing w:after="0"/>
              <w:rPr>
                <w:sz w:val="20"/>
                <w:szCs w:val="20"/>
                <w:color w:val="auto"/>
              </w:rPr>
            </w:pPr>
            <w:r>
              <w:rPr>
                <w:rFonts w:ascii="Arial" w:cs="Arial" w:eastAsia="Arial" w:hAnsi="Arial"/>
                <w:sz w:val="14"/>
                <w:szCs w:val="14"/>
                <w:color w:val="0000FF"/>
                <w:w w:val="94"/>
              </w:rPr>
              <w:t>Certification of Chief Executive Officer pursuant to 18 U.S.C. Section</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79"/>
              </w:rPr>
              <w:t>1350.</w:t>
            </w: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4020" w:type="dxa"/>
            <w:vAlign w:val="bottom"/>
            <w:gridSpan w:val="11"/>
          </w:tcPr>
          <w:p>
            <w:pPr>
              <w:spacing w:after="0"/>
              <w:rPr>
                <w:sz w:val="20"/>
                <w:szCs w:val="20"/>
                <w:color w:val="auto"/>
              </w:rPr>
            </w:pPr>
            <w:r>
              <w:rPr>
                <w:rFonts w:ascii="Arial" w:cs="Arial" w:eastAsia="Arial" w:hAnsi="Arial"/>
                <w:sz w:val="14"/>
                <w:szCs w:val="14"/>
                <w:color w:val="0000FF"/>
                <w:w w:val="95"/>
              </w:rPr>
              <w:t>Certification of Chief Financial Officer pursuant to 18 U.S.C. Section</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79"/>
              </w:rPr>
              <w:t>1350.</w:t>
            </w: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6"/>
        </w:trPr>
        <w:tc>
          <w:tcPr>
            <w:tcW w:w="1160" w:type="dxa"/>
            <w:vAlign w:val="bottom"/>
          </w:tcPr>
          <w:p>
            <w:pPr>
              <w:jc w:val="center"/>
              <w:spacing w:after="0"/>
              <w:rPr>
                <w:sz w:val="20"/>
                <w:szCs w:val="20"/>
                <w:color w:val="auto"/>
              </w:rPr>
            </w:pPr>
            <w:r>
              <w:rPr>
                <w:rFonts w:ascii="Arial" w:cs="Arial" w:eastAsia="Arial" w:hAnsi="Arial"/>
                <w:sz w:val="14"/>
                <w:szCs w:val="14"/>
                <w:color w:val="auto"/>
                <w:w w:val="90"/>
              </w:rPr>
              <w:t>101.INS</w:t>
            </w:r>
          </w:p>
        </w:tc>
        <w:tc>
          <w:tcPr>
            <w:tcW w:w="4020" w:type="dxa"/>
            <w:vAlign w:val="bottom"/>
            <w:gridSpan w:val="11"/>
          </w:tcPr>
          <w:p>
            <w:pPr>
              <w:spacing w:after="0"/>
              <w:rPr>
                <w:sz w:val="20"/>
                <w:szCs w:val="20"/>
                <w:color w:val="auto"/>
              </w:rPr>
            </w:pPr>
            <w:r>
              <w:rPr>
                <w:rFonts w:ascii="Arial" w:cs="Arial" w:eastAsia="Arial" w:hAnsi="Arial"/>
                <w:sz w:val="14"/>
                <w:szCs w:val="14"/>
                <w:color w:val="auto"/>
                <w:w w:val="97"/>
              </w:rPr>
              <w:t>Inline XBRL Instance Document - the instance document does not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74"/>
        </w:trPr>
        <w:tc>
          <w:tcPr>
            <w:tcW w:w="1160" w:type="dxa"/>
            <w:vAlign w:val="bottom"/>
          </w:tcPr>
          <w:p>
            <w:pPr>
              <w:spacing w:after="0"/>
              <w:rPr>
                <w:sz w:val="15"/>
                <w:szCs w:val="15"/>
                <w:color w:val="auto"/>
              </w:rPr>
            </w:pPr>
          </w:p>
        </w:tc>
        <w:tc>
          <w:tcPr>
            <w:tcW w:w="4020" w:type="dxa"/>
            <w:vAlign w:val="bottom"/>
            <w:gridSpan w:val="11"/>
          </w:tcPr>
          <w:p>
            <w:pPr>
              <w:spacing w:after="0"/>
              <w:rPr>
                <w:sz w:val="20"/>
                <w:szCs w:val="20"/>
                <w:color w:val="auto"/>
              </w:rPr>
            </w:pPr>
            <w:r>
              <w:rPr>
                <w:rFonts w:ascii="Arial" w:cs="Arial" w:eastAsia="Arial" w:hAnsi="Arial"/>
                <w:sz w:val="14"/>
                <w:szCs w:val="14"/>
                <w:color w:val="auto"/>
                <w:w w:val="88"/>
              </w:rPr>
              <w:t>appear in the Interactive Data File because its XBRL tags are embedded</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4"/>
        </w:trPr>
        <w:tc>
          <w:tcPr>
            <w:tcW w:w="1160" w:type="dxa"/>
            <w:vAlign w:val="bottom"/>
          </w:tcPr>
          <w:p>
            <w:pPr>
              <w:spacing w:after="0"/>
              <w:rPr>
                <w:sz w:val="15"/>
                <w:szCs w:val="15"/>
                <w:color w:val="auto"/>
              </w:rPr>
            </w:pPr>
          </w:p>
        </w:tc>
        <w:tc>
          <w:tcPr>
            <w:tcW w:w="4020" w:type="dxa"/>
            <w:vAlign w:val="bottom"/>
            <w:gridSpan w:val="11"/>
          </w:tcPr>
          <w:p>
            <w:pPr>
              <w:spacing w:after="0"/>
              <w:rPr>
                <w:sz w:val="20"/>
                <w:szCs w:val="20"/>
                <w:color w:val="auto"/>
              </w:rPr>
            </w:pPr>
            <w:r>
              <w:rPr>
                <w:rFonts w:ascii="Arial" w:cs="Arial" w:eastAsia="Arial" w:hAnsi="Arial"/>
                <w:sz w:val="14"/>
                <w:szCs w:val="14"/>
                <w:color w:val="auto"/>
              </w:rPr>
              <w:t>within the Inline XBRL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9"/>
        </w:trPr>
        <w:tc>
          <w:tcPr>
            <w:tcW w:w="1160" w:type="dxa"/>
            <w:vAlign w:val="bottom"/>
          </w:tcPr>
          <w:p>
            <w:pPr>
              <w:jc w:val="center"/>
              <w:spacing w:after="0"/>
              <w:rPr>
                <w:sz w:val="20"/>
                <w:szCs w:val="20"/>
                <w:color w:val="auto"/>
              </w:rPr>
            </w:pPr>
            <w:r>
              <w:rPr>
                <w:rFonts w:ascii="Arial" w:cs="Arial" w:eastAsia="Arial" w:hAnsi="Arial"/>
                <w:sz w:val="14"/>
                <w:szCs w:val="14"/>
                <w:color w:val="auto"/>
                <w:w w:val="87"/>
              </w:rPr>
              <w:t>101.SCH</w:t>
            </w:r>
          </w:p>
        </w:tc>
        <w:tc>
          <w:tcPr>
            <w:tcW w:w="402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9"/>
        </w:trPr>
        <w:tc>
          <w:tcPr>
            <w:tcW w:w="1160" w:type="dxa"/>
            <w:vAlign w:val="bottom"/>
          </w:tcPr>
          <w:p>
            <w:pPr>
              <w:jc w:val="center"/>
              <w:spacing w:after="0"/>
              <w:rPr>
                <w:sz w:val="20"/>
                <w:szCs w:val="20"/>
                <w:color w:val="auto"/>
              </w:rPr>
            </w:pPr>
            <w:r>
              <w:rPr>
                <w:rFonts w:ascii="Arial" w:cs="Arial" w:eastAsia="Arial" w:hAnsi="Arial"/>
                <w:sz w:val="14"/>
                <w:szCs w:val="14"/>
                <w:color w:val="auto"/>
                <w:w w:val="91"/>
              </w:rPr>
              <w:t>101.CAL</w:t>
            </w:r>
          </w:p>
        </w:tc>
        <w:tc>
          <w:tcPr>
            <w:tcW w:w="4020" w:type="dxa"/>
            <w:vAlign w:val="bottom"/>
            <w:gridSpan w:val="11"/>
          </w:tcPr>
          <w:p>
            <w:pPr>
              <w:spacing w:after="0"/>
              <w:rPr>
                <w:sz w:val="20"/>
                <w:szCs w:val="20"/>
                <w:color w:val="auto"/>
              </w:rPr>
            </w:pPr>
            <w:r>
              <w:rPr>
                <w:rFonts w:ascii="Arial" w:cs="Arial" w:eastAsia="Arial" w:hAnsi="Arial"/>
                <w:sz w:val="14"/>
                <w:szCs w:val="14"/>
                <w:color w:val="auto"/>
                <w:w w:val="97"/>
              </w:rPr>
              <w:t>Inline XBRL Taxonomy Extension Calculation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9"/>
        </w:trPr>
        <w:tc>
          <w:tcPr>
            <w:tcW w:w="1160" w:type="dxa"/>
            <w:vAlign w:val="bottom"/>
          </w:tcPr>
          <w:p>
            <w:pPr>
              <w:jc w:val="center"/>
              <w:spacing w:after="0"/>
              <w:rPr>
                <w:sz w:val="20"/>
                <w:szCs w:val="20"/>
                <w:color w:val="auto"/>
              </w:rPr>
            </w:pPr>
            <w:r>
              <w:rPr>
                <w:rFonts w:ascii="Arial" w:cs="Arial" w:eastAsia="Arial" w:hAnsi="Arial"/>
                <w:sz w:val="14"/>
                <w:szCs w:val="14"/>
                <w:color w:val="auto"/>
                <w:w w:val="90"/>
              </w:rPr>
              <w:t>101.DEF</w:t>
            </w:r>
          </w:p>
        </w:tc>
        <w:tc>
          <w:tcPr>
            <w:tcW w:w="402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9"/>
        </w:trPr>
        <w:tc>
          <w:tcPr>
            <w:tcW w:w="1160" w:type="dxa"/>
            <w:vAlign w:val="bottom"/>
          </w:tcPr>
          <w:p>
            <w:pPr>
              <w:jc w:val="center"/>
              <w:spacing w:after="0"/>
              <w:rPr>
                <w:sz w:val="20"/>
                <w:szCs w:val="20"/>
                <w:color w:val="auto"/>
              </w:rPr>
            </w:pPr>
            <w:r>
              <w:rPr>
                <w:rFonts w:ascii="Arial" w:cs="Arial" w:eastAsia="Arial" w:hAnsi="Arial"/>
                <w:sz w:val="14"/>
                <w:szCs w:val="14"/>
                <w:color w:val="auto"/>
                <w:w w:val="93"/>
              </w:rPr>
              <w:t>101.LAB</w:t>
            </w:r>
          </w:p>
        </w:tc>
        <w:tc>
          <w:tcPr>
            <w:tcW w:w="4020" w:type="dxa"/>
            <w:vAlign w:val="bottom"/>
            <w:gridSpan w:val="1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9"/>
        </w:trPr>
        <w:tc>
          <w:tcPr>
            <w:tcW w:w="1160" w:type="dxa"/>
            <w:vAlign w:val="bottom"/>
          </w:tcPr>
          <w:p>
            <w:pPr>
              <w:jc w:val="center"/>
              <w:spacing w:after="0"/>
              <w:rPr>
                <w:sz w:val="20"/>
                <w:szCs w:val="20"/>
                <w:color w:val="auto"/>
              </w:rPr>
            </w:pPr>
            <w:r>
              <w:rPr>
                <w:rFonts w:ascii="Arial" w:cs="Arial" w:eastAsia="Arial" w:hAnsi="Arial"/>
                <w:sz w:val="14"/>
                <w:szCs w:val="14"/>
                <w:color w:val="auto"/>
                <w:w w:val="89"/>
              </w:rPr>
              <w:t>101.PRE</w:t>
            </w:r>
          </w:p>
        </w:tc>
        <w:tc>
          <w:tcPr>
            <w:tcW w:w="4020" w:type="dxa"/>
            <w:vAlign w:val="bottom"/>
            <w:gridSpan w:val="11"/>
          </w:tcPr>
          <w:p>
            <w:pPr>
              <w:spacing w:after="0"/>
              <w:rPr>
                <w:sz w:val="20"/>
                <w:szCs w:val="20"/>
                <w:color w:val="auto"/>
              </w:rPr>
            </w:pPr>
            <w:r>
              <w:rPr>
                <w:rFonts w:ascii="Arial" w:cs="Arial" w:eastAsia="Arial" w:hAnsi="Arial"/>
                <w:sz w:val="14"/>
                <w:szCs w:val="14"/>
                <w:color w:val="auto"/>
                <w:w w:val="95"/>
              </w:rPr>
              <w:t>Inline XBRL Taxonomy Extension Presentation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9"/>
        </w:trPr>
        <w:tc>
          <w:tcPr>
            <w:tcW w:w="116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4020" w:type="dxa"/>
            <w:vAlign w:val="bottom"/>
            <w:gridSpan w:val="11"/>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0"/>
        </w:trPr>
        <w:tc>
          <w:tcPr>
            <w:tcW w:w="1160" w:type="dxa"/>
            <w:vAlign w:val="bottom"/>
          </w:tcPr>
          <w:p>
            <w:pPr>
              <w:spacing w:after="0"/>
              <w:rPr>
                <w:sz w:val="15"/>
                <w:szCs w:val="15"/>
                <w:color w:val="auto"/>
              </w:rPr>
            </w:pPr>
          </w:p>
        </w:tc>
        <w:tc>
          <w:tcPr>
            <w:tcW w:w="4020" w:type="dxa"/>
            <w:vAlign w:val="bottom"/>
            <w:gridSpan w:val="11"/>
          </w:tcPr>
          <w:p>
            <w:pPr>
              <w:spacing w:after="0"/>
              <w:rPr>
                <w:sz w:val="20"/>
                <w:szCs w:val="20"/>
                <w:color w:val="auto"/>
              </w:rPr>
            </w:pPr>
            <w:r>
              <w:rPr>
                <w:rFonts w:ascii="Arial" w:cs="Arial" w:eastAsia="Arial" w:hAnsi="Arial"/>
                <w:sz w:val="14"/>
                <w:szCs w:val="14"/>
                <w:color w:val="auto"/>
              </w:rPr>
              <w:t>contained in Exhibit 101)</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32829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34" w:lineRule="exact"/>
        <w:rPr>
          <w:sz w:val="20"/>
          <w:szCs w:val="20"/>
          <w:color w:val="auto"/>
        </w:rPr>
      </w:pPr>
    </w:p>
    <w:p>
      <w:pPr>
        <w:ind w:left="1160" w:hanging="624"/>
        <w:spacing w:after="0"/>
        <w:tabs>
          <w:tab w:leader="none" w:pos="11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8" w:lineRule="exact"/>
        <w:rPr>
          <w:sz w:val="20"/>
          <w:szCs w:val="20"/>
          <w:color w:val="auto"/>
        </w:rPr>
      </w:pPr>
    </w:p>
    <w:p>
      <w:pPr>
        <w:ind w:left="1160" w:hanging="658"/>
        <w:spacing w:after="0"/>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spacing w:after="0"/>
        <w:rPr>
          <w:sz w:val="20"/>
          <w:szCs w:val="20"/>
          <w:color w:val="auto"/>
        </w:rPr>
      </w:pPr>
      <w:r>
        <w:rPr>
          <w:rFonts w:ascii="Arial" w:cs="Arial" w:eastAsia="Arial" w:hAnsi="Arial"/>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52" w:lineRule="exact"/>
        <w:rPr>
          <w:sz w:val="20"/>
          <w:szCs w:val="20"/>
          <w:color w:val="auto"/>
        </w:rPr>
      </w:pPr>
    </w:p>
    <w:p>
      <w:pPr>
        <w:ind w:right="220"/>
        <w:spacing w:after="0" w:line="250" w:lineRule="auto"/>
        <w:rPr>
          <w:sz w:val="20"/>
          <w:szCs w:val="20"/>
          <w:color w:val="auto"/>
        </w:rPr>
      </w:pPr>
      <w:r>
        <w:rPr>
          <w:rFonts w:ascii="Arial" w:cs="Arial" w:eastAsia="Arial" w:hAnsi="Arial"/>
          <w:sz w:val="19"/>
          <w:szCs w:val="19"/>
          <w:color w:val="auto"/>
        </w:rPr>
        <w:t>Pursuant to the requirements of the Securities Act of 1934, the registrant has duly caused this report to be signed on its behalf by the undersigned, thereunto duly authorized.</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Brilliant Earth Group, Inc.</w:t>
      </w:r>
    </w:p>
    <w:p>
      <w:pPr>
        <w:spacing w:after="0" w:line="246" w:lineRule="exact"/>
        <w:rPr>
          <w:sz w:val="20"/>
          <w:szCs w:val="20"/>
          <w:color w:val="auto"/>
        </w:rPr>
      </w:pPr>
    </w:p>
    <w:p>
      <w:pPr>
        <w:jc w:val="right"/>
        <w:spacing w:after="0"/>
        <w:tabs>
          <w:tab w:leader="none" w:pos="1360" w:val="left"/>
        </w:tabs>
        <w:rPr>
          <w:sz w:val="20"/>
          <w:szCs w:val="20"/>
          <w:color w:val="auto"/>
        </w:rPr>
      </w:pPr>
      <w:r>
        <w:rPr>
          <w:rFonts w:ascii="Arial" w:cs="Arial" w:eastAsia="Arial" w:hAnsi="Arial"/>
          <w:sz w:val="19"/>
          <w:szCs w:val="19"/>
          <w:color w:val="auto"/>
        </w:rPr>
        <w:t>November 10, 2022</w:t>
      </w:r>
      <w:r>
        <w:rPr>
          <w:sz w:val="20"/>
          <w:szCs w:val="20"/>
          <w:color w:val="auto"/>
        </w:rPr>
        <w:tab/>
      </w:r>
      <w:r>
        <w:rPr>
          <w:rFonts w:ascii="Arial" w:cs="Arial" w:eastAsia="Arial" w:hAnsi="Arial"/>
          <w:sz w:val="17"/>
          <w:szCs w:val="17"/>
          <w:u w:val="single" w:color="auto"/>
          <w:color w:val="auto"/>
        </w:rPr>
        <w:t>By:/s/ Jeffrey Kuo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Jeffrey Kuo</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Chief Financial Officer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36" w:right="339" w:bottom="1440" w:gutter="0" w:footer="0" w:header="0"/>
        </w:sectPr>
      </w:pPr>
    </w:p>
    <w:bookmarkStart w:id="63" w:name="page64"/>
    <w:bookmarkEnd w:id="63"/>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Beth Gerstein, certify that:</w:t>
      </w:r>
    </w:p>
    <w:p>
      <w:pPr>
        <w:spacing w:after="0" w:line="243"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Brilliant Earth Group, Inc.;</w:t>
      </w:r>
    </w:p>
    <w:p>
      <w:pPr>
        <w:spacing w:after="0" w:line="229" w:lineRule="exact"/>
        <w:rPr>
          <w:rFonts w:ascii="Arial" w:cs="Arial" w:eastAsia="Arial" w:hAnsi="Arial"/>
          <w:sz w:val="17"/>
          <w:szCs w:val="17"/>
          <w:color w:val="auto"/>
        </w:rPr>
      </w:pPr>
    </w:p>
    <w:p>
      <w:pPr>
        <w:ind w:left="620" w:right="140" w:hanging="307"/>
        <w:spacing w:after="0" w:line="331"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5"/>
          <w:szCs w:val="15"/>
          <w:color w:val="auto"/>
        </w:rPr>
      </w:pPr>
    </w:p>
    <w:p>
      <w:pPr>
        <w:ind w:left="620" w:right="580" w:hanging="307"/>
        <w:spacing w:after="0" w:line="295"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307"/>
        <w:spacing w:after="0" w:line="264"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201" w:lineRule="exact"/>
        <w:rPr>
          <w:rFonts w:ascii="Arial" w:cs="Arial" w:eastAsia="Arial" w:hAnsi="Arial"/>
          <w:sz w:val="17"/>
          <w:szCs w:val="17"/>
          <w:color w:val="auto"/>
        </w:rPr>
      </w:pPr>
    </w:p>
    <w:p>
      <w:pPr>
        <w:ind w:left="620" w:right="20" w:firstLine="2"/>
        <w:spacing w:after="0" w:line="250" w:lineRule="auto"/>
        <w:tabs>
          <w:tab w:leader="none" w:pos="854"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7"/>
          <w:szCs w:val="17"/>
          <w:color w:val="auto"/>
        </w:rPr>
      </w:pPr>
    </w:p>
    <w:p>
      <w:pPr>
        <w:ind w:left="860" w:hanging="238"/>
        <w:spacing w:after="0"/>
        <w:tabs>
          <w:tab w:leader="none" w:pos="8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[Omitted];</w:t>
      </w:r>
    </w:p>
    <w:p>
      <w:pPr>
        <w:spacing w:after="0" w:line="229" w:lineRule="exact"/>
        <w:rPr>
          <w:rFonts w:ascii="Arial" w:cs="Arial" w:eastAsia="Arial" w:hAnsi="Arial"/>
          <w:sz w:val="17"/>
          <w:szCs w:val="17"/>
          <w:color w:val="auto"/>
        </w:rPr>
      </w:pPr>
    </w:p>
    <w:p>
      <w:pPr>
        <w:ind w:left="620" w:firstLine="2"/>
        <w:spacing w:after="0" w:line="264" w:lineRule="auto"/>
        <w:tabs>
          <w:tab w:leader="none" w:pos="854"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7"/>
          <w:szCs w:val="17"/>
          <w:color w:val="auto"/>
        </w:rPr>
      </w:pPr>
    </w:p>
    <w:p>
      <w:pPr>
        <w:ind w:left="620" w:right="200" w:firstLine="2"/>
        <w:spacing w:after="0" w:line="266" w:lineRule="auto"/>
        <w:tabs>
          <w:tab w:leader="none" w:pos="86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480" w:hanging="307"/>
        <w:spacing w:after="0" w:line="295" w:lineRule="auto"/>
        <w:tabs>
          <w:tab w:leader="none" w:pos="6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620" w:right="100" w:firstLine="2"/>
        <w:spacing w:after="0" w:line="279" w:lineRule="auto"/>
        <w:tabs>
          <w:tab w:leader="none" w:pos="85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7"/>
          <w:szCs w:val="17"/>
          <w:color w:val="auto"/>
        </w:rPr>
      </w:pPr>
    </w:p>
    <w:p>
      <w:pPr>
        <w:ind w:left="620" w:right="140" w:firstLine="2"/>
        <w:spacing w:after="0" w:line="264" w:lineRule="auto"/>
        <w:tabs>
          <w:tab w:leader="none" w:pos="863"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480" w:type="dxa"/>
            <w:vAlign w:val="bottom"/>
          </w:tcPr>
          <w:p>
            <w:pPr>
              <w:spacing w:after="0"/>
              <w:rPr>
                <w:sz w:val="20"/>
                <w:szCs w:val="20"/>
                <w:color w:val="auto"/>
              </w:rPr>
            </w:pPr>
            <w:r>
              <w:rPr>
                <w:rFonts w:ascii="Arial" w:cs="Arial" w:eastAsia="Arial" w:hAnsi="Arial"/>
                <w:sz w:val="17"/>
                <w:szCs w:val="17"/>
                <w:color w:val="auto"/>
              </w:rPr>
              <w:t>Date: November 10, 2022</w:t>
            </w:r>
          </w:p>
        </w:tc>
        <w:tc>
          <w:tcPr>
            <w:tcW w:w="3300" w:type="dxa"/>
            <w:vAlign w:val="bottom"/>
            <w:gridSpan w:val="2"/>
          </w:tcPr>
          <w:p>
            <w:pPr>
              <w:spacing w:after="0"/>
              <w:rPr>
                <w:sz w:val="20"/>
                <w:szCs w:val="20"/>
                <w:color w:val="auto"/>
              </w:rPr>
            </w:pPr>
            <w:r>
              <w:rPr>
                <w:rFonts w:ascii="Arial" w:cs="Arial" w:eastAsia="Arial" w:hAnsi="Arial"/>
                <w:sz w:val="17"/>
                <w:szCs w:val="17"/>
                <w:color w:val="auto"/>
              </w:rPr>
              <w:t>By: /S/ Beth Gerstein</w:t>
            </w:r>
          </w:p>
        </w:tc>
      </w:tr>
      <w:tr>
        <w:trPr>
          <w:trHeight w:val="20"/>
        </w:trPr>
        <w:tc>
          <w:tcPr>
            <w:tcW w:w="2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87"/>
        </w:trPr>
        <w:tc>
          <w:tcPr>
            <w:tcW w:w="2480" w:type="dxa"/>
            <w:vAlign w:val="bottom"/>
          </w:tcPr>
          <w:p>
            <w:pPr>
              <w:spacing w:after="0"/>
              <w:rPr>
                <w:sz w:val="16"/>
                <w:szCs w:val="16"/>
                <w:color w:val="auto"/>
              </w:rPr>
            </w:pPr>
          </w:p>
        </w:tc>
        <w:tc>
          <w:tcPr>
            <w:tcW w:w="3300" w:type="dxa"/>
            <w:vAlign w:val="bottom"/>
            <w:gridSpan w:val="2"/>
          </w:tcPr>
          <w:p>
            <w:pPr>
              <w:ind w:left="1240"/>
              <w:spacing w:after="0" w:line="187" w:lineRule="exact"/>
              <w:rPr>
                <w:sz w:val="20"/>
                <w:szCs w:val="20"/>
                <w:color w:val="auto"/>
              </w:rPr>
            </w:pPr>
            <w:r>
              <w:rPr>
                <w:rFonts w:ascii="Arial" w:cs="Arial" w:eastAsia="Arial" w:hAnsi="Arial"/>
                <w:sz w:val="17"/>
                <w:szCs w:val="17"/>
                <w:color w:val="auto"/>
              </w:rPr>
              <w:t>Name: Beth Gerstein</w:t>
            </w:r>
          </w:p>
        </w:tc>
      </w:tr>
      <w:tr>
        <w:trPr>
          <w:trHeight w:val="217"/>
        </w:trPr>
        <w:tc>
          <w:tcPr>
            <w:tcW w:w="2480" w:type="dxa"/>
            <w:vAlign w:val="bottom"/>
          </w:tcPr>
          <w:p>
            <w:pPr>
              <w:spacing w:after="0"/>
              <w:rPr>
                <w:sz w:val="18"/>
                <w:szCs w:val="18"/>
                <w:color w:val="auto"/>
              </w:rPr>
            </w:pPr>
          </w:p>
        </w:tc>
        <w:tc>
          <w:tcPr>
            <w:tcW w:w="3300" w:type="dxa"/>
            <w:vAlign w:val="bottom"/>
            <w:gridSpan w:val="2"/>
          </w:tcPr>
          <w:p>
            <w:pPr>
              <w:ind w:left="1240"/>
              <w:spacing w:after="0"/>
              <w:rPr>
                <w:sz w:val="20"/>
                <w:szCs w:val="20"/>
                <w:color w:val="auto"/>
              </w:rPr>
            </w:pPr>
            <w:r>
              <w:rPr>
                <w:rFonts w:ascii="Arial" w:cs="Arial" w:eastAsia="Arial" w:hAnsi="Arial"/>
                <w:sz w:val="17"/>
                <w:szCs w:val="17"/>
                <w:color w:val="auto"/>
                <w:w w:val="95"/>
              </w:rPr>
              <w:t>Title: Chief Executive Officer</w:t>
            </w:r>
          </w:p>
        </w:tc>
      </w:tr>
    </w:tbl>
    <w:p>
      <w:pPr>
        <w:sectPr>
          <w:pgSz w:w="11900" w:h="16838" w:orient="portrait"/>
          <w:cols w:equalWidth="0" w:num="1">
            <w:col w:w="11240"/>
          </w:cols>
          <w:pgMar w:left="320" w:top="1440" w:right="339" w:bottom="1440" w:gutter="0" w:footer="0" w:header="0"/>
        </w:sectPr>
      </w:pPr>
    </w:p>
    <w:bookmarkStart w:id="64" w:name="page65"/>
    <w:bookmarkEnd w:id="64"/>
    <w:p>
      <w:pPr>
        <w:ind w:left="10020"/>
        <w:spacing w:after="0"/>
        <w:rPr>
          <w:sz w:val="20"/>
          <w:szCs w:val="20"/>
          <w:color w:val="auto"/>
        </w:rPr>
      </w:pPr>
      <w:r>
        <w:rPr>
          <w:rFonts w:ascii="Arial" w:cs="Arial" w:eastAsia="Arial" w:hAnsi="Arial"/>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Jeffrey Kuo, certify that:</w:t>
      </w:r>
    </w:p>
    <w:p>
      <w:pPr>
        <w:spacing w:after="0" w:line="243"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Brilliant Earth Group, Inc.;</w:t>
      </w:r>
    </w:p>
    <w:p>
      <w:pPr>
        <w:spacing w:after="0" w:line="229" w:lineRule="exact"/>
        <w:rPr>
          <w:rFonts w:ascii="Arial" w:cs="Arial" w:eastAsia="Arial" w:hAnsi="Arial"/>
          <w:sz w:val="17"/>
          <w:szCs w:val="17"/>
          <w:color w:val="auto"/>
        </w:rPr>
      </w:pPr>
    </w:p>
    <w:p>
      <w:pPr>
        <w:ind w:left="620" w:right="140" w:hanging="307"/>
        <w:spacing w:after="0" w:line="331"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5"/>
          <w:szCs w:val="15"/>
          <w:color w:val="auto"/>
        </w:rPr>
      </w:pPr>
    </w:p>
    <w:p>
      <w:pPr>
        <w:ind w:left="620" w:right="580" w:hanging="307"/>
        <w:spacing w:after="0" w:line="295"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307"/>
        <w:spacing w:after="0" w:line="26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201" w:lineRule="exact"/>
        <w:rPr>
          <w:rFonts w:ascii="Arial" w:cs="Arial" w:eastAsia="Arial" w:hAnsi="Arial"/>
          <w:sz w:val="17"/>
          <w:szCs w:val="17"/>
          <w:color w:val="auto"/>
        </w:rPr>
      </w:pPr>
    </w:p>
    <w:p>
      <w:pPr>
        <w:ind w:left="620" w:right="20" w:firstLine="2"/>
        <w:spacing w:after="0" w:line="250" w:lineRule="auto"/>
        <w:tabs>
          <w:tab w:leader="none" w:pos="854"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7"/>
          <w:szCs w:val="17"/>
          <w:color w:val="auto"/>
        </w:rPr>
      </w:pPr>
    </w:p>
    <w:p>
      <w:pPr>
        <w:ind w:left="860" w:hanging="238"/>
        <w:spacing w:after="0"/>
        <w:tabs>
          <w:tab w:leader="none" w:pos="8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[Omitted];</w:t>
      </w:r>
    </w:p>
    <w:p>
      <w:pPr>
        <w:spacing w:after="0" w:line="229" w:lineRule="exact"/>
        <w:rPr>
          <w:rFonts w:ascii="Arial" w:cs="Arial" w:eastAsia="Arial" w:hAnsi="Arial"/>
          <w:sz w:val="17"/>
          <w:szCs w:val="17"/>
          <w:color w:val="auto"/>
        </w:rPr>
      </w:pPr>
    </w:p>
    <w:p>
      <w:pPr>
        <w:ind w:left="620" w:firstLine="2"/>
        <w:spacing w:after="0" w:line="264" w:lineRule="auto"/>
        <w:tabs>
          <w:tab w:leader="none" w:pos="854"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7"/>
          <w:szCs w:val="17"/>
          <w:color w:val="auto"/>
        </w:rPr>
      </w:pPr>
    </w:p>
    <w:p>
      <w:pPr>
        <w:ind w:left="620" w:right="200" w:firstLine="2"/>
        <w:spacing w:after="0" w:line="266" w:lineRule="auto"/>
        <w:tabs>
          <w:tab w:leader="none" w:pos="863"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480" w:hanging="307"/>
        <w:spacing w:after="0" w:line="312" w:lineRule="auto"/>
        <w:tabs>
          <w:tab w:leader="none" w:pos="65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620" w:right="100" w:firstLine="2"/>
        <w:spacing w:after="0" w:line="264" w:lineRule="auto"/>
        <w:tabs>
          <w:tab w:leader="none" w:pos="85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7"/>
          <w:szCs w:val="17"/>
          <w:color w:val="auto"/>
        </w:rPr>
      </w:pPr>
    </w:p>
    <w:p>
      <w:pPr>
        <w:ind w:left="620" w:right="140" w:firstLine="2"/>
        <w:spacing w:after="0" w:line="279" w:lineRule="auto"/>
        <w:tabs>
          <w:tab w:leader="none" w:pos="863"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300" w:type="dxa"/>
            <w:vAlign w:val="bottom"/>
          </w:tcPr>
          <w:p>
            <w:pPr>
              <w:spacing w:after="0"/>
              <w:rPr>
                <w:sz w:val="20"/>
                <w:szCs w:val="20"/>
                <w:color w:val="auto"/>
              </w:rPr>
            </w:pPr>
            <w:r>
              <w:rPr>
                <w:rFonts w:ascii="Arial" w:cs="Arial" w:eastAsia="Arial" w:hAnsi="Arial"/>
                <w:sz w:val="17"/>
                <w:szCs w:val="17"/>
                <w:color w:val="auto"/>
              </w:rPr>
              <w:t>Date: November 10, 2022</w:t>
            </w:r>
          </w:p>
        </w:tc>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By: /S/ Jeffrey Kuo</w:t>
            </w:r>
          </w:p>
        </w:tc>
        <w:tc>
          <w:tcPr>
            <w:tcW w:w="1460" w:type="dxa"/>
            <w:vAlign w:val="bottom"/>
          </w:tcPr>
          <w:p>
            <w:pPr>
              <w:spacing w:after="0"/>
              <w:rPr>
                <w:sz w:val="16"/>
                <w:szCs w:val="16"/>
                <w:color w:val="auto"/>
              </w:rPr>
            </w:pPr>
          </w:p>
        </w:tc>
      </w:tr>
      <w:tr>
        <w:trPr>
          <w:trHeight w:val="200"/>
        </w:trPr>
        <w:tc>
          <w:tcPr>
            <w:tcW w:w="2300" w:type="dxa"/>
            <w:vAlign w:val="bottom"/>
          </w:tcPr>
          <w:p>
            <w:pPr>
              <w:spacing w:after="0"/>
              <w:rPr>
                <w:sz w:val="17"/>
                <w:szCs w:val="17"/>
                <w:color w:val="auto"/>
              </w:rPr>
            </w:pPr>
          </w:p>
        </w:tc>
        <w:tc>
          <w:tcPr>
            <w:tcW w:w="2800" w:type="dxa"/>
            <w:vAlign w:val="bottom"/>
            <w:gridSpan w:val="2"/>
          </w:tcPr>
          <w:p>
            <w:pPr>
              <w:ind w:left="800"/>
              <w:spacing w:after="0"/>
              <w:rPr>
                <w:sz w:val="20"/>
                <w:szCs w:val="20"/>
                <w:color w:val="auto"/>
              </w:rPr>
            </w:pPr>
            <w:r>
              <w:rPr>
                <w:rFonts w:ascii="Arial" w:cs="Arial" w:eastAsia="Arial" w:hAnsi="Arial"/>
                <w:sz w:val="17"/>
                <w:szCs w:val="17"/>
                <w:color w:val="auto"/>
              </w:rPr>
              <w:t>Name: Jeffrey Kuo</w:t>
            </w:r>
          </w:p>
        </w:tc>
      </w:tr>
      <w:tr>
        <w:trPr>
          <w:trHeight w:val="217"/>
        </w:trPr>
        <w:tc>
          <w:tcPr>
            <w:tcW w:w="2300" w:type="dxa"/>
            <w:vAlign w:val="bottom"/>
          </w:tcPr>
          <w:p>
            <w:pPr>
              <w:spacing w:after="0"/>
              <w:rPr>
                <w:sz w:val="18"/>
                <w:szCs w:val="18"/>
                <w:color w:val="auto"/>
              </w:rPr>
            </w:pPr>
          </w:p>
        </w:tc>
        <w:tc>
          <w:tcPr>
            <w:tcW w:w="2800" w:type="dxa"/>
            <w:vAlign w:val="bottom"/>
            <w:gridSpan w:val="2"/>
          </w:tcPr>
          <w:p>
            <w:pPr>
              <w:ind w:left="800"/>
              <w:spacing w:after="0"/>
              <w:rPr>
                <w:sz w:val="20"/>
                <w:szCs w:val="20"/>
                <w:color w:val="auto"/>
              </w:rPr>
            </w:pPr>
            <w:r>
              <w:rPr>
                <w:rFonts w:ascii="Arial" w:cs="Arial" w:eastAsia="Arial" w:hAnsi="Arial"/>
                <w:sz w:val="17"/>
                <w:szCs w:val="17"/>
                <w:color w:val="auto"/>
                <w:w w:val="94"/>
              </w:rPr>
              <w:t>Title: Chief Financial Officer</w:t>
            </w:r>
          </w:p>
        </w:tc>
      </w:tr>
    </w:tbl>
    <w:p>
      <w:pPr>
        <w:sectPr>
          <w:pgSz w:w="11900" w:h="16838" w:orient="portrait"/>
          <w:cols w:equalWidth="0" w:num="1">
            <w:col w:w="11240"/>
          </w:cols>
          <w:pgMar w:left="320" w:top="135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6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Certification of CEO Pursuant to 18 U.S.C. Section 1350,</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217"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color w:val="auto"/>
        </w:rPr>
        <w:t>In connection with the Quarterly Report of Brilliant Earth Group, Inc. (the “Company”) on Form 10-Q for the period ended September 30, 2022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2700" w:val="left"/>
        </w:tabs>
        <w:rPr>
          <w:sz w:val="20"/>
          <w:szCs w:val="20"/>
          <w:color w:val="auto"/>
        </w:rPr>
      </w:pPr>
      <w:r>
        <w:rPr>
          <w:rFonts w:ascii="Arial" w:cs="Arial" w:eastAsia="Arial" w:hAnsi="Arial"/>
          <w:sz w:val="19"/>
          <w:szCs w:val="19"/>
          <w:color w:val="auto"/>
        </w:rPr>
        <w:t>Date: November 10, 2022</w:t>
      </w:r>
      <w:r>
        <w:rPr>
          <w:sz w:val="20"/>
          <w:szCs w:val="20"/>
          <w:color w:val="auto"/>
        </w:rPr>
        <w:tab/>
      </w:r>
      <w:r>
        <w:rPr>
          <w:rFonts w:ascii="Arial" w:cs="Arial" w:eastAsia="Arial" w:hAnsi="Arial"/>
          <w:sz w:val="17"/>
          <w:szCs w:val="17"/>
          <w:u w:val="single" w:color="auto"/>
          <w:color w:val="auto"/>
        </w:rPr>
        <w:t>By: /S/ Beth Gerstein</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Name: Beth Gerstein</w:t>
      </w:r>
    </w:p>
    <w:p>
      <w:pPr>
        <w:ind w:left="4340"/>
        <w:spacing w:after="0"/>
        <w:rPr>
          <w:sz w:val="20"/>
          <w:szCs w:val="20"/>
          <w:color w:val="auto"/>
        </w:rPr>
      </w:pPr>
      <w:r>
        <w:rPr>
          <w:rFonts w:ascii="Arial" w:cs="Arial" w:eastAsia="Arial" w:hAnsi="Arial"/>
          <w:sz w:val="19"/>
          <w:szCs w:val="19"/>
          <w:color w:val="auto"/>
        </w:rPr>
        <w:t>Title: Chief Executive Officer</w:t>
      </w:r>
    </w:p>
    <w:p>
      <w:pPr>
        <w:sectPr>
          <w:pgSz w:w="11900" w:h="16838" w:orient="portrait"/>
          <w:cols w:equalWidth="0" w:num="1">
            <w:col w:w="10620"/>
          </w:cols>
          <w:pgMar w:left="940" w:top="135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65" w:lineRule="exact"/>
        <w:rPr>
          <w:sz w:val="20"/>
          <w:szCs w:val="20"/>
          <w:color w:val="auto"/>
        </w:rPr>
      </w:pPr>
    </w:p>
    <w:p>
      <w:pPr>
        <w:ind w:left="1220" w:right="3320" w:firstLine="1487"/>
        <w:spacing w:after="0" w:line="331" w:lineRule="auto"/>
        <w:rPr>
          <w:sz w:val="20"/>
          <w:szCs w:val="20"/>
          <w:color w:val="auto"/>
        </w:rPr>
      </w:pPr>
      <w:r>
        <w:rPr>
          <w:rFonts w:ascii="Arial" w:cs="Arial" w:eastAsia="Arial" w:hAnsi="Arial"/>
          <w:sz w:val="17"/>
          <w:szCs w:val="17"/>
          <w:b w:val="1"/>
          <w:bCs w:val="1"/>
          <w:color w:val="auto"/>
        </w:rPr>
        <w:t>Certification of CFO Pursuant to 18 U.S.C. Section 1350, As Adopted Pursuant to Section 906 of the Sarbanes-Oxley Act of 2002</w:t>
      </w:r>
    </w:p>
    <w:p>
      <w:pPr>
        <w:spacing w:after="0" w:line="137"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In connection with the Quarterly Report of Brilliant Earth Group, Inc. (the “Company”) on Form 10-Q for the period ended September 30, 2022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700" w:val="left"/>
        </w:tabs>
        <w:rPr>
          <w:sz w:val="20"/>
          <w:szCs w:val="20"/>
          <w:color w:val="auto"/>
        </w:rPr>
      </w:pPr>
      <w:r>
        <w:rPr>
          <w:rFonts w:ascii="Arial" w:cs="Arial" w:eastAsia="Arial" w:hAnsi="Arial"/>
          <w:sz w:val="19"/>
          <w:szCs w:val="19"/>
          <w:color w:val="auto"/>
        </w:rPr>
        <w:t>Date: November 10, 2022</w:t>
      </w:r>
      <w:r>
        <w:rPr>
          <w:sz w:val="20"/>
          <w:szCs w:val="20"/>
          <w:color w:val="auto"/>
        </w:rPr>
        <w:tab/>
      </w:r>
      <w:r>
        <w:rPr>
          <w:rFonts w:ascii="Arial" w:cs="Arial" w:eastAsia="Arial" w:hAnsi="Arial"/>
          <w:sz w:val="17"/>
          <w:szCs w:val="17"/>
          <w:u w:val="single" w:color="auto"/>
          <w:color w:val="auto"/>
        </w:rPr>
        <w:t>By: /S/ Jeffrey Kuo</w:t>
      </w:r>
    </w:p>
    <w:p>
      <w:pPr>
        <w:spacing w:after="0" w:line="17"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Name: Jeffrey Kuo</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Title: Chief Financial Officer</w:t>
      </w:r>
    </w:p>
    <w:sectPr>
      <w:pgSz w:w="11900" w:h="16838" w:orient="portrait"/>
      <w:cols w:equalWidth="0" w:num="1">
        <w:col w:w="10620"/>
      </w:cols>
      <w:pgMar w:left="94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0" Type="http://schemas.openxmlformats.org/officeDocument/2006/relationships/hyperlink" Target="https://www.sec.gov/Archives/edgar/data/0001866757/000119312521284281/d61525dex31.htm" TargetMode="External"/><Relationship Id="rId81" Type="http://schemas.openxmlformats.org/officeDocument/2006/relationships/hyperlink" Target="https://www.sec.gov/Archives/edgar/data/0001866757/000119312521284281/d61525dex32.htm" TargetMode="External"/><Relationship Id="rId82" Type="http://schemas.openxmlformats.org/officeDocument/2006/relationships/hyperlink" Target="https://www.sec.gov/Archives/edgar/data/0001866757/000119312521272138/d643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2022-11-10T19:12:46Z</dcterms:created>
  <dcterms:modified xsi:type="dcterms:W3CDTF">2022-11-10T19:12:46Z</dcterms:modified>
</cp:coreProperties>
</file>