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361315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385445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64135</wp:posOffset>
            </wp:positionV>
            <wp:extent cx="22269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47625</wp:posOffset>
            </wp:positionV>
            <wp:extent cx="2226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150" w:lineRule="exact"/>
        <w:rPr>
          <w:sz w:val="24"/>
          <w:szCs w:val="24"/>
          <w:color w:val="auto"/>
        </w:rPr>
      </w:pPr>
    </w:p>
    <w:p>
      <w:pPr>
        <w:ind w:left="360" w:hanging="339"/>
        <w:spacing w:after="0"/>
        <w:tabs>
          <w:tab w:leader="none" w:pos="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quarterly period ended March 31, 2026</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37" w:lineRule="exact"/>
        <w:rPr>
          <w:sz w:val="24"/>
          <w:szCs w:val="24"/>
          <w:color w:val="auto"/>
        </w:rPr>
      </w:pPr>
    </w:p>
    <w:p>
      <w:pPr>
        <w:ind w:left="360" w:hanging="339"/>
        <w:spacing w:after="0"/>
        <w:tabs>
          <w:tab w:leader="none" w:pos="3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82" w:lineRule="exact"/>
        <w:rPr>
          <w:sz w:val="24"/>
          <w:szCs w:val="24"/>
          <w:color w:val="auto"/>
        </w:rPr>
      </w:pPr>
    </w:p>
    <w:p>
      <w:pPr>
        <w:ind w:left="4380"/>
        <w:spacing w:after="0"/>
        <w:tabs>
          <w:tab w:leader="none" w:pos="672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001-40836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72390</wp:posOffset>
            </wp:positionV>
            <wp:extent cx="2226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Brilliant Earth Group, Inc.</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66040</wp:posOffset>
            </wp:positionV>
            <wp:extent cx="2226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309" w:lineRule="exact"/>
        <w:rPr>
          <w:sz w:val="24"/>
          <w:szCs w:val="24"/>
          <w:color w:val="auto"/>
        </w:rPr>
      </w:pPr>
    </w:p>
    <w:tbl>
      <w:tblPr>
        <w:tblLayout w:type="fixed"/>
        <w:tblInd w:w="720" w:type="dxa"/>
        <w:tblCellMar>
          <w:top w:w="0" w:type="dxa"/>
          <w:left w:w="0" w:type="dxa"/>
          <w:bottom w:w="0" w:type="dxa"/>
          <w:right w:w="0" w:type="dxa"/>
        </w:tblCellMar>
      </w:tblPr>
      <w:tr>
        <w:trPr>
          <w:trHeight w:val="227"/>
        </w:trPr>
        <w:tc>
          <w:tcPr>
            <w:tcW w:w="5220" w:type="dxa"/>
            <w:vAlign w:val="bottom"/>
          </w:tcPr>
          <w:p>
            <w:pPr>
              <w:jc w:val="center"/>
              <w:ind w:right="1014"/>
              <w:spacing w:after="0"/>
              <w:rPr>
                <w:sz w:val="20"/>
                <w:szCs w:val="20"/>
                <w:color w:val="auto"/>
              </w:rPr>
            </w:pPr>
            <w:r>
              <w:rPr>
                <w:rFonts w:ascii="Times New Roman" w:cs="Times New Roman" w:eastAsia="Times New Roman" w:hAnsi="Times New Roman"/>
                <w:sz w:val="17"/>
                <w:szCs w:val="17"/>
                <w:b w:val="1"/>
                <w:bCs w:val="1"/>
                <w:color w:val="auto"/>
              </w:rPr>
              <w:t>Nevada</w:t>
            </w:r>
          </w:p>
        </w:tc>
        <w:tc>
          <w:tcPr>
            <w:tcW w:w="3920" w:type="dxa"/>
            <w:vAlign w:val="bottom"/>
          </w:tcPr>
          <w:p>
            <w:pPr>
              <w:jc w:val="right"/>
              <w:ind w:right="894"/>
              <w:spacing w:after="0"/>
              <w:rPr>
                <w:sz w:val="20"/>
                <w:szCs w:val="20"/>
                <w:color w:val="auto"/>
              </w:rPr>
            </w:pPr>
            <w:r>
              <w:rPr>
                <w:rFonts w:ascii="Times New Roman" w:cs="Times New Roman" w:eastAsia="Times New Roman" w:hAnsi="Times New Roman"/>
                <w:sz w:val="17"/>
                <w:szCs w:val="17"/>
                <w:b w:val="1"/>
                <w:bCs w:val="1"/>
                <w:color w:val="auto"/>
              </w:rPr>
              <w:t>87-1015499</w:t>
            </w:r>
          </w:p>
        </w:tc>
      </w:tr>
      <w:tr>
        <w:trPr>
          <w:trHeight w:val="271"/>
        </w:trPr>
        <w:tc>
          <w:tcPr>
            <w:tcW w:w="5220" w:type="dxa"/>
            <w:vAlign w:val="bottom"/>
          </w:tcPr>
          <w:p>
            <w:pPr>
              <w:jc w:val="center"/>
              <w:ind w:right="1014"/>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3920" w:type="dxa"/>
            <w:vAlign w:val="bottom"/>
          </w:tcPr>
          <w:p>
            <w:pPr>
              <w:jc w:val="center"/>
              <w:ind w:left="1034"/>
              <w:spacing w:after="0"/>
              <w:rPr>
                <w:sz w:val="20"/>
                <w:szCs w:val="20"/>
                <w:color w:val="auto"/>
              </w:rPr>
            </w:pPr>
            <w:r>
              <w:rPr>
                <w:rFonts w:ascii="Times New Roman" w:cs="Times New Roman" w:eastAsia="Times New Roman" w:hAnsi="Times New Roman"/>
                <w:sz w:val="17"/>
                <w:szCs w:val="17"/>
                <w:color w:val="auto"/>
              </w:rPr>
              <w:t>(I.R.S. Employer Identification Number)</w:t>
            </w:r>
          </w:p>
        </w:tc>
      </w:tr>
      <w:tr>
        <w:trPr>
          <w:trHeight w:val="250"/>
        </w:trPr>
        <w:tc>
          <w:tcPr>
            <w:tcW w:w="5220" w:type="dxa"/>
            <w:vAlign w:val="bottom"/>
          </w:tcPr>
          <w:p>
            <w:pPr>
              <w:jc w:val="center"/>
              <w:ind w:right="1014"/>
              <w:spacing w:after="0"/>
              <w:rPr>
                <w:sz w:val="20"/>
                <w:szCs w:val="20"/>
                <w:color w:val="auto"/>
              </w:rPr>
            </w:pPr>
            <w:r>
              <w:rPr>
                <w:rFonts w:ascii="Times New Roman" w:cs="Times New Roman" w:eastAsia="Times New Roman" w:hAnsi="Times New Roman"/>
                <w:sz w:val="17"/>
                <w:szCs w:val="17"/>
                <w:b w:val="1"/>
                <w:bCs w:val="1"/>
                <w:color w:val="auto"/>
                <w:w w:val="99"/>
              </w:rPr>
              <w:t>300 Grant Avenue, Third Floor</w:t>
            </w:r>
          </w:p>
        </w:tc>
        <w:tc>
          <w:tcPr>
            <w:tcW w:w="3920" w:type="dxa"/>
            <w:vAlign w:val="bottom"/>
          </w:tcPr>
          <w:p>
            <w:pPr>
              <w:spacing w:after="0"/>
              <w:rPr>
                <w:sz w:val="21"/>
                <w:szCs w:val="21"/>
                <w:color w:val="auto"/>
              </w:rPr>
            </w:pPr>
          </w:p>
        </w:tc>
      </w:tr>
      <w:tr>
        <w:trPr>
          <w:trHeight w:val="240"/>
        </w:trPr>
        <w:tc>
          <w:tcPr>
            <w:tcW w:w="5220" w:type="dxa"/>
            <w:vAlign w:val="bottom"/>
          </w:tcPr>
          <w:p>
            <w:pPr>
              <w:jc w:val="center"/>
              <w:ind w:right="1014"/>
              <w:spacing w:after="0"/>
              <w:rPr>
                <w:sz w:val="20"/>
                <w:szCs w:val="20"/>
                <w:color w:val="auto"/>
              </w:rPr>
            </w:pPr>
            <w:r>
              <w:rPr>
                <w:rFonts w:ascii="Times New Roman" w:cs="Times New Roman" w:eastAsia="Times New Roman" w:hAnsi="Times New Roman"/>
                <w:sz w:val="17"/>
                <w:szCs w:val="17"/>
                <w:b w:val="1"/>
                <w:bCs w:val="1"/>
                <w:color w:val="auto"/>
              </w:rPr>
              <w:t>San Francisco, CA</w:t>
            </w:r>
          </w:p>
        </w:tc>
        <w:tc>
          <w:tcPr>
            <w:tcW w:w="3920" w:type="dxa"/>
            <w:vAlign w:val="bottom"/>
          </w:tcPr>
          <w:p>
            <w:pPr>
              <w:jc w:val="right"/>
              <w:ind w:right="1094"/>
              <w:spacing w:after="0"/>
              <w:rPr>
                <w:sz w:val="20"/>
                <w:szCs w:val="20"/>
                <w:color w:val="auto"/>
              </w:rPr>
            </w:pPr>
            <w:r>
              <w:rPr>
                <w:rFonts w:ascii="Times New Roman" w:cs="Times New Roman" w:eastAsia="Times New Roman" w:hAnsi="Times New Roman"/>
                <w:sz w:val="17"/>
                <w:szCs w:val="17"/>
                <w:b w:val="1"/>
                <w:bCs w:val="1"/>
                <w:color w:val="auto"/>
              </w:rPr>
              <w:t>94108</w:t>
            </w:r>
          </w:p>
        </w:tc>
      </w:tr>
      <w:tr>
        <w:trPr>
          <w:trHeight w:val="271"/>
        </w:trPr>
        <w:tc>
          <w:tcPr>
            <w:tcW w:w="5220" w:type="dxa"/>
            <w:vAlign w:val="bottom"/>
          </w:tcPr>
          <w:p>
            <w:pPr>
              <w:jc w:val="center"/>
              <w:ind w:right="1014"/>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920" w:type="dxa"/>
            <w:vAlign w:val="bottom"/>
          </w:tcPr>
          <w:p>
            <w:pPr>
              <w:jc w:val="center"/>
              <w:ind w:left="1034"/>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(800) 691-0952</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24765</wp:posOffset>
            </wp:positionV>
            <wp:extent cx="2226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64" w:lineRule="exact"/>
        <w:rPr>
          <w:sz w:val="24"/>
          <w:szCs w:val="24"/>
          <w:color w:val="auto"/>
        </w:rPr>
      </w:pPr>
    </w:p>
    <w:tbl>
      <w:tblPr>
        <w:tblLayout w:type="fixed"/>
        <w:tblInd w:w="40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84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2000" w:type="dxa"/>
            <w:vAlign w:val="bottom"/>
            <w:gridSpan w:val="2"/>
          </w:tcPr>
          <w:p>
            <w:pPr>
              <w:jc w:val="center"/>
              <w:ind w:left="831"/>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4520" w:type="dxa"/>
            <w:vAlign w:val="bottom"/>
            <w:gridSpan w:val="2"/>
          </w:tcPr>
          <w:p>
            <w:pPr>
              <w:jc w:val="center"/>
              <w:ind w:left="1891"/>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20"/>
        </w:trPr>
        <w:tc>
          <w:tcPr>
            <w:tcW w:w="9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r>
      <w:tr>
        <w:trPr>
          <w:trHeight w:val="228"/>
        </w:trPr>
        <w:tc>
          <w:tcPr>
            <w:tcW w:w="376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color w:val="auto"/>
                <w:w w:val="98"/>
              </w:rPr>
              <w:t>Class A common stock, $0.0001 par value per share</w:t>
            </w:r>
          </w:p>
        </w:tc>
        <w:tc>
          <w:tcPr>
            <w:tcW w:w="9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BRLT</w:t>
            </w:r>
          </w:p>
        </w:tc>
        <w:tc>
          <w:tcPr>
            <w:tcW w:w="1960" w:type="dxa"/>
            <w:vAlign w:val="bottom"/>
          </w:tcPr>
          <w:p>
            <w:pPr>
              <w:spacing w:after="0"/>
              <w:rPr>
                <w:sz w:val="19"/>
                <w:szCs w:val="19"/>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The Nasdaq Global Market</w:t>
            </w:r>
          </w:p>
        </w:tc>
      </w:tr>
    </w:tbl>
    <w:p>
      <w:pPr>
        <w:spacing w:after="0" w:line="131" w:lineRule="exact"/>
        <w:rPr>
          <w:sz w:val="24"/>
          <w:szCs w:val="24"/>
          <w:color w:val="auto"/>
        </w:rPr>
      </w:pPr>
    </w:p>
    <w:p>
      <w:pPr>
        <w:jc w:val="both"/>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2" w:lineRule="exact"/>
        <w:rPr>
          <w:sz w:val="24"/>
          <w:szCs w:val="24"/>
          <w:color w:val="auto"/>
        </w:rPr>
      </w:pPr>
    </w:p>
    <w:p>
      <w:pPr>
        <w:jc w:val="both"/>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9" w:lineRule="exact"/>
        <w:rPr>
          <w:sz w:val="24"/>
          <w:szCs w:val="24"/>
          <w:color w:val="auto"/>
        </w:rPr>
      </w:pPr>
    </w:p>
    <w:p>
      <w:pPr>
        <w:jc w:val="both"/>
        <w:spacing w:after="0" w:line="298"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large accelerated filer, an accelerated filer, a non-accelerated filer, a smaller reporting company, or an emerging growth company. See the definitions of </w:t>
      </w:r>
      <w:r>
        <w:rPr>
          <w:rFonts w:ascii="Times New Roman" w:cs="Times New Roman" w:eastAsia="Times New Roman" w:hAnsi="Times New Roman"/>
          <w:sz w:val="15"/>
          <w:szCs w:val="15"/>
          <w:color w:val="auto"/>
        </w:rPr>
        <w:t>“</w:t>
      </w:r>
      <w:r>
        <w:rPr>
          <w:rFonts w:ascii="Times New Roman" w:cs="Times New Roman" w:eastAsia="Times New Roman" w:hAnsi="Times New Roman"/>
          <w:sz w:val="13"/>
          <w:szCs w:val="13"/>
          <w:color w:val="auto"/>
        </w:rPr>
        <w:t>large accelerated filer,</w:t>
      </w:r>
      <w:r>
        <w:rPr>
          <w:rFonts w:ascii="Times New Roman" w:cs="Times New Roman" w:eastAsia="Times New Roman" w:hAnsi="Times New Roman"/>
          <w:sz w:val="15"/>
          <w:szCs w:val="15"/>
          <w:color w:val="auto"/>
        </w:rPr>
        <w:t>” “</w:t>
      </w:r>
      <w:r>
        <w:rPr>
          <w:rFonts w:ascii="Times New Roman" w:cs="Times New Roman" w:eastAsia="Times New Roman" w:hAnsi="Times New Roman"/>
          <w:sz w:val="13"/>
          <w:szCs w:val="13"/>
          <w:color w:val="auto"/>
        </w:rPr>
        <w:t>accelerated filer,</w:t>
      </w:r>
      <w:r>
        <w:rPr>
          <w:rFonts w:ascii="Times New Roman" w:cs="Times New Roman" w:eastAsia="Times New Roman" w:hAnsi="Times New Roman"/>
          <w:sz w:val="15"/>
          <w:szCs w:val="15"/>
          <w:color w:val="auto"/>
        </w:rPr>
        <w:t>” “</w:t>
      </w:r>
      <w:r>
        <w:rPr>
          <w:rFonts w:ascii="Times New Roman" w:cs="Times New Roman" w:eastAsia="Times New Roman" w:hAnsi="Times New Roman"/>
          <w:sz w:val="13"/>
          <w:szCs w:val="13"/>
          <w:color w:val="auto"/>
        </w:rPr>
        <w:t>smaller reporting company,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3"/>
          <w:szCs w:val="13"/>
          <w:color w:val="auto"/>
        </w:rPr>
        <w:t>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3"/>
          <w:szCs w:val="13"/>
          <w:color w:val="auto"/>
        </w:rPr>
        <w:t>emerging growth company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3"/>
          <w:szCs w:val="13"/>
          <w:color w:val="auto"/>
        </w:rPr>
        <w:t>in Rule 12b-2 of the Exchange Act.</w:t>
      </w:r>
    </w:p>
    <w:p>
      <w:pPr>
        <w:spacing w:after="0" w:line="32" w:lineRule="exact"/>
        <w:rPr>
          <w:sz w:val="24"/>
          <w:szCs w:val="24"/>
          <w:color w:val="auto"/>
        </w:rPr>
      </w:pPr>
    </w:p>
    <w:tbl>
      <w:tblPr>
        <w:tblLayout w:type="fixed"/>
        <w:tblInd w:w="20" w:type="dxa"/>
        <w:tblCellMar>
          <w:top w:w="0" w:type="dxa"/>
          <w:left w:w="0" w:type="dxa"/>
          <w:bottom w:w="0" w:type="dxa"/>
          <w:right w:w="0" w:type="dxa"/>
        </w:tblCellMar>
      </w:tblPr>
      <w:tr>
        <w:trPr>
          <w:trHeight w:val="219"/>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18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2280"/>
              <w:spacing w:after="0"/>
              <w:rPr>
                <w:sz w:val="20"/>
                <w:szCs w:val="20"/>
                <w:color w:val="auto"/>
              </w:rPr>
            </w:pPr>
            <w:r>
              <w:rPr>
                <w:rFonts w:ascii="Times New Roman" w:cs="Times New Roman" w:eastAsia="Times New Roman" w:hAnsi="Times New Roman"/>
                <w:sz w:val="14"/>
                <w:szCs w:val="14"/>
                <w:color w:val="auto"/>
              </w:rPr>
              <w:t>Accelerated filer</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1"/>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18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22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20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320" w:type="dxa"/>
            <w:vAlign w:val="bottom"/>
          </w:tcPr>
          <w:p>
            <w:pPr>
              <w:ind w:left="2280"/>
              <w:spacing w:after="0"/>
              <w:rPr>
                <w:sz w:val="20"/>
                <w:szCs w:val="20"/>
                <w:color w:val="auto"/>
              </w:rPr>
            </w:pPr>
            <w:r>
              <w:rPr>
                <w:rFonts w:ascii="Times New Roman" w:cs="Times New Roman" w:eastAsia="Times New Roman" w:hAnsi="Times New Roman"/>
                <w:sz w:val="14"/>
                <w:szCs w:val="14"/>
                <w:color w:val="auto"/>
              </w:rPr>
              <w:t>Emerging growth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4" w:lineRule="exact"/>
        <w:rPr>
          <w:sz w:val="24"/>
          <w:szCs w:val="24"/>
          <w:color w:val="auto"/>
        </w:rPr>
      </w:pPr>
    </w:p>
    <w:p>
      <w:pPr>
        <w:jc w:val="both"/>
        <w:ind w:firstLine="77"/>
        <w:spacing w:after="0" w:line="17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left="3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92"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As of May 1, 2026, there were 16,258,882 shares of the registrant's Class A common stock, $0.0001 par value per share, outstanding, 35,822,342 shares of the registrant's Class B common stock, $0.0001 par value per share, outstanding, 49,119,976 shares of the registrant's Class C common stock, $0.0001 par value per share, outstanding and no shares of the registrant's Class D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41910</wp:posOffset>
            </wp:positionV>
            <wp:extent cx="7138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233680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580" w:type="dxa"/>
            <w:vAlign w:val="bottom"/>
            <w:gridSpan w:val="4"/>
          </w:tcPr>
          <w:p>
            <w:pPr>
              <w:ind w:left="1700"/>
              <w:spacing w:after="0"/>
              <w:rPr>
                <w:sz w:val="20"/>
                <w:szCs w:val="20"/>
                <w:color w:val="auto"/>
              </w:rPr>
            </w:pPr>
            <w:r>
              <w:rPr>
                <w:rFonts w:ascii="Times New Roman" w:cs="Times New Roman" w:eastAsia="Times New Roman" w:hAnsi="Times New Roman"/>
                <w:sz w:val="17"/>
                <w:szCs w:val="17"/>
                <w:color w:val="auto"/>
              </w:rPr>
              <w:t>Table of Contents</w:t>
            </w: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03"/>
        </w:trPr>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2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Page</w:t>
            </w:r>
          </w:p>
        </w:tc>
      </w:tr>
      <w:tr>
        <w:trPr>
          <w:trHeight w:val="232"/>
        </w:trPr>
        <w:tc>
          <w:tcPr>
            <w:tcW w:w="888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Part I - Financial Information</w:t>
            </w:r>
          </w:p>
        </w:tc>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836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Item 1. Financial Statements.</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5</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836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Item 2. Management's Discussion and Analysis of Financial Condition and Results of Operations.</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18</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836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Item 3. Quantitative and Qualitative Disclosures About Market Risk.</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30</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2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Item 4. Controls and Procedures.</w:t>
            </w:r>
          </w:p>
        </w:tc>
        <w:tc>
          <w:tcPr>
            <w:tcW w:w="6100" w:type="dxa"/>
            <w:vAlign w:val="bottom"/>
            <w:gridSpan w:val="5"/>
          </w:tcPr>
          <w:p>
            <w:pPr>
              <w:spacing w:after="0"/>
              <w:rPr>
                <w:sz w:val="21"/>
                <w:szCs w:val="21"/>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30</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1"/>
        </w:trPr>
        <w:tc>
          <w:tcPr>
            <w:tcW w:w="18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Part II - Other Information</w:t>
            </w:r>
          </w:p>
        </w:tc>
        <w:tc>
          <w:tcPr>
            <w:tcW w:w="7040" w:type="dxa"/>
            <w:vAlign w:val="bottom"/>
            <w:gridSpan w:val="10"/>
          </w:tcPr>
          <w:p>
            <w:pPr>
              <w:spacing w:after="0"/>
              <w:rPr>
                <w:sz w:val="21"/>
                <w:szCs w:val="21"/>
                <w:color w:val="auto"/>
              </w:rPr>
            </w:pPr>
          </w:p>
        </w:tc>
        <w:tc>
          <w:tcPr>
            <w:tcW w:w="2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1"/>
        </w:trPr>
        <w:tc>
          <w:tcPr>
            <w:tcW w:w="520" w:type="dxa"/>
            <w:vAlign w:val="bottom"/>
          </w:tcPr>
          <w:p>
            <w:pPr>
              <w:spacing w:after="0"/>
              <w:rPr>
                <w:sz w:val="21"/>
                <w:szCs w:val="21"/>
                <w:color w:val="auto"/>
              </w:rPr>
            </w:pPr>
          </w:p>
        </w:tc>
        <w:tc>
          <w:tcPr>
            <w:tcW w:w="836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Item 1. Legal Proceedings.</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31</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1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9"/>
              </w:rPr>
              <w:t>Item 1A. Risk Factors.</w:t>
            </w:r>
          </w:p>
        </w:tc>
        <w:tc>
          <w:tcPr>
            <w:tcW w:w="260" w:type="dxa"/>
            <w:vAlign w:val="bottom"/>
          </w:tcPr>
          <w:p>
            <w:pPr>
              <w:spacing w:after="0"/>
              <w:rPr>
                <w:sz w:val="21"/>
                <w:szCs w:val="21"/>
                <w:color w:val="auto"/>
              </w:rPr>
            </w:pPr>
          </w:p>
        </w:tc>
        <w:tc>
          <w:tcPr>
            <w:tcW w:w="6540" w:type="dxa"/>
            <w:vAlign w:val="bottom"/>
            <w:gridSpan w:val="7"/>
          </w:tcPr>
          <w:p>
            <w:pPr>
              <w:spacing w:after="0"/>
              <w:rPr>
                <w:sz w:val="21"/>
                <w:szCs w:val="21"/>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31</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46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Item 2. Unregistered Sales of Equity Securities and Use of Proceeds</w:t>
            </w:r>
          </w:p>
        </w:tc>
        <w:tc>
          <w:tcPr>
            <w:tcW w:w="3680" w:type="dxa"/>
            <w:vAlign w:val="bottom"/>
            <w:gridSpan w:val="3"/>
          </w:tcPr>
          <w:p>
            <w:pPr>
              <w:spacing w:after="0"/>
              <w:rPr>
                <w:sz w:val="21"/>
                <w:szCs w:val="21"/>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31</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960" w:type="dxa"/>
            <w:vAlign w:val="bottom"/>
            <w:tcBorders>
              <w:left w:val="single" w:sz="8" w:color="0000FF"/>
            </w:tcBorders>
            <w:gridSpan w:val="3"/>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46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Item 3. Defaults Upon Senior Securities.</w:t>
            </w:r>
          </w:p>
        </w:tc>
        <w:tc>
          <w:tcPr>
            <w:tcW w:w="3680" w:type="dxa"/>
            <w:vAlign w:val="bottom"/>
            <w:gridSpan w:val="3"/>
          </w:tcPr>
          <w:p>
            <w:pPr>
              <w:spacing w:after="0"/>
              <w:rPr>
                <w:sz w:val="21"/>
                <w:szCs w:val="21"/>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31</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6540" w:type="dxa"/>
            <w:vAlign w:val="bottom"/>
            <w:tcBorders>
              <w:left w:val="single" w:sz="8" w:color="0000FF"/>
            </w:tcBorders>
            <w:gridSpan w:val="7"/>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836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Item 4. Mine Safety Disclosures.</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31</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6540" w:type="dxa"/>
            <w:vAlign w:val="bottom"/>
            <w:tcBorders>
              <w:left w:val="single" w:sz="8" w:color="0000FF"/>
            </w:tcBorders>
            <w:gridSpan w:val="7"/>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836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Item 5. Other Information.</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31</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6540" w:type="dxa"/>
            <w:vAlign w:val="bottom"/>
            <w:gridSpan w:val="7"/>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18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Item 6. Exhibits.</w:t>
            </w:r>
          </w:p>
        </w:tc>
        <w:tc>
          <w:tcPr>
            <w:tcW w:w="6540" w:type="dxa"/>
            <w:vAlign w:val="bottom"/>
            <w:gridSpan w:val="7"/>
          </w:tcPr>
          <w:p>
            <w:pPr>
              <w:spacing w:after="0"/>
              <w:rPr>
                <w:sz w:val="21"/>
                <w:szCs w:val="21"/>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32</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220" w:type="dxa"/>
            <w:vAlign w:val="bottom"/>
            <w:gridSpan w:val="11"/>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888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33</w:t>
            </w:r>
          </w:p>
        </w:tc>
      </w:tr>
      <w:tr>
        <w:trPr>
          <w:trHeight w:val="20"/>
        </w:trPr>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233680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34"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Statements regarding our future results of operations and financial position, business strategy, and management's plans and objectives for future operations, including, among others, statements regarding expected growth, introduction of new products, showroom and international expansion, market opportunity, capital expenditures, marketing and technology investments, liquidity and capital needs, tariff and macroeconomic impacts and any potential future declarations of cash dividends are forward-looking statements. In some cases, you can identify forward-looking statements by terms, such as “anticipate,” “believe,” “contemplate,” “continue,” “could,” “estimate,” “evolve,” “expect,” “intend,” “may,” “plan,” “potential,” “predict,” “seek,” “should,” “strategy,” “target,” “will,” or “would,” or the negative of these terms or other similar expressions. Accordingly, we caution you that any such forward-looking statements are not guarantees of future performance and are subject to risks, assumptions, and uncertainties that are difficult to predict.</w:t>
      </w:r>
    </w:p>
    <w:p>
      <w:pPr>
        <w:jc w:val="both"/>
        <w:ind w:firstLine="619"/>
        <w:spacing w:after="0" w:line="236" w:lineRule="auto"/>
        <w:rPr>
          <w:sz w:val="20"/>
          <w:szCs w:val="20"/>
          <w:color w:val="auto"/>
        </w:rPr>
      </w:pPr>
      <w:r>
        <w:rPr>
          <w:rFonts w:ascii="Times New Roman" w:cs="Times New Roman" w:eastAsia="Times New Roman" w:hAnsi="Times New Roman"/>
          <w:sz w:val="17"/>
          <w:szCs w:val="17"/>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Actual results may prove to be materially different from the results expressed or implied by the forward-looking statements. These forward-looking statements are subject to a number of risks, uncertainties, and assumptions, including, but not limited to risks related to: fluctuations in the pricing and supply of diamonds, other gemstones, and precious metals, particularly responsibly sourced natural and lab-grown diamonds and repurposed precious metals such as gold; increases in labor costs for manufacturing such as wage rate increases, as well as inflation, and energy prices; an overall decline in the health of the economy and other factors impacting consumer spending, such as recessionary or inflationary conditions, governmental instability, the impact of any changes in trade policy, including the imposition of new or increased tariffs on goods imported into the United States and any resulting retaliatory trade actions by other governments, war and fears of war, and natural disasters; our ability to cost-effectively turn existing customers into repeat customers or to acquire new customers; our rapid growth in recent years and limited operating experience at our current scale of operations and our ability to manage growth effectively; increased lead times, supply shortages and supply changes; our plans to expand showrooms in the United States; our ability to compete in the fine jewelry retail industry; our ability to maintain and enhance our brand and to engage or expand our customer base; our ability to expand our sales and marketing capabilities and achieve broader market acceptance of our e-commerce and omnichannel approach; our ability to manage our inventory balances and shrinkage; a decline in sales of Design Your Own rings; our ability to predict operating results; our heavy reliance on our information technology systems and those of our third-party vendors and service providers to safeguard confidential information and any significant failure, inadequacy or interruption of these systems, security breaches or loss of data; the impact of environmental, social, and governance matters on our business and reputation; risks related to our e-commerce and omnichannel business; our ability to anticipate and respond to changes in consumer preferences and shopping patterns, and introduce new products and programs; our dependence on distributions from Brilliant Earth, LLC to pay our taxes and expenses, including payments under the Tax Receivable Agreement; our obligations under the Tax Receivable Agreement, which confers certain benefits upon the Continuing Equity Owners that will not benefit holders of our Class A common stock to the same extent; and risks related to our organizational structure; and the other risks, uncertainties and factors described in Part I, Item 1A, “Risk Factors” in our Annual Report on Form 10-K for the fiscal year ended December 31, 2025 (the “2025 Form 10-K”) filed with the Securities and Exchange Commission (the “SEC”) on March 17, 2026. Other sections of this Quarterly Report on Form 10-Q, including Part I, Item 2. “Management's Discussion and Analysis of Financial Condition and Results of Operations”, include additional factors that could adversely impact our business and financial performance.</w:t>
      </w:r>
    </w:p>
    <w:p>
      <w:pPr>
        <w:spacing w:after="0" w:line="215"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Moreover, we operate in a very competitive and rapidly changing environment and new risks emerge from time to time.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92"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You should not rely upon forward-looking statements as predictions of future events. This Quarterly Report on Form 10-Q and the documents that we have filed as exhibits should be read with the understanding that our 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undertake no obligation to update or revise any forward-looking statements contained in this Quarterly Report on Form 10-Q, whether as a result of any new information, future events or otherwise.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23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As used in this Quarterly Report on Form 10-Q, unless the context otherwise requires, references to:</w:t>
      </w:r>
    </w:p>
    <w:p>
      <w:pPr>
        <w:spacing w:after="0" w:line="200" w:lineRule="exact"/>
        <w:rPr>
          <w:sz w:val="20"/>
          <w:szCs w:val="20"/>
          <w:color w:val="auto"/>
        </w:rPr>
      </w:pPr>
    </w:p>
    <w:p>
      <w:pPr>
        <w:spacing w:after="0" w:line="301" w:lineRule="exact"/>
        <w:rPr>
          <w:sz w:val="20"/>
          <w:szCs w:val="20"/>
          <w:color w:val="auto"/>
        </w:rPr>
      </w:pPr>
    </w:p>
    <w:p>
      <w:pPr>
        <w:ind w:left="620" w:right="400" w:hanging="307"/>
        <w:spacing w:after="0" w:line="243" w:lineRule="auto"/>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“we,” “us,” “our,” the “Company,” “Brilliant Earth,” and similar references refer to Brilliant Earth Group, Inc., and, unless otherwise stated, all of its subsidiaries, including Brilliant Earth, LLC.</w:t>
      </w:r>
    </w:p>
    <w:p>
      <w:pPr>
        <w:spacing w:after="0" w:line="96" w:lineRule="exact"/>
        <w:rPr>
          <w:rFonts w:ascii="Times New Roman" w:cs="Times New Roman" w:eastAsia="Times New Roman" w:hAnsi="Times New Roman"/>
          <w:sz w:val="19"/>
          <w:szCs w:val="19"/>
          <w:color w:val="auto"/>
        </w:rPr>
      </w:pPr>
    </w:p>
    <w:p>
      <w:pPr>
        <w:jc w:val="both"/>
        <w:ind w:left="620" w:hanging="307"/>
        <w:spacing w:after="0" w:line="239" w:lineRule="auto"/>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“Continuing Equity Owners” refers collectively to holders of LLC Interests (as defined below) and our Class B common stock and Class C common stock, including our Founders (as defined below) and Mainsail (as defined below), who may, exchange at each of their respective options, in whole or in part from time to time, their LLC Interests (along with an equal number of shares of Class B common stock or Class C common stock (and such shares shall be immediately cancelled), as applicable), for, at our election (determined solely by our independent directors (within the meaning of the Nasdaq rules) who are disinterested), cash or newly-issued shares of our Class A common stock or Class D common stock, as applicable.</w:t>
      </w:r>
    </w:p>
    <w:p>
      <w:pPr>
        <w:spacing w:after="0" w:line="99" w:lineRule="exact"/>
        <w:rPr>
          <w:rFonts w:ascii="Times New Roman" w:cs="Times New Roman" w:eastAsia="Times New Roman" w:hAnsi="Times New Roman"/>
          <w:sz w:val="19"/>
          <w:szCs w:val="19"/>
          <w:color w:val="auto"/>
        </w:rPr>
      </w:pPr>
    </w:p>
    <w:p>
      <w:pPr>
        <w:ind w:left="620" w:hanging="307"/>
        <w:spacing w:after="0" w:line="243" w:lineRule="auto"/>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“Founders” refers to Beth Gerstein, our Co-Founder and Chief Executive Officer, Eric Grossberg, our Co-Founder and Executive Chairman, and Just Rocks, Inc., a Delaware corporation, which is jointly owned and controlled by our Founders.</w:t>
      </w:r>
    </w:p>
    <w:p>
      <w:pPr>
        <w:spacing w:after="0" w:line="96" w:lineRule="exact"/>
        <w:rPr>
          <w:rFonts w:ascii="Times New Roman" w:cs="Times New Roman" w:eastAsia="Times New Roman" w:hAnsi="Times New Roman"/>
          <w:sz w:val="19"/>
          <w:szCs w:val="19"/>
          <w:color w:val="auto"/>
        </w:rPr>
      </w:pPr>
    </w:p>
    <w:p>
      <w:pPr>
        <w:ind w:left="620" w:hanging="307"/>
        <w:spacing w:after="0" w:line="233" w:lineRule="auto"/>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“LLC Interests” or “LLC Units” refers to the common units of Brilliant Earth, LLC, including those that we purchased with the net proceeds from our initial public offering (“IPO”), which occurred on September 23, 2021.</w:t>
      </w:r>
    </w:p>
    <w:p>
      <w:pPr>
        <w:spacing w:after="0" w:line="100" w:lineRule="exact"/>
        <w:rPr>
          <w:rFonts w:ascii="Times New Roman" w:cs="Times New Roman" w:eastAsia="Times New Roman" w:hAnsi="Times New Roman"/>
          <w:sz w:val="19"/>
          <w:szCs w:val="19"/>
          <w:color w:val="auto"/>
        </w:rPr>
      </w:pPr>
    </w:p>
    <w:p>
      <w:pPr>
        <w:ind w:left="620" w:hanging="307"/>
        <w:spacing w:after="0" w:line="243" w:lineRule="auto"/>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“LLC Agreement” refers to Brilliant Earth, LLC's amended and restated limited liability company agreement, which became effective prior to the consummation of the IPO.</w:t>
      </w:r>
    </w:p>
    <w:p>
      <w:pPr>
        <w:spacing w:after="0" w:line="96" w:lineRule="exact"/>
        <w:rPr>
          <w:rFonts w:ascii="Times New Roman" w:cs="Times New Roman" w:eastAsia="Times New Roman" w:hAnsi="Times New Roman"/>
          <w:sz w:val="19"/>
          <w:szCs w:val="19"/>
          <w:color w:val="auto"/>
        </w:rPr>
      </w:pPr>
    </w:p>
    <w:p>
      <w:pPr>
        <w:ind w:left="620" w:hanging="307"/>
        <w:spacing w:after="0" w:line="243" w:lineRule="auto"/>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“Mainsail” refers to Mainsail Partners III, L.P., our sponsor and a Delaware limited partnership, and certain funds affiliated with Mainsail Partners III, L.P., including Mainsail Incentive Program, LLC, and Mainsail Co-Investors III, L.P.</w:t>
      </w:r>
    </w:p>
    <w:p>
      <w:pPr>
        <w:spacing w:after="0" w:line="70" w:lineRule="exact"/>
        <w:rPr>
          <w:rFonts w:ascii="Times New Roman" w:cs="Times New Roman" w:eastAsia="Times New Roman" w:hAnsi="Times New Roman"/>
          <w:sz w:val="19"/>
          <w:szCs w:val="19"/>
          <w:color w:val="auto"/>
        </w:rPr>
      </w:pPr>
    </w:p>
    <w:p>
      <w:pPr>
        <w:jc w:val="both"/>
        <w:ind w:left="620" w:hanging="307"/>
        <w:spacing w:after="0" w:line="245" w:lineRule="auto"/>
        <w:tabs>
          <w:tab w:leader="none" w:pos="68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“SVB Credit Agreement” refers to the credit agreement entered into on May 24, 2022, and as subsequently amended, by Brilliant Earth, LLC, as borrower, and Silicon Valley Bank, as administrative agent and collateral agent for the lenders, which provides for a secured term loan credit facility of $65.0 million (the “SVB Term Loan”) and a secured revolving credit facility in an amount of up to $40.0 million (the “SVB Revolving Facility”, and together with the SVB Term Loan, the “SVB Credit Facilities”). In August 2025, the Company prepaid all principal amounts outstanding of $34.8 million under the SVB Term Loan and terminated all commitments outstanding under the SVB Credit Agreement.</w:t>
      </w:r>
    </w:p>
    <w:p>
      <w:pPr>
        <w:spacing w:after="0" w:line="98" w:lineRule="exact"/>
        <w:rPr>
          <w:rFonts w:ascii="Times New Roman" w:cs="Times New Roman" w:eastAsia="Times New Roman" w:hAnsi="Times New Roman"/>
          <w:sz w:val="17"/>
          <w:szCs w:val="17"/>
          <w:color w:val="auto"/>
        </w:rPr>
      </w:pPr>
    </w:p>
    <w:p>
      <w:pPr>
        <w:jc w:val="both"/>
        <w:ind w:left="620" w:hanging="307"/>
        <w:spacing w:after="0"/>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“TRA” refers to the Tax Receivable Agreement with Brilliant Earth, LLC and the Continuing Equity Owners that provides for the payment by Brilliant Earth Group, Inc. to the Continuing Equity Owners of 85% of the amount of tax benefits, if any, that Brilliant Earth Group, Inc. actually realizes (or in some circumstances is deemed to realize) related to certain tax basis adjustments and payments made under the TRA.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Part I - Financial Information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Brilliant Earth Group,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 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5052695</wp:posOffset>
            </wp:positionH>
            <wp:positionV relativeFrom="paragraph">
              <wp:posOffset>24765</wp:posOffset>
            </wp:positionV>
            <wp:extent cx="20872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87245"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5"/>
                <w:szCs w:val="15"/>
                <w:color w:val="auto"/>
              </w:rPr>
            </w:pPr>
          </w:p>
        </w:tc>
        <w:tc>
          <w:tcPr>
            <w:tcW w:w="13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
        </w:trPr>
        <w:tc>
          <w:tcPr>
            <w:tcW w:w="4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
        </w:trPr>
        <w:tc>
          <w:tcPr>
            <w:tcW w:w="4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7960" w:type="dxa"/>
            <w:vAlign w:val="bottom"/>
            <w:tcBorders>
              <w:bottom w:val="single" w:sz="8" w:color="CCEEFF"/>
            </w:tcBorders>
            <w:gridSpan w:val="3"/>
            <w:shd w:val="clear" w:color="auto" w:fill="CCEEFF"/>
          </w:tcPr>
          <w:p>
            <w:pPr>
              <w:ind w:left="38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96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58,564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79,089</w:t>
            </w:r>
          </w:p>
        </w:tc>
        <w:tc>
          <w:tcPr>
            <w:tcW w:w="0" w:type="dxa"/>
            <w:vAlign w:val="bottom"/>
          </w:tcPr>
          <w:p>
            <w:pPr>
              <w:spacing w:after="0"/>
              <w:rPr>
                <w:sz w:val="1"/>
                <w:szCs w:val="1"/>
                <w:color w:val="auto"/>
              </w:rPr>
            </w:pPr>
          </w:p>
        </w:tc>
      </w:tr>
      <w:tr>
        <w:trPr>
          <w:trHeight w:val="197"/>
        </w:trPr>
        <w:tc>
          <w:tcPr>
            <w:tcW w:w="79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Restricted cash</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349</w:t>
            </w:r>
          </w:p>
        </w:tc>
        <w:tc>
          <w:tcPr>
            <w:tcW w:w="0" w:type="dxa"/>
            <w:vAlign w:val="bottom"/>
          </w:tcPr>
          <w:p>
            <w:pPr>
              <w:spacing w:after="0"/>
              <w:rPr>
                <w:sz w:val="1"/>
                <w:szCs w:val="1"/>
                <w:color w:val="auto"/>
              </w:rPr>
            </w:pPr>
          </w:p>
        </w:tc>
      </w:tr>
      <w:tr>
        <w:trPr>
          <w:trHeight w:val="22"/>
        </w:trPr>
        <w:tc>
          <w:tcPr>
            <w:tcW w:w="4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96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Inventories, net</w:t>
            </w:r>
          </w:p>
        </w:tc>
        <w:tc>
          <w:tcPr>
            <w:tcW w:w="3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54,423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53,238</w:t>
            </w:r>
          </w:p>
        </w:tc>
        <w:tc>
          <w:tcPr>
            <w:tcW w:w="0" w:type="dxa"/>
            <w:vAlign w:val="bottom"/>
          </w:tcPr>
          <w:p>
            <w:pPr>
              <w:spacing w:after="0"/>
              <w:rPr>
                <w:sz w:val="1"/>
                <w:szCs w:val="1"/>
                <w:color w:val="auto"/>
              </w:rPr>
            </w:pPr>
          </w:p>
        </w:tc>
      </w:tr>
      <w:tr>
        <w:trPr>
          <w:trHeight w:val="197"/>
        </w:trPr>
        <w:tc>
          <w:tcPr>
            <w:tcW w:w="79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14,306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12,052</w:t>
            </w:r>
          </w:p>
        </w:tc>
        <w:tc>
          <w:tcPr>
            <w:tcW w:w="0" w:type="dxa"/>
            <w:vAlign w:val="bottom"/>
          </w:tcPr>
          <w:p>
            <w:pPr>
              <w:spacing w:after="0"/>
              <w:rPr>
                <w:sz w:val="1"/>
                <w:szCs w:val="1"/>
                <w:color w:val="auto"/>
              </w:rPr>
            </w:pPr>
          </w:p>
        </w:tc>
      </w:tr>
      <w:tr>
        <w:trPr>
          <w:trHeight w:val="22"/>
        </w:trPr>
        <w:tc>
          <w:tcPr>
            <w:tcW w:w="4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796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3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127,420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144,728</w:t>
            </w:r>
          </w:p>
        </w:tc>
        <w:tc>
          <w:tcPr>
            <w:tcW w:w="0" w:type="dxa"/>
            <w:vAlign w:val="bottom"/>
          </w:tcPr>
          <w:p>
            <w:pPr>
              <w:spacing w:after="0"/>
              <w:rPr>
                <w:sz w:val="1"/>
                <w:szCs w:val="1"/>
                <w:color w:val="auto"/>
              </w:rPr>
            </w:pPr>
          </w:p>
        </w:tc>
      </w:tr>
      <w:tr>
        <w:trPr>
          <w:trHeight w:val="197"/>
        </w:trPr>
        <w:tc>
          <w:tcPr>
            <w:tcW w:w="7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18,691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19,622</w:t>
            </w:r>
          </w:p>
        </w:tc>
        <w:tc>
          <w:tcPr>
            <w:tcW w:w="0" w:type="dxa"/>
            <w:vAlign w:val="bottom"/>
          </w:tcPr>
          <w:p>
            <w:pPr>
              <w:spacing w:after="0"/>
              <w:rPr>
                <w:sz w:val="1"/>
                <w:szCs w:val="1"/>
                <w:color w:val="auto"/>
              </w:rPr>
            </w:pPr>
          </w:p>
        </w:tc>
      </w:tr>
      <w:tr>
        <w:trPr>
          <w:trHeight w:val="22"/>
        </w:trPr>
        <w:tc>
          <w:tcPr>
            <w:tcW w:w="4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9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 of use assets</w:t>
            </w:r>
          </w:p>
        </w:tc>
        <w:tc>
          <w:tcPr>
            <w:tcW w:w="3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32,317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31,879</w:t>
            </w:r>
          </w:p>
        </w:tc>
        <w:tc>
          <w:tcPr>
            <w:tcW w:w="0" w:type="dxa"/>
            <w:vAlign w:val="bottom"/>
          </w:tcPr>
          <w:p>
            <w:pPr>
              <w:spacing w:after="0"/>
              <w:rPr>
                <w:sz w:val="1"/>
                <w:szCs w:val="1"/>
                <w:color w:val="auto"/>
              </w:rPr>
            </w:pPr>
          </w:p>
        </w:tc>
      </w:tr>
      <w:tr>
        <w:trPr>
          <w:trHeight w:val="197"/>
        </w:trPr>
        <w:tc>
          <w:tcPr>
            <w:tcW w:w="7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5,004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4,674</w:t>
            </w:r>
          </w:p>
        </w:tc>
        <w:tc>
          <w:tcPr>
            <w:tcW w:w="0" w:type="dxa"/>
            <w:vAlign w:val="bottom"/>
          </w:tcPr>
          <w:p>
            <w:pPr>
              <w:spacing w:after="0"/>
              <w:rPr>
                <w:sz w:val="1"/>
                <w:szCs w:val="1"/>
                <w:color w:val="auto"/>
              </w:rPr>
            </w:pPr>
          </w:p>
        </w:tc>
      </w:tr>
      <w:tr>
        <w:trPr>
          <w:trHeight w:val="22"/>
        </w:trPr>
        <w:tc>
          <w:tcPr>
            <w:tcW w:w="4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96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183,432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200,903</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60" w:type="dxa"/>
            <w:vAlign w:val="bottom"/>
            <w:tcBorders>
              <w:bottom w:val="single" w:sz="8" w:color="CCEEFF"/>
            </w:tcBorders>
            <w:gridSpan w:val="3"/>
            <w:shd w:val="clear" w:color="auto" w:fill="CCEEFF"/>
          </w:tcPr>
          <w:p>
            <w:pPr>
              <w:ind w:left="296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96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21,853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24,804</w:t>
            </w:r>
          </w:p>
        </w:tc>
        <w:tc>
          <w:tcPr>
            <w:tcW w:w="0" w:type="dxa"/>
            <w:vAlign w:val="bottom"/>
          </w:tcPr>
          <w:p>
            <w:pPr>
              <w:spacing w:after="0"/>
              <w:rPr>
                <w:sz w:val="1"/>
                <w:szCs w:val="1"/>
                <w:color w:val="auto"/>
              </w:rPr>
            </w:pPr>
          </w:p>
        </w:tc>
      </w:tr>
      <w:tr>
        <w:trPr>
          <w:trHeight w:val="197"/>
        </w:trPr>
        <w:tc>
          <w:tcPr>
            <w:tcW w:w="79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27,024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35,732</w:t>
            </w:r>
          </w:p>
        </w:tc>
        <w:tc>
          <w:tcPr>
            <w:tcW w:w="0" w:type="dxa"/>
            <w:vAlign w:val="bottom"/>
          </w:tcPr>
          <w:p>
            <w:pPr>
              <w:spacing w:after="0"/>
              <w:rPr>
                <w:sz w:val="1"/>
                <w:szCs w:val="1"/>
                <w:color w:val="auto"/>
              </w:rPr>
            </w:pPr>
          </w:p>
        </w:tc>
      </w:tr>
      <w:tr>
        <w:trPr>
          <w:trHeight w:val="22"/>
        </w:trPr>
        <w:tc>
          <w:tcPr>
            <w:tcW w:w="4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96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24,695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22,671</w:t>
            </w:r>
          </w:p>
        </w:tc>
        <w:tc>
          <w:tcPr>
            <w:tcW w:w="0" w:type="dxa"/>
            <w:vAlign w:val="bottom"/>
          </w:tcPr>
          <w:p>
            <w:pPr>
              <w:spacing w:after="0"/>
              <w:rPr>
                <w:sz w:val="1"/>
                <w:szCs w:val="1"/>
                <w:color w:val="auto"/>
              </w:rPr>
            </w:pPr>
          </w:p>
        </w:tc>
      </w:tr>
      <w:tr>
        <w:trPr>
          <w:trHeight w:val="197"/>
        </w:trPr>
        <w:tc>
          <w:tcPr>
            <w:tcW w:w="79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6,907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6,896</w:t>
            </w:r>
          </w:p>
        </w:tc>
        <w:tc>
          <w:tcPr>
            <w:tcW w:w="0" w:type="dxa"/>
            <w:vAlign w:val="bottom"/>
          </w:tcPr>
          <w:p>
            <w:pPr>
              <w:spacing w:after="0"/>
              <w:rPr>
                <w:sz w:val="1"/>
                <w:szCs w:val="1"/>
                <w:color w:val="auto"/>
              </w:rPr>
            </w:pPr>
          </w:p>
        </w:tc>
      </w:tr>
      <w:tr>
        <w:trPr>
          <w:trHeight w:val="22"/>
        </w:trPr>
        <w:tc>
          <w:tcPr>
            <w:tcW w:w="4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796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3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80,479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90,103</w:t>
            </w:r>
          </w:p>
        </w:tc>
        <w:tc>
          <w:tcPr>
            <w:tcW w:w="0" w:type="dxa"/>
            <w:vAlign w:val="bottom"/>
          </w:tcPr>
          <w:p>
            <w:pPr>
              <w:spacing w:after="0"/>
              <w:rPr>
                <w:sz w:val="1"/>
                <w:szCs w:val="1"/>
                <w:color w:val="auto"/>
              </w:rPr>
            </w:pPr>
          </w:p>
        </w:tc>
      </w:tr>
      <w:tr>
        <w:trPr>
          <w:trHeight w:val="52"/>
        </w:trPr>
        <w:tc>
          <w:tcPr>
            <w:tcW w:w="4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79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31,606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31,163</w:t>
            </w:r>
          </w:p>
        </w:tc>
        <w:tc>
          <w:tcPr>
            <w:tcW w:w="0" w:type="dxa"/>
            <w:vAlign w:val="bottom"/>
          </w:tcPr>
          <w:p>
            <w:pPr>
              <w:spacing w:after="0"/>
              <w:rPr>
                <w:sz w:val="1"/>
                <w:szCs w:val="1"/>
                <w:color w:val="auto"/>
              </w:rPr>
            </w:pPr>
          </w:p>
        </w:tc>
      </w:tr>
      <w:tr>
        <w:trPr>
          <w:trHeight w:val="190"/>
        </w:trPr>
        <w:tc>
          <w:tcPr>
            <w:tcW w:w="7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3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112,085</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121,266</w:t>
            </w:r>
          </w:p>
        </w:tc>
        <w:tc>
          <w:tcPr>
            <w:tcW w:w="0" w:type="dxa"/>
            <w:vAlign w:val="bottom"/>
          </w:tcPr>
          <w:p>
            <w:pPr>
              <w:spacing w:after="0"/>
              <w:rPr>
                <w:sz w:val="1"/>
                <w:szCs w:val="1"/>
                <w:color w:val="auto"/>
              </w:rPr>
            </w:pPr>
          </w:p>
        </w:tc>
      </w:tr>
      <w:tr>
        <w:trPr>
          <w:trHeight w:val="59"/>
        </w:trPr>
        <w:tc>
          <w:tcPr>
            <w:tcW w:w="426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30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7960" w:type="dxa"/>
            <w:vAlign w:val="bottom"/>
            <w:tcBorders>
              <w:top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9)</w:t>
            </w:r>
          </w:p>
        </w:tc>
        <w:tc>
          <w:tcPr>
            <w:tcW w:w="30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26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308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34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7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Preferred stock, $0.0001 par value, 10,000,000 shares authorized, none issued and outstanding at March 31, 2026 and December 31, 2025,</w:t>
            </w:r>
          </w:p>
        </w:tc>
        <w:tc>
          <w:tcPr>
            <w:tcW w:w="30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3"/>
        </w:trPr>
        <w:tc>
          <w:tcPr>
            <w:tcW w:w="79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respectively</w:t>
            </w:r>
          </w:p>
        </w:tc>
        <w:tc>
          <w:tcPr>
            <w:tcW w:w="3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gridSpan w:val="2"/>
            <w:vMerge w:val="continue"/>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9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w w:val="99"/>
              </w:rPr>
              <w:t>Class A common stock, $0.0001 par value, 1,200,000,000 shares authorized; 16,737,669 shares issued and 16,162,992 shares outstanding at</w:t>
            </w:r>
          </w:p>
        </w:tc>
        <w:tc>
          <w:tcPr>
            <w:tcW w:w="30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180"/>
        </w:trPr>
        <w:tc>
          <w:tcPr>
            <w:tcW w:w="79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March 31, 2026; 16,092,701 shares issued and 15,518,024 shares outstanding at December 31, 2025</w:t>
            </w:r>
          </w:p>
        </w:tc>
        <w:tc>
          <w:tcPr>
            <w:tcW w:w="30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8"/>
              </w:rPr>
              <w:t>Class B common stock, $0.0001 par value, 150,000,000 shares authorized;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shd w:val="clear" w:color="auto" w:fill="CCEEFF"/>
              </w:rPr>
              <w:t>35,822,342</w:t>
            </w:r>
          </w:p>
        </w:tc>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and 35,822,342 shares outstanding at March 31, 2026</w:t>
            </w:r>
          </w:p>
        </w:tc>
        <w:tc>
          <w:tcPr>
            <w:tcW w:w="3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0" w:type="dxa"/>
            <w:vAlign w:val="bottom"/>
          </w:tcPr>
          <w:p>
            <w:pPr>
              <w:spacing w:after="0"/>
              <w:rPr>
                <w:sz w:val="1"/>
                <w:szCs w:val="1"/>
                <w:color w:val="auto"/>
              </w:rPr>
            </w:pPr>
          </w:p>
        </w:tc>
      </w:tr>
      <w:tr>
        <w:trPr>
          <w:trHeight w:val="199"/>
        </w:trPr>
        <w:tc>
          <w:tcPr>
            <w:tcW w:w="79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and December 31, 2025, respectively</w:t>
            </w:r>
          </w:p>
        </w:tc>
        <w:tc>
          <w:tcPr>
            <w:tcW w:w="3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9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Class C common stock, $0.0001 par value, 150,000,000 shares authorized; 49,119,976 shares outstanding at March 31, 2026 and</w:t>
            </w:r>
          </w:p>
        </w:tc>
        <w:tc>
          <w:tcPr>
            <w:tcW w:w="30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0" w:type="dxa"/>
            <w:vAlign w:val="bottom"/>
          </w:tcPr>
          <w:p>
            <w:pPr>
              <w:spacing w:after="0"/>
              <w:rPr>
                <w:sz w:val="1"/>
                <w:szCs w:val="1"/>
                <w:color w:val="auto"/>
              </w:rPr>
            </w:pPr>
          </w:p>
        </w:tc>
      </w:tr>
      <w:tr>
        <w:trPr>
          <w:trHeight w:val="180"/>
        </w:trPr>
        <w:tc>
          <w:tcPr>
            <w:tcW w:w="79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December 31, 2025, respectively</w:t>
            </w:r>
          </w:p>
        </w:tc>
        <w:tc>
          <w:tcPr>
            <w:tcW w:w="30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8"/>
              </w:rPr>
              <w:t>Class D common stock, $0.0001 par value, 150,000,000 shares authorized; none issued and outstanding at March 31, 2026 and December 31,</w:t>
            </w:r>
          </w:p>
        </w:tc>
        <w:tc>
          <w:tcPr>
            <w:tcW w:w="30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3"/>
        </w:trPr>
        <w:tc>
          <w:tcPr>
            <w:tcW w:w="79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2025, respectively</w:t>
            </w:r>
          </w:p>
        </w:tc>
        <w:tc>
          <w:tcPr>
            <w:tcW w:w="3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gridSpan w:val="2"/>
            <w:vMerge w:val="continue"/>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9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16,639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16,024</w:t>
            </w:r>
          </w:p>
        </w:tc>
        <w:tc>
          <w:tcPr>
            <w:tcW w:w="0" w:type="dxa"/>
            <w:vAlign w:val="bottom"/>
          </w:tcPr>
          <w:p>
            <w:pPr>
              <w:spacing w:after="0"/>
              <w:rPr>
                <w:sz w:val="1"/>
                <w:szCs w:val="1"/>
                <w:color w:val="auto"/>
              </w:rPr>
            </w:pPr>
          </w:p>
        </w:tc>
      </w:tr>
      <w:tr>
        <w:trPr>
          <w:trHeight w:val="22"/>
        </w:trPr>
        <w:tc>
          <w:tcPr>
            <w:tcW w:w="4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9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Treasury stock, at cost; 574,677 and 574,677 shares at March 31, 2026 and December 31, 2025, respectively</w:t>
            </w:r>
          </w:p>
        </w:tc>
        <w:tc>
          <w:tcPr>
            <w:tcW w:w="3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(1,094)</w:t>
            </w:r>
          </w:p>
        </w:tc>
        <w:tc>
          <w:tcPr>
            <w:tcW w:w="0" w:type="dxa"/>
            <w:vAlign w:val="bottom"/>
          </w:tcPr>
          <w:p>
            <w:pPr>
              <w:spacing w:after="0"/>
              <w:rPr>
                <w:sz w:val="1"/>
                <w:szCs w:val="1"/>
                <w:color w:val="auto"/>
              </w:rPr>
            </w:pPr>
          </w:p>
        </w:tc>
      </w:tr>
      <w:tr>
        <w:trPr>
          <w:trHeight w:val="197"/>
        </w:trPr>
        <w:tc>
          <w:tcPr>
            <w:tcW w:w="79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Accumulated deficit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(4,151)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(2,640)</w:t>
            </w:r>
          </w:p>
        </w:tc>
        <w:tc>
          <w:tcPr>
            <w:tcW w:w="0" w:type="dxa"/>
            <w:vAlign w:val="bottom"/>
          </w:tcPr>
          <w:p>
            <w:pPr>
              <w:spacing w:after="0"/>
              <w:rPr>
                <w:sz w:val="1"/>
                <w:szCs w:val="1"/>
                <w:color w:val="auto"/>
              </w:rPr>
            </w:pPr>
          </w:p>
        </w:tc>
      </w:tr>
      <w:tr>
        <w:trPr>
          <w:trHeight w:val="22"/>
        </w:trPr>
        <w:tc>
          <w:tcPr>
            <w:tcW w:w="4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796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Stockholders' equity attributable to Brilliant Earth Group, Inc.</w:t>
            </w:r>
          </w:p>
        </w:tc>
        <w:tc>
          <w:tcPr>
            <w:tcW w:w="3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11,405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12,301</w:t>
            </w:r>
          </w:p>
        </w:tc>
        <w:tc>
          <w:tcPr>
            <w:tcW w:w="0" w:type="dxa"/>
            <w:vAlign w:val="bottom"/>
          </w:tcPr>
          <w:p>
            <w:pPr>
              <w:spacing w:after="0"/>
              <w:rPr>
                <w:sz w:val="1"/>
                <w:szCs w:val="1"/>
                <w:color w:val="auto"/>
              </w:rPr>
            </w:pPr>
          </w:p>
        </w:tc>
      </w:tr>
      <w:tr>
        <w:trPr>
          <w:trHeight w:val="190"/>
        </w:trPr>
        <w:tc>
          <w:tcPr>
            <w:tcW w:w="79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Non-controlling interests attributable to Brilliant Earth, LLC</w:t>
            </w:r>
          </w:p>
        </w:tc>
        <w:tc>
          <w:tcPr>
            <w:tcW w:w="3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59,942</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67,336</w:t>
            </w:r>
          </w:p>
        </w:tc>
        <w:tc>
          <w:tcPr>
            <w:tcW w:w="0" w:type="dxa"/>
            <w:vAlign w:val="bottom"/>
          </w:tcPr>
          <w:p>
            <w:pPr>
              <w:spacing w:after="0"/>
              <w:rPr>
                <w:sz w:val="1"/>
                <w:szCs w:val="1"/>
                <w:color w:val="auto"/>
              </w:rPr>
            </w:pPr>
          </w:p>
        </w:tc>
      </w:tr>
      <w:tr>
        <w:trPr>
          <w:trHeight w:val="22"/>
        </w:trPr>
        <w:tc>
          <w:tcPr>
            <w:tcW w:w="4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796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3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71,347</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79,637</w:t>
            </w:r>
          </w:p>
        </w:tc>
        <w:tc>
          <w:tcPr>
            <w:tcW w:w="0" w:type="dxa"/>
            <w:vAlign w:val="bottom"/>
          </w:tcPr>
          <w:p>
            <w:pPr>
              <w:spacing w:after="0"/>
              <w:rPr>
                <w:sz w:val="1"/>
                <w:szCs w:val="1"/>
                <w:color w:val="auto"/>
              </w:rPr>
            </w:pPr>
          </w:p>
        </w:tc>
      </w:tr>
      <w:tr>
        <w:trPr>
          <w:trHeight w:val="212"/>
        </w:trPr>
        <w:tc>
          <w:tcPr>
            <w:tcW w:w="7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3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183,432</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200,903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5"/>
          <w:szCs w:val="15"/>
          <w:b w:val="1"/>
          <w:bCs w:val="1"/>
          <w:color w:val="auto"/>
        </w:rPr>
        <w:t>Brilliant Earth Group, Inc.</w:t>
      </w:r>
    </w:p>
    <w:p>
      <w:pPr>
        <w:spacing w:after="0" w:line="31"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5"/>
          <w:szCs w:val="15"/>
          <w:b w:val="1"/>
          <w:bCs w:val="1"/>
          <w:color w:val="auto"/>
        </w:rPr>
        <w:t>UNAUDITED CONDENSED CONSOLIDATED STATEMENTS OF OPERATIONS</w:t>
      </w:r>
    </w:p>
    <w:p>
      <w:pPr>
        <w:spacing w:after="0" w:line="21"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5"/>
          <w:szCs w:val="15"/>
          <w:color w:val="auto"/>
        </w:rPr>
        <w:t>(Dollars in thousands, except per share amounts)</w:t>
      </w:r>
    </w:p>
    <w:p>
      <w:pPr>
        <w:spacing w:after="0" w:line="281"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31"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5"/>
          <w:szCs w:val="15"/>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4660265</wp:posOffset>
            </wp:positionH>
            <wp:positionV relativeFrom="paragraph">
              <wp:posOffset>33020</wp:posOffset>
            </wp:positionV>
            <wp:extent cx="1809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31"/>
        </w:trPr>
        <w:tc>
          <w:tcPr>
            <w:tcW w:w="7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sales</w:t>
            </w: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99,504</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93,884</w:t>
            </w:r>
          </w:p>
        </w:tc>
      </w:tr>
      <w:tr>
        <w:trPr>
          <w:trHeight w:val="214"/>
        </w:trPr>
        <w:tc>
          <w:tcPr>
            <w:tcW w:w="7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Cost of sales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45,436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38,842</w:t>
            </w:r>
          </w:p>
        </w:tc>
      </w:tr>
      <w:tr>
        <w:trPr>
          <w:trHeight w:val="31"/>
        </w:trPr>
        <w:tc>
          <w:tcPr>
            <w:tcW w:w="7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734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5"/>
                <w:szCs w:val="15"/>
                <w:b w:val="1"/>
                <w:bCs w:val="1"/>
                <w:color w:val="auto"/>
              </w:rPr>
              <w:t>Gross profit</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54,068</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55,042</w:t>
            </w:r>
          </w:p>
        </w:tc>
      </w:tr>
      <w:tr>
        <w:trPr>
          <w:trHeight w:val="214"/>
        </w:trPr>
        <w:tc>
          <w:tcPr>
            <w:tcW w:w="7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1"/>
        </w:trPr>
        <w:tc>
          <w:tcPr>
            <w:tcW w:w="7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5"/>
        </w:trPr>
        <w:tc>
          <w:tcPr>
            <w:tcW w:w="73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Marketing and advertising</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23,522</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22,962</w:t>
            </w:r>
          </w:p>
        </w:tc>
      </w:tr>
      <w:tr>
        <w:trPr>
          <w:trHeight w:val="214"/>
        </w:trPr>
        <w:tc>
          <w:tcPr>
            <w:tcW w:w="734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39,427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35,603</w:t>
            </w:r>
          </w:p>
        </w:tc>
      </w:tr>
      <w:tr>
        <w:trPr>
          <w:trHeight w:val="31"/>
        </w:trPr>
        <w:tc>
          <w:tcPr>
            <w:tcW w:w="7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73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5"/>
                <w:szCs w:val="15"/>
                <w:color w:val="auto"/>
              </w:rPr>
              <w:t>Total operating expenses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62,949</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58,565</w:t>
            </w:r>
          </w:p>
        </w:tc>
      </w:tr>
      <w:tr>
        <w:trPr>
          <w:trHeight w:val="206"/>
        </w:trPr>
        <w:tc>
          <w:tcPr>
            <w:tcW w:w="7340" w:type="dxa"/>
            <w:vAlign w:val="bottom"/>
          </w:tcPr>
          <w:p>
            <w:pPr>
              <w:ind w:left="1260"/>
              <w:spacing w:after="0"/>
              <w:rPr>
                <w:sz w:val="20"/>
                <w:szCs w:val="20"/>
                <w:color w:val="auto"/>
              </w:rPr>
            </w:pPr>
            <w:r>
              <w:rPr>
                <w:rFonts w:ascii="Times New Roman" w:cs="Times New Roman" w:eastAsia="Times New Roman" w:hAnsi="Times New Roman"/>
                <w:sz w:val="15"/>
                <w:szCs w:val="15"/>
                <w:b w:val="1"/>
                <w:bCs w:val="1"/>
                <w:color w:val="auto"/>
              </w:rPr>
              <w:t>Loss from operations</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(8,881)</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(3,523)</w:t>
            </w:r>
          </w:p>
        </w:tc>
      </w:tr>
      <w:tr>
        <w:trPr>
          <w:trHeight w:val="31"/>
        </w:trPr>
        <w:tc>
          <w:tcPr>
            <w:tcW w:w="7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5"/>
        </w:trPr>
        <w:tc>
          <w:tcPr>
            <w:tcW w:w="73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Interest expense</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(1,115)</w:t>
            </w:r>
          </w:p>
        </w:tc>
      </w:tr>
      <w:tr>
        <w:trPr>
          <w:trHeight w:val="214"/>
        </w:trPr>
        <w:tc>
          <w:tcPr>
            <w:tcW w:w="734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Other income,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1,240</w:t>
            </w:r>
          </w:p>
        </w:tc>
      </w:tr>
      <w:tr>
        <w:trPr>
          <w:trHeight w:val="31"/>
        </w:trPr>
        <w:tc>
          <w:tcPr>
            <w:tcW w:w="7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734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5"/>
                <w:szCs w:val="15"/>
                <w:b w:val="1"/>
                <w:bCs w:val="1"/>
                <w:color w:val="auto"/>
              </w:rPr>
              <w:t>Loss before income taxes</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(8,453)</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(3,398)</w:t>
            </w:r>
          </w:p>
        </w:tc>
      </w:tr>
      <w:tr>
        <w:trPr>
          <w:trHeight w:val="214"/>
        </w:trPr>
        <w:tc>
          <w:tcPr>
            <w:tcW w:w="734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Income tax benefit</w:t>
            </w:r>
          </w:p>
        </w:tc>
        <w:tc>
          <w:tcPr>
            <w:tcW w:w="3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131</w:t>
            </w:r>
          </w:p>
        </w:tc>
      </w:tr>
      <w:tr>
        <w:trPr>
          <w:trHeight w:val="31"/>
        </w:trPr>
        <w:tc>
          <w:tcPr>
            <w:tcW w:w="7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734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5"/>
                <w:szCs w:val="15"/>
                <w:b w:val="1"/>
                <w:bCs w:val="1"/>
                <w:color w:val="auto"/>
              </w:rPr>
              <w:t>Net loss</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(8,453)</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(3,267)</w:t>
            </w:r>
          </w:p>
        </w:tc>
      </w:tr>
      <w:tr>
        <w:trPr>
          <w:trHeight w:val="214"/>
        </w:trPr>
        <w:tc>
          <w:tcPr>
            <w:tcW w:w="7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 allocable to non-controlling interest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(6,942)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(2,801)</w:t>
            </w:r>
          </w:p>
        </w:tc>
      </w:tr>
      <w:tr>
        <w:trPr>
          <w:trHeight w:val="31"/>
        </w:trPr>
        <w:tc>
          <w:tcPr>
            <w:tcW w:w="7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0"/>
        </w:trPr>
        <w:tc>
          <w:tcPr>
            <w:tcW w:w="734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5"/>
                <w:szCs w:val="15"/>
                <w:b w:val="1"/>
                <w:bCs w:val="1"/>
                <w:color w:val="auto"/>
              </w:rPr>
              <w:t>Net loss allocable to Brilliant Earth Group, Inc.</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(1,511)</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(466)</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7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5"/>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Earnings per share:</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14"/>
        </w:trPr>
        <w:tc>
          <w:tcPr>
            <w:tcW w:w="734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Basic</w:t>
            </w: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(0.10)</w:t>
            </w:r>
          </w:p>
        </w:tc>
        <w:tc>
          <w:tcPr>
            <w:tcW w:w="80" w:type="dxa"/>
            <w:vAlign w:val="bottom"/>
          </w:tcPr>
          <w:p>
            <w:pPr>
              <w:spacing w:after="0"/>
              <w:rPr>
                <w:sz w:val="18"/>
                <w:szCs w:val="18"/>
                <w:color w:val="auto"/>
              </w:rPr>
            </w:pPr>
          </w:p>
        </w:tc>
        <w:tc>
          <w:tcPr>
            <w:tcW w:w="32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(0.03)</w:t>
            </w:r>
          </w:p>
        </w:tc>
      </w:tr>
      <w:tr>
        <w:trPr>
          <w:trHeight w:val="31"/>
        </w:trPr>
        <w:tc>
          <w:tcPr>
            <w:tcW w:w="7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5"/>
        </w:trPr>
        <w:tc>
          <w:tcPr>
            <w:tcW w:w="73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Diluted</w:t>
            </w: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(0.10)</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(0.03)</w:t>
            </w:r>
          </w:p>
        </w:tc>
      </w:tr>
      <w:tr>
        <w:trPr>
          <w:trHeight w:val="214"/>
        </w:trPr>
        <w:tc>
          <w:tcPr>
            <w:tcW w:w="7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Weighted average shares of common stock outstanding:</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1"/>
        </w:trPr>
        <w:tc>
          <w:tcPr>
            <w:tcW w:w="7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5"/>
        </w:trPr>
        <w:tc>
          <w:tcPr>
            <w:tcW w:w="73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Basic</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15,811,843</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14,111,624</w:t>
            </w:r>
          </w:p>
        </w:tc>
      </w:tr>
      <w:tr>
        <w:trPr>
          <w:trHeight w:val="214"/>
        </w:trPr>
        <w:tc>
          <w:tcPr>
            <w:tcW w:w="734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Diluted</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15,811,843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14,111,624</w:t>
            </w:r>
          </w:p>
        </w:tc>
      </w:tr>
    </w:tbl>
    <w:p>
      <w:pPr>
        <w:spacing w:after="0" w:line="200" w:lineRule="exact"/>
        <w:rPr>
          <w:sz w:val="20"/>
          <w:szCs w:val="20"/>
          <w:color w:val="auto"/>
        </w:rPr>
      </w:pPr>
    </w:p>
    <w:p>
      <w:pPr>
        <w:spacing w:after="0" w:line="37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38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Brilliant Earth Group, Inc.</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b w:val="1"/>
          <w:bCs w:val="1"/>
          <w:color w:val="auto"/>
        </w:rPr>
        <w:t>UNAUDITED CONDENSED CONSOLIDATED STATEMENTS OF CHANGES IN STOCKHOLDERS' EQUITY</w:t>
      </w:r>
    </w:p>
    <w:p>
      <w:pPr>
        <w:spacing w:after="0" w:line="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277" w:lineRule="exact"/>
        <w:rPr>
          <w:sz w:val="20"/>
          <w:szCs w:val="20"/>
          <w:color w:val="auto"/>
        </w:rPr>
      </w:pPr>
    </w:p>
    <w:tbl>
      <w:tblPr>
        <w:tblLayout w:type="fixed"/>
        <w:tblInd w:w="400" w:type="dxa"/>
        <w:tblCellMar>
          <w:top w:w="0" w:type="dxa"/>
          <w:left w:w="0" w:type="dxa"/>
          <w:bottom w:w="0" w:type="dxa"/>
          <w:right w:w="0" w:type="dxa"/>
        </w:tblCellMar>
      </w:tblPr>
      <w:tr>
        <w:trPr>
          <w:trHeight w:val="159"/>
        </w:trPr>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gridSpan w:val="21"/>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Brilliant Earth Group, Inc. Stockholders' Equity</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gridSpan w:val="3"/>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4"/>
          </w:tcPr>
          <w:p>
            <w:pPr>
              <w:spacing w:after="0"/>
              <w:rPr>
                <w:sz w:val="3"/>
                <w:szCs w:val="3"/>
                <w:color w:val="auto"/>
              </w:rPr>
            </w:pPr>
          </w:p>
        </w:tc>
        <w:tc>
          <w:tcPr>
            <w:tcW w:w="3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gridSpan w:val="5"/>
          </w:tcPr>
          <w:p>
            <w:pPr>
              <w:ind w:left="120"/>
              <w:spacing w:after="0"/>
              <w:rPr>
                <w:sz w:val="20"/>
                <w:szCs w:val="20"/>
                <w:color w:val="auto"/>
              </w:rPr>
            </w:pPr>
            <w:r>
              <w:rPr>
                <w:rFonts w:ascii="Times New Roman" w:cs="Times New Roman" w:eastAsia="Times New Roman" w:hAnsi="Times New Roman"/>
                <w:sz w:val="12"/>
                <w:szCs w:val="12"/>
                <w:b w:val="1"/>
                <w:bCs w:val="1"/>
                <w:color w:val="auto"/>
              </w:rPr>
              <w:t>Class A Common</w:t>
            </w:r>
          </w:p>
        </w:tc>
        <w:tc>
          <w:tcPr>
            <w:tcW w:w="80" w:type="dxa"/>
            <w:vAlign w:val="bottom"/>
          </w:tcPr>
          <w:p>
            <w:pPr>
              <w:spacing w:after="0"/>
              <w:rPr>
                <w:sz w:val="13"/>
                <w:szCs w:val="13"/>
                <w:color w:val="auto"/>
              </w:rPr>
            </w:pPr>
          </w:p>
        </w:tc>
        <w:tc>
          <w:tcPr>
            <w:tcW w:w="1080" w:type="dxa"/>
            <w:vAlign w:val="bottom"/>
            <w:gridSpan w:val="4"/>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Class B Common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7"/>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Class C Common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7"/>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Non-Controlling Interest</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Stock</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center"/>
              <w:ind w:left="30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5"/>
          </w:tcPr>
          <w:p>
            <w:pPr>
              <w:ind w:left="3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7"/>
            <w:vMerge w:val="continue"/>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6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 w:type="dxa"/>
            <w:vAlign w:val="bottom"/>
          </w:tcPr>
          <w:p>
            <w:pPr>
              <w:spacing w:after="0"/>
              <w:rPr>
                <w:sz w:val="13"/>
                <w:szCs w:val="13"/>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0" w:type="dxa"/>
            <w:vAlign w:val="bottom"/>
          </w:tcPr>
          <w:p>
            <w:pPr>
              <w:spacing w:after="0"/>
              <w:rPr>
                <w:sz w:val="13"/>
                <w:szCs w:val="13"/>
                <w:color w:val="auto"/>
              </w:rPr>
            </w:pPr>
          </w:p>
        </w:tc>
        <w:tc>
          <w:tcPr>
            <w:tcW w:w="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4"/>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80" w:type="dxa"/>
            <w:vAlign w:val="bottom"/>
          </w:tcPr>
          <w:p>
            <w:pPr>
              <w:spacing w:after="0"/>
              <w:rPr>
                <w:sz w:val="13"/>
                <w:szCs w:val="13"/>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13"/>
                <w:szCs w:val="13"/>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Stockholders'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Units</w:t>
            </w:r>
          </w:p>
        </w:tc>
        <w:tc>
          <w:tcPr>
            <w:tcW w:w="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Amounts</w:t>
            </w:r>
          </w:p>
        </w:tc>
        <w:tc>
          <w:tcPr>
            <w:tcW w:w="80" w:type="dxa"/>
            <w:vAlign w:val="bottom"/>
          </w:tcPr>
          <w:p>
            <w:pPr>
              <w:spacing w:after="0"/>
              <w:rPr>
                <w:sz w:val="13"/>
                <w:szCs w:val="13"/>
                <w:color w:val="auto"/>
              </w:rPr>
            </w:pPr>
          </w:p>
        </w:tc>
        <w:tc>
          <w:tcPr>
            <w:tcW w:w="1120" w:type="dxa"/>
            <w:vAlign w:val="bottom"/>
            <w:gridSpan w:val="5"/>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w w:val="99"/>
              </w:rPr>
              <w:t>Stockholders'</w:t>
            </w: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4"/>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0" w:type="dxa"/>
            <w:vAlign w:val="bottom"/>
          </w:tcPr>
          <w:p>
            <w:pPr>
              <w:spacing w:after="0"/>
              <w:rPr>
                <w:sz w:val="13"/>
                <w:szCs w:val="13"/>
                <w:color w:val="auto"/>
              </w:rPr>
            </w:pPr>
          </w:p>
        </w:tc>
        <w:tc>
          <w:tcPr>
            <w:tcW w:w="74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gridSpan w:val="6"/>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gridSpan w:val="4"/>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9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15,518,024</w:t>
            </w: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lef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w:t>
            </w: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35,822,342</w:t>
            </w:r>
          </w:p>
        </w:tc>
        <w:tc>
          <w:tcPr>
            <w:tcW w:w="8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lef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49,119,976</w:t>
            </w:r>
          </w:p>
        </w:tc>
        <w:tc>
          <w:tcPr>
            <w:tcW w:w="4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16,024</w:t>
            </w:r>
          </w:p>
        </w:tc>
        <w:tc>
          <w:tcPr>
            <w:tcW w:w="2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(1,094)</w:t>
            </w:r>
          </w:p>
        </w:tc>
        <w:tc>
          <w:tcPr>
            <w:tcW w:w="3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(2,640)</w:t>
            </w:r>
          </w:p>
        </w:tc>
        <w:tc>
          <w:tcPr>
            <w:tcW w:w="2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12,301</w:t>
            </w:r>
          </w:p>
        </w:tc>
        <w:tc>
          <w:tcPr>
            <w:tcW w:w="7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84,942,318</w:t>
            </w:r>
          </w:p>
        </w:tc>
        <w:tc>
          <w:tcPr>
            <w:tcW w:w="80" w:type="dxa"/>
            <w:vAlign w:val="bottom"/>
            <w:tcBorders>
              <w:right w:val="single" w:sz="8" w:color="CCEEFF"/>
            </w:tcBorders>
            <w:shd w:val="clear" w:color="auto" w:fill="CCEEFF"/>
          </w:tcPr>
          <w:p>
            <w:pPr>
              <w:spacing w:after="0"/>
              <w:rPr>
                <w:sz w:val="12"/>
                <w:szCs w:val="12"/>
                <w:color w:val="auto"/>
              </w:rPr>
            </w:pPr>
          </w:p>
        </w:tc>
        <w:tc>
          <w:tcPr>
            <w:tcW w:w="22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67,336</w:t>
            </w: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79,637</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9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January 1, 2026</w:t>
            </w:r>
          </w:p>
        </w:tc>
        <w:tc>
          <w:tcPr>
            <w:tcW w:w="6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220" w:type="dxa"/>
            <w:vAlign w:val="bottom"/>
            <w:tcBorders>
              <w:left w:val="single" w:sz="8" w:color="CCEEFF"/>
              <w:bottom w:val="single" w:sz="8" w:color="CCEEFF"/>
            </w:tcBorders>
            <w:vMerge w:val="continue"/>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120" w:type="dxa"/>
            <w:vAlign w:val="bottom"/>
            <w:tcBorders>
              <w:left w:val="single" w:sz="8" w:color="CCEEFF"/>
              <w:bottom w:val="single" w:sz="8" w:color="CCEEFF"/>
            </w:tcBorders>
            <w:vMerge w:val="continue"/>
            <w:shd w:val="clear" w:color="auto" w:fill="CCEEFF"/>
          </w:tcPr>
          <w:p>
            <w:pPr>
              <w:spacing w:after="0"/>
              <w:rPr>
                <w:sz w:val="14"/>
                <w:szCs w:val="14"/>
                <w:color w:val="auto"/>
              </w:rPr>
            </w:pPr>
          </w:p>
        </w:tc>
        <w:tc>
          <w:tcPr>
            <w:tcW w:w="320" w:type="dxa"/>
            <w:vAlign w:val="bottom"/>
            <w:tcBorders>
              <w:bottom w:val="single" w:sz="8" w:color="CCEEFF"/>
            </w:tcBorders>
            <w:vMerge w:val="continue"/>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3"/>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vMerge w:val="continue"/>
            <w:shd w:val="clear" w:color="auto" w:fill="CCEEFF"/>
          </w:tcPr>
          <w:p>
            <w:pPr>
              <w:spacing w:after="0"/>
              <w:rPr>
                <w:sz w:val="14"/>
                <w:szCs w:val="14"/>
                <w:color w:val="auto"/>
              </w:rPr>
            </w:pPr>
          </w:p>
        </w:tc>
        <w:tc>
          <w:tcPr>
            <w:tcW w:w="200" w:type="dxa"/>
            <w:vAlign w:val="bottom"/>
            <w:tcBorders>
              <w:bottom w:val="single" w:sz="8" w:color="CCEEFF"/>
            </w:tcBorders>
            <w:gridSpan w:val="2"/>
            <w:vMerge w:val="continue"/>
            <w:shd w:val="clear" w:color="auto" w:fill="CCEEFF"/>
          </w:tcPr>
          <w:p>
            <w:pPr>
              <w:spacing w:after="0"/>
              <w:rPr>
                <w:sz w:val="14"/>
                <w:szCs w:val="14"/>
                <w:color w:val="auto"/>
              </w:rPr>
            </w:pPr>
          </w:p>
        </w:tc>
        <w:tc>
          <w:tcPr>
            <w:tcW w:w="480" w:type="dxa"/>
            <w:vAlign w:val="bottom"/>
            <w:tcBorders>
              <w:bottom w:val="single" w:sz="8" w:color="CCEEFF"/>
            </w:tcBorders>
            <w:gridSpan w:val="4"/>
            <w:vMerge w:val="continue"/>
            <w:shd w:val="clear" w:color="auto" w:fill="CCEEFF"/>
          </w:tcPr>
          <w:p>
            <w:pPr>
              <w:spacing w:after="0"/>
              <w:rPr>
                <w:sz w:val="14"/>
                <w:szCs w:val="14"/>
                <w:color w:val="auto"/>
              </w:rPr>
            </w:pPr>
          </w:p>
        </w:tc>
        <w:tc>
          <w:tcPr>
            <w:tcW w:w="280" w:type="dxa"/>
            <w:vAlign w:val="bottom"/>
            <w:tcBorders>
              <w:bottom w:val="single" w:sz="8" w:color="CCEEFF"/>
            </w:tcBorders>
            <w:gridSpan w:val="3"/>
            <w:vMerge w:val="continue"/>
            <w:shd w:val="clear" w:color="auto" w:fill="CCEEFF"/>
          </w:tcPr>
          <w:p>
            <w:pPr>
              <w:spacing w:after="0"/>
              <w:rPr>
                <w:sz w:val="14"/>
                <w:szCs w:val="14"/>
                <w:color w:val="auto"/>
              </w:rPr>
            </w:pPr>
          </w:p>
        </w:tc>
        <w:tc>
          <w:tcPr>
            <w:tcW w:w="460" w:type="dxa"/>
            <w:vAlign w:val="bottom"/>
            <w:tcBorders>
              <w:bottom w:val="single" w:sz="8" w:color="CCEEFF"/>
            </w:tcBorders>
            <w:gridSpan w:val="3"/>
            <w:vMerge w:val="continue"/>
            <w:shd w:val="clear" w:color="auto" w:fill="CCEEFF"/>
          </w:tcPr>
          <w:p>
            <w:pPr>
              <w:spacing w:after="0"/>
              <w:rPr>
                <w:sz w:val="14"/>
                <w:szCs w:val="14"/>
                <w:color w:val="auto"/>
              </w:rPr>
            </w:pPr>
          </w:p>
        </w:tc>
        <w:tc>
          <w:tcPr>
            <w:tcW w:w="34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260" w:type="dxa"/>
            <w:vAlign w:val="bottom"/>
            <w:tcBorders>
              <w:bottom w:val="single" w:sz="8" w:color="CCEEFF"/>
            </w:tcBorders>
            <w:gridSpan w:val="2"/>
            <w:vMerge w:val="continue"/>
            <w:shd w:val="clear" w:color="auto" w:fill="CCEEFF"/>
          </w:tcPr>
          <w:p>
            <w:pPr>
              <w:spacing w:after="0"/>
              <w:rPr>
                <w:sz w:val="14"/>
                <w:szCs w:val="14"/>
                <w:color w:val="auto"/>
              </w:rPr>
            </w:pPr>
          </w:p>
        </w:tc>
        <w:tc>
          <w:tcPr>
            <w:tcW w:w="560" w:type="dxa"/>
            <w:vAlign w:val="bottom"/>
            <w:tcBorders>
              <w:bottom w:val="single" w:sz="8" w:color="CCEEFF"/>
              <w:right w:val="single" w:sz="8" w:color="CCEEFF"/>
            </w:tcBorders>
            <w:gridSpan w:val="3"/>
            <w:vMerge w:val="continue"/>
            <w:shd w:val="clear" w:color="auto" w:fill="CCEEFF"/>
          </w:tcPr>
          <w:p>
            <w:pPr>
              <w:spacing w:after="0"/>
              <w:rPr>
                <w:sz w:val="14"/>
                <w:szCs w:val="14"/>
                <w:color w:val="auto"/>
              </w:rPr>
            </w:pPr>
          </w:p>
        </w:tc>
        <w:tc>
          <w:tcPr>
            <w:tcW w:w="760" w:type="dxa"/>
            <w:vAlign w:val="bottom"/>
            <w:tcBorders>
              <w:bottom w:val="single" w:sz="8" w:color="CCEEFF"/>
            </w:tcBorders>
            <w:gridSpan w:val="4"/>
            <w:vMerge w:val="continue"/>
            <w:shd w:val="clear" w:color="auto" w:fill="CCEEFF"/>
          </w:tcPr>
          <w:p>
            <w:pPr>
              <w:spacing w:after="0"/>
              <w:rPr>
                <w:sz w:val="14"/>
                <w:szCs w:val="14"/>
                <w:color w:val="auto"/>
              </w:rPr>
            </w:pP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vMerge w:val="continue"/>
            <w:shd w:val="clear" w:color="auto" w:fill="CCEEFF"/>
          </w:tcPr>
          <w:p>
            <w:pPr>
              <w:spacing w:after="0"/>
              <w:rPr>
                <w:sz w:val="14"/>
                <w:szCs w:val="14"/>
                <w:color w:val="auto"/>
              </w:rPr>
            </w:pPr>
          </w:p>
        </w:tc>
        <w:tc>
          <w:tcPr>
            <w:tcW w:w="38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380" w:type="dxa"/>
            <w:vAlign w:val="bottom"/>
            <w:tcBorders>
              <w:bottom w:val="single" w:sz="8" w:color="CCEEFF"/>
            </w:tcBorders>
            <w:gridSpan w:val="2"/>
            <w:vMerge w:val="continue"/>
            <w:shd w:val="clear" w:color="auto" w:fill="CCEEFF"/>
          </w:tcPr>
          <w:p>
            <w:pPr>
              <w:spacing w:after="0"/>
              <w:rPr>
                <w:sz w:val="14"/>
                <w:szCs w:val="14"/>
                <w:color w:val="auto"/>
              </w:rPr>
            </w:pPr>
          </w:p>
        </w:tc>
        <w:tc>
          <w:tcPr>
            <w:tcW w:w="460" w:type="dxa"/>
            <w:vAlign w:val="bottom"/>
            <w:tcBorders>
              <w:bottom w:val="single" w:sz="8" w:color="CCEEFF"/>
            </w:tcBorders>
            <w:gridSpan w:val="3"/>
            <w:vMerge w:val="continue"/>
            <w:shd w:val="clear" w:color="auto" w:fill="CCEEFF"/>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Distributions to</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4"/>
                <w:szCs w:val="14"/>
                <w:color w:val="auto"/>
              </w:rPr>
            </w:pPr>
          </w:p>
        </w:tc>
        <w:tc>
          <w:tcPr>
            <w:tcW w:w="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4"/>
                <w:szCs w:val="14"/>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4"/>
                <w:szCs w:val="14"/>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(1,365)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(1,365)</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members</w:t>
            </w:r>
          </w:p>
        </w:tc>
        <w:tc>
          <w:tcPr>
            <w:tcW w:w="7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0440" w:type="dxa"/>
            <w:vAlign w:val="bottom"/>
            <w:gridSpan w:val="5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60" w:type="dxa"/>
            <w:vAlign w:val="bottom"/>
          </w:tcPr>
          <w:p>
            <w:pPr>
              <w:spacing w:after="0"/>
              <w:rPr>
                <w:sz w:val="14"/>
                <w:szCs w:val="14"/>
                <w:color w:val="auto"/>
              </w:rPr>
            </w:pPr>
          </w:p>
        </w:tc>
        <w:tc>
          <w:tcPr>
            <w:tcW w:w="9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RSU vesting</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644,968</w:t>
            </w:r>
          </w:p>
        </w:tc>
        <w:tc>
          <w:tcPr>
            <w:tcW w:w="100" w:type="dxa"/>
            <w:vAlign w:val="bottom"/>
            <w:tcBorders>
              <w:right w:val="single" w:sz="8" w:color="CCEEFF"/>
            </w:tcBorders>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34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left w:val="single" w:sz="8" w:color="CCEEFF"/>
            </w:tcBorders>
            <w:shd w:val="clear" w:color="auto" w:fill="CCEEFF"/>
          </w:tcPr>
          <w:p>
            <w:pPr>
              <w:spacing w:after="0"/>
              <w:rPr>
                <w:sz w:val="14"/>
                <w:szCs w:val="14"/>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9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during period</w:t>
            </w:r>
          </w:p>
        </w:tc>
        <w:tc>
          <w:tcPr>
            <w:tcW w:w="6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220" w:type="dxa"/>
            <w:vAlign w:val="bottom"/>
            <w:tcBorders>
              <w:left w:val="single" w:sz="8" w:color="CCEEFF"/>
              <w:bottom w:val="single" w:sz="8" w:color="CCEEFF"/>
            </w:tcBorders>
            <w:shd w:val="clear" w:color="auto" w:fill="CCEEFF"/>
          </w:tcPr>
          <w:p>
            <w:pPr>
              <w:spacing w:after="0"/>
              <w:rPr>
                <w:sz w:val="14"/>
                <w:szCs w:val="14"/>
                <w:color w:val="auto"/>
              </w:rPr>
            </w:pPr>
          </w:p>
        </w:tc>
        <w:tc>
          <w:tcPr>
            <w:tcW w:w="34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120" w:type="dxa"/>
            <w:vAlign w:val="bottom"/>
            <w:tcBorders>
              <w:left w:val="single" w:sz="8" w:color="CCEEFF"/>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vMerge w:val="continue"/>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right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right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right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vMerge w:val="continue"/>
            <w:shd w:val="clear" w:color="auto" w:fill="CCEEFF"/>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Equity-based</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4"/>
                <w:szCs w:val="14"/>
                <w:color w:val="auto"/>
              </w:rPr>
            </w:pPr>
          </w:p>
        </w:tc>
        <w:tc>
          <w:tcPr>
            <w:tcW w:w="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4"/>
                <w:szCs w:val="14"/>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1,528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1,528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1,528</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compensation</w:t>
            </w:r>
          </w:p>
        </w:tc>
        <w:tc>
          <w:tcPr>
            <w:tcW w:w="7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4"/>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0440" w:type="dxa"/>
            <w:vAlign w:val="bottom"/>
            <w:gridSpan w:val="5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60" w:type="dxa"/>
            <w:vAlign w:val="bottom"/>
          </w:tcPr>
          <w:p>
            <w:pPr>
              <w:spacing w:after="0"/>
              <w:rPr>
                <w:sz w:val="16"/>
                <w:szCs w:val="16"/>
                <w:color w:val="auto"/>
              </w:rPr>
            </w:pPr>
          </w:p>
        </w:tc>
        <w:tc>
          <w:tcPr>
            <w:tcW w:w="9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72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Borders>
              <w:left w:val="single" w:sz="8" w:color="CCEEFF"/>
              <w:bottom w:val="single" w:sz="8" w:color="CCEEFF"/>
            </w:tcBorders>
            <w:shd w:val="clear" w:color="auto" w:fill="CCEEFF"/>
          </w:tcPr>
          <w:p>
            <w:pPr>
              <w:spacing w:after="0"/>
              <w:rPr>
                <w:sz w:val="16"/>
                <w:szCs w:val="16"/>
                <w:color w:val="auto"/>
              </w:rPr>
            </w:pPr>
          </w:p>
        </w:tc>
        <w:tc>
          <w:tcPr>
            <w:tcW w:w="34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left w:val="single" w:sz="8" w:color="CCEEFF"/>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(1,511)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(1,511)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(6,942)</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(8,453)</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0440" w:type="dxa"/>
            <w:vAlign w:val="bottom"/>
            <w:gridSpan w:val="59"/>
          </w:tcPr>
          <w:p>
            <w:pPr>
              <w:spacing w:after="0"/>
              <w:rPr>
                <w:sz w:val="20"/>
                <w:szCs w:val="20"/>
                <w:color w:val="auto"/>
              </w:rPr>
            </w:pPr>
            <w:r>
              <w:rPr>
                <w:rFonts w:ascii="Times New Roman" w:cs="Times New Roman" w:eastAsia="Times New Roman" w:hAnsi="Times New Roman"/>
                <w:sz w:val="12"/>
                <w:szCs w:val="12"/>
                <w:color w:val="auto"/>
              </w:rPr>
              <w:t>Rebalancing of</w:t>
            </w:r>
          </w:p>
        </w:tc>
        <w:tc>
          <w:tcPr>
            <w:tcW w:w="0" w:type="dxa"/>
            <w:vAlign w:val="bottom"/>
          </w:tcPr>
          <w:p>
            <w:pPr>
              <w:spacing w:after="0"/>
              <w:rPr>
                <w:sz w:val="1"/>
                <w:szCs w:val="1"/>
                <w:color w:val="auto"/>
              </w:rPr>
            </w:pPr>
          </w:p>
        </w:tc>
      </w:tr>
      <w:tr>
        <w:trPr>
          <w:trHeight w:val="155"/>
        </w:trPr>
        <w:tc>
          <w:tcPr>
            <w:tcW w:w="10440" w:type="dxa"/>
            <w:vAlign w:val="bottom"/>
            <w:gridSpan w:val="59"/>
          </w:tcPr>
          <w:p>
            <w:pPr>
              <w:spacing w:after="0"/>
              <w:rPr>
                <w:sz w:val="20"/>
                <w:szCs w:val="20"/>
                <w:color w:val="auto"/>
              </w:rPr>
            </w:pPr>
            <w:r>
              <w:rPr>
                <w:rFonts w:ascii="Times New Roman" w:cs="Times New Roman" w:eastAsia="Times New Roman" w:hAnsi="Times New Roman"/>
                <w:sz w:val="12"/>
                <w:szCs w:val="12"/>
                <w:color w:val="auto"/>
              </w:rPr>
              <w:t>controlling and</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non-controlling</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2"/>
                <w:szCs w:val="12"/>
                <w:color w:val="auto"/>
              </w:rPr>
            </w:pPr>
          </w:p>
        </w:tc>
        <w:tc>
          <w:tcPr>
            <w:tcW w:w="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2"/>
              </w:rPr>
              <w:t>(913)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(913)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2"/>
                <w:szCs w:val="12"/>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913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w:t>
            </w:r>
          </w:p>
        </w:tc>
        <w:tc>
          <w:tcPr>
            <w:tcW w:w="7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0" w:type="dxa"/>
            <w:vAlign w:val="bottom"/>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gridSpan w:val="3"/>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gridSpan w:val="4"/>
          </w:tcPr>
          <w:p>
            <w:pPr>
              <w:spacing w:after="0"/>
              <w:rPr>
                <w:sz w:val="3"/>
                <w:szCs w:val="3"/>
                <w:color w:val="auto"/>
              </w:rPr>
            </w:pPr>
          </w:p>
        </w:tc>
        <w:tc>
          <w:tcPr>
            <w:tcW w:w="80" w:type="dxa"/>
            <w:vAlign w:val="bottom"/>
            <w:tcBorders>
              <w:bottom w:val="single" w:sz="8" w:color="CCEEFF"/>
            </w:tcBorders>
            <w:gridSpan w:val="2"/>
          </w:tcPr>
          <w:p>
            <w:pPr>
              <w:spacing w:after="0"/>
              <w:rPr>
                <w:sz w:val="3"/>
                <w:szCs w:val="3"/>
                <w:color w:val="auto"/>
              </w:rPr>
            </w:pPr>
          </w:p>
        </w:tc>
        <w:tc>
          <w:tcPr>
            <w:tcW w:w="480" w:type="dxa"/>
            <w:vAlign w:val="bottom"/>
            <w:tcBorders>
              <w:bottom w:val="single" w:sz="8" w:color="auto"/>
            </w:tcBorders>
            <w:gridSpan w:val="3"/>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gridSpan w:val="6"/>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gridSpan w:val="4"/>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gridSpan w:val="4"/>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gridSpan w:val="4"/>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gridSpan w:val="3"/>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gridSpan w:val="3"/>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gridSpan w:val="4"/>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9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16,162,992</w:t>
            </w: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lef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w:t>
            </w: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35,822,342</w:t>
            </w:r>
          </w:p>
        </w:tc>
        <w:tc>
          <w:tcPr>
            <w:tcW w:w="8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lef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49,119,976</w:t>
            </w:r>
          </w:p>
        </w:tc>
        <w:tc>
          <w:tcPr>
            <w:tcW w:w="4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16,639</w:t>
            </w:r>
          </w:p>
        </w:tc>
        <w:tc>
          <w:tcPr>
            <w:tcW w:w="2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(1,094)</w:t>
            </w:r>
          </w:p>
        </w:tc>
        <w:tc>
          <w:tcPr>
            <w:tcW w:w="3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(4,151)</w:t>
            </w:r>
          </w:p>
        </w:tc>
        <w:tc>
          <w:tcPr>
            <w:tcW w:w="2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11,405</w:t>
            </w:r>
          </w:p>
        </w:tc>
        <w:tc>
          <w:tcPr>
            <w:tcW w:w="7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84,942,318</w:t>
            </w:r>
          </w:p>
        </w:tc>
        <w:tc>
          <w:tcPr>
            <w:tcW w:w="80" w:type="dxa"/>
            <w:vAlign w:val="bottom"/>
            <w:tcBorders>
              <w:right w:val="single" w:sz="8" w:color="CCEEFF"/>
            </w:tcBorders>
            <w:shd w:val="clear" w:color="auto" w:fill="CCEEFF"/>
          </w:tcPr>
          <w:p>
            <w:pPr>
              <w:spacing w:after="0"/>
              <w:rPr>
                <w:sz w:val="12"/>
                <w:szCs w:val="12"/>
                <w:color w:val="auto"/>
              </w:rPr>
            </w:pPr>
          </w:p>
        </w:tc>
        <w:tc>
          <w:tcPr>
            <w:tcW w:w="22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59,942</w:t>
            </w: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71,347</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9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March 31, 2026</w:t>
            </w:r>
          </w:p>
        </w:tc>
        <w:tc>
          <w:tcPr>
            <w:tcW w:w="6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220" w:type="dxa"/>
            <w:vAlign w:val="bottom"/>
            <w:tcBorders>
              <w:left w:val="single" w:sz="8" w:color="CCEEFF"/>
              <w:bottom w:val="single" w:sz="8" w:color="CCEEFF"/>
            </w:tcBorders>
            <w:vMerge w:val="continue"/>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120" w:type="dxa"/>
            <w:vAlign w:val="bottom"/>
            <w:tcBorders>
              <w:left w:val="single" w:sz="8" w:color="CCEEFF"/>
              <w:bottom w:val="single" w:sz="8" w:color="CCEEFF"/>
            </w:tcBorders>
            <w:vMerge w:val="continue"/>
            <w:shd w:val="clear" w:color="auto" w:fill="CCEEFF"/>
          </w:tcPr>
          <w:p>
            <w:pPr>
              <w:spacing w:after="0"/>
              <w:rPr>
                <w:sz w:val="14"/>
                <w:szCs w:val="14"/>
                <w:color w:val="auto"/>
              </w:rPr>
            </w:pPr>
          </w:p>
        </w:tc>
        <w:tc>
          <w:tcPr>
            <w:tcW w:w="320" w:type="dxa"/>
            <w:vAlign w:val="bottom"/>
            <w:tcBorders>
              <w:bottom w:val="single" w:sz="8" w:color="CCEEFF"/>
            </w:tcBorders>
            <w:vMerge w:val="continue"/>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3"/>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vMerge w:val="continue"/>
            <w:shd w:val="clear" w:color="auto" w:fill="CCEEFF"/>
          </w:tcPr>
          <w:p>
            <w:pPr>
              <w:spacing w:after="0"/>
              <w:rPr>
                <w:sz w:val="14"/>
                <w:szCs w:val="14"/>
                <w:color w:val="auto"/>
              </w:rPr>
            </w:pPr>
          </w:p>
        </w:tc>
        <w:tc>
          <w:tcPr>
            <w:tcW w:w="200" w:type="dxa"/>
            <w:vAlign w:val="bottom"/>
            <w:tcBorders>
              <w:bottom w:val="single" w:sz="8" w:color="CCEEFF"/>
            </w:tcBorders>
            <w:gridSpan w:val="2"/>
            <w:vMerge w:val="continue"/>
            <w:shd w:val="clear" w:color="auto" w:fill="CCEEFF"/>
          </w:tcPr>
          <w:p>
            <w:pPr>
              <w:spacing w:after="0"/>
              <w:rPr>
                <w:sz w:val="14"/>
                <w:szCs w:val="14"/>
                <w:color w:val="auto"/>
              </w:rPr>
            </w:pPr>
          </w:p>
        </w:tc>
        <w:tc>
          <w:tcPr>
            <w:tcW w:w="480" w:type="dxa"/>
            <w:vAlign w:val="bottom"/>
            <w:tcBorders>
              <w:bottom w:val="single" w:sz="8" w:color="CCEEFF"/>
            </w:tcBorders>
            <w:gridSpan w:val="4"/>
            <w:vMerge w:val="continue"/>
            <w:shd w:val="clear" w:color="auto" w:fill="CCEEFF"/>
          </w:tcPr>
          <w:p>
            <w:pPr>
              <w:spacing w:after="0"/>
              <w:rPr>
                <w:sz w:val="14"/>
                <w:szCs w:val="14"/>
                <w:color w:val="auto"/>
              </w:rPr>
            </w:pPr>
          </w:p>
        </w:tc>
        <w:tc>
          <w:tcPr>
            <w:tcW w:w="280" w:type="dxa"/>
            <w:vAlign w:val="bottom"/>
            <w:tcBorders>
              <w:bottom w:val="single" w:sz="8" w:color="CCEEFF"/>
            </w:tcBorders>
            <w:gridSpan w:val="3"/>
            <w:vMerge w:val="continue"/>
            <w:shd w:val="clear" w:color="auto" w:fill="CCEEFF"/>
          </w:tcPr>
          <w:p>
            <w:pPr>
              <w:spacing w:after="0"/>
              <w:rPr>
                <w:sz w:val="14"/>
                <w:szCs w:val="14"/>
                <w:color w:val="auto"/>
              </w:rPr>
            </w:pPr>
          </w:p>
        </w:tc>
        <w:tc>
          <w:tcPr>
            <w:tcW w:w="460" w:type="dxa"/>
            <w:vAlign w:val="bottom"/>
            <w:tcBorders>
              <w:bottom w:val="single" w:sz="8" w:color="CCEEFF"/>
            </w:tcBorders>
            <w:gridSpan w:val="3"/>
            <w:vMerge w:val="continue"/>
            <w:shd w:val="clear" w:color="auto" w:fill="CCEEFF"/>
          </w:tcPr>
          <w:p>
            <w:pPr>
              <w:spacing w:after="0"/>
              <w:rPr>
                <w:sz w:val="14"/>
                <w:szCs w:val="14"/>
                <w:color w:val="auto"/>
              </w:rPr>
            </w:pPr>
          </w:p>
        </w:tc>
        <w:tc>
          <w:tcPr>
            <w:tcW w:w="34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260" w:type="dxa"/>
            <w:vAlign w:val="bottom"/>
            <w:tcBorders>
              <w:bottom w:val="single" w:sz="8" w:color="CCEEFF"/>
            </w:tcBorders>
            <w:gridSpan w:val="2"/>
            <w:vMerge w:val="continue"/>
            <w:shd w:val="clear" w:color="auto" w:fill="CCEEFF"/>
          </w:tcPr>
          <w:p>
            <w:pPr>
              <w:spacing w:after="0"/>
              <w:rPr>
                <w:sz w:val="14"/>
                <w:szCs w:val="14"/>
                <w:color w:val="auto"/>
              </w:rPr>
            </w:pPr>
          </w:p>
        </w:tc>
        <w:tc>
          <w:tcPr>
            <w:tcW w:w="560" w:type="dxa"/>
            <w:vAlign w:val="bottom"/>
            <w:tcBorders>
              <w:bottom w:val="single" w:sz="8" w:color="CCEEFF"/>
              <w:right w:val="single" w:sz="8" w:color="CCEEFF"/>
            </w:tcBorders>
            <w:gridSpan w:val="3"/>
            <w:vMerge w:val="continue"/>
            <w:shd w:val="clear" w:color="auto" w:fill="CCEEFF"/>
          </w:tcPr>
          <w:p>
            <w:pPr>
              <w:spacing w:after="0"/>
              <w:rPr>
                <w:sz w:val="14"/>
                <w:szCs w:val="14"/>
                <w:color w:val="auto"/>
              </w:rPr>
            </w:pPr>
          </w:p>
        </w:tc>
        <w:tc>
          <w:tcPr>
            <w:tcW w:w="760" w:type="dxa"/>
            <w:vAlign w:val="bottom"/>
            <w:tcBorders>
              <w:bottom w:val="single" w:sz="8" w:color="CCEEFF"/>
            </w:tcBorders>
            <w:gridSpan w:val="4"/>
            <w:vMerge w:val="continue"/>
            <w:shd w:val="clear" w:color="auto" w:fill="CCEEFF"/>
          </w:tcPr>
          <w:p>
            <w:pPr>
              <w:spacing w:after="0"/>
              <w:rPr>
                <w:sz w:val="14"/>
                <w:szCs w:val="14"/>
                <w:color w:val="auto"/>
              </w:rPr>
            </w:pP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vMerge w:val="continue"/>
            <w:shd w:val="clear" w:color="auto" w:fill="CCEEFF"/>
          </w:tcPr>
          <w:p>
            <w:pPr>
              <w:spacing w:after="0"/>
              <w:rPr>
                <w:sz w:val="14"/>
                <w:szCs w:val="14"/>
                <w:color w:val="auto"/>
              </w:rPr>
            </w:pPr>
          </w:p>
        </w:tc>
        <w:tc>
          <w:tcPr>
            <w:tcW w:w="38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380" w:type="dxa"/>
            <w:vAlign w:val="bottom"/>
            <w:tcBorders>
              <w:bottom w:val="single" w:sz="8" w:color="CCEEFF"/>
            </w:tcBorders>
            <w:gridSpan w:val="2"/>
            <w:vMerge w:val="continue"/>
            <w:shd w:val="clear" w:color="auto" w:fill="CCEEFF"/>
          </w:tcPr>
          <w:p>
            <w:pPr>
              <w:spacing w:after="0"/>
              <w:rPr>
                <w:sz w:val="14"/>
                <w:szCs w:val="14"/>
                <w:color w:val="auto"/>
              </w:rPr>
            </w:pPr>
          </w:p>
        </w:tc>
        <w:tc>
          <w:tcPr>
            <w:tcW w:w="460" w:type="dxa"/>
            <w:vAlign w:val="bottom"/>
            <w:tcBorders>
              <w:bottom w:val="single" w:sz="8" w:color="CCEEFF"/>
            </w:tcBorders>
            <w:gridSpan w:val="3"/>
            <w:vMerge w:val="continue"/>
            <w:shd w:val="clear" w:color="auto" w:fill="CCEEFF"/>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5"/>
        </w:trPr>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24"/>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Brilliant Earth Group, Inc. Stockholders' Equity</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80" w:type="dxa"/>
            <w:vAlign w:val="bottom"/>
            <w:tcBorders>
              <w:bottom w:val="single" w:sz="8" w:color="auto"/>
            </w:tcBorders>
            <w:gridSpan w:val="5"/>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7"/>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8"/>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gridSpan w:val="7"/>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gridSpan w:val="5"/>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Class A Common Stock</w:t>
            </w:r>
          </w:p>
        </w:tc>
        <w:tc>
          <w:tcPr>
            <w:tcW w:w="80" w:type="dxa"/>
            <w:vAlign w:val="bottom"/>
          </w:tcPr>
          <w:p>
            <w:pPr>
              <w:spacing w:after="0"/>
              <w:rPr>
                <w:sz w:val="13"/>
                <w:szCs w:val="13"/>
                <w:color w:val="auto"/>
              </w:rPr>
            </w:pPr>
          </w:p>
        </w:tc>
        <w:tc>
          <w:tcPr>
            <w:tcW w:w="1240" w:type="dxa"/>
            <w:vAlign w:val="bottom"/>
            <w:gridSpan w:val="7"/>
          </w:tcPr>
          <w:p>
            <w:pPr>
              <w:jc w:val="right"/>
              <w:spacing w:after="0"/>
              <w:rPr>
                <w:sz w:val="20"/>
                <w:szCs w:val="20"/>
                <w:color w:val="auto"/>
              </w:rPr>
            </w:pPr>
            <w:r>
              <w:rPr>
                <w:rFonts w:ascii="Times New Roman" w:cs="Times New Roman" w:eastAsia="Times New Roman" w:hAnsi="Times New Roman"/>
                <w:sz w:val="12"/>
                <w:szCs w:val="12"/>
                <w:b w:val="1"/>
                <w:bCs w:val="1"/>
                <w:color w:val="auto"/>
              </w:rPr>
              <w:t>Class B Common Stock</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8"/>
          </w:tcPr>
          <w:p>
            <w:pPr>
              <w:jc w:val="right"/>
              <w:spacing w:after="0"/>
              <w:rPr>
                <w:sz w:val="20"/>
                <w:szCs w:val="20"/>
                <w:color w:val="auto"/>
              </w:rPr>
            </w:pPr>
            <w:r>
              <w:rPr>
                <w:rFonts w:ascii="Times New Roman" w:cs="Times New Roman" w:eastAsia="Times New Roman" w:hAnsi="Times New Roman"/>
                <w:sz w:val="12"/>
                <w:szCs w:val="12"/>
                <w:b w:val="1"/>
                <w:bCs w:val="1"/>
                <w:color w:val="auto"/>
              </w:rPr>
              <w:t>Class C Common Stock</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7"/>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Non-Controlling Interest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5"/>
              </w:rPr>
              <w:t>Retained</w:t>
            </w: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10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Stockholders'</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6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4"/>
                <w:szCs w:val="14"/>
                <w:color w:val="auto"/>
              </w:rPr>
            </w:pPr>
          </w:p>
        </w:tc>
        <w:tc>
          <w:tcPr>
            <w:tcW w:w="480" w:type="dxa"/>
            <w:vAlign w:val="bottom"/>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w w:val="92"/>
              </w:rPr>
              <w:t>Shares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tcPr>
          <w:p>
            <w:pPr>
              <w:ind w:left="2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00" w:type="dxa"/>
            <w:vAlign w:val="bottom"/>
          </w:tcPr>
          <w:p>
            <w:pPr>
              <w:spacing w:after="0"/>
              <w:rPr>
                <w:sz w:val="14"/>
                <w:szCs w:val="14"/>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4"/>
              </w:rPr>
              <w:t>Earnings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80" w:type="dxa"/>
            <w:vAlign w:val="bottom"/>
          </w:tcPr>
          <w:p>
            <w:pPr>
              <w:spacing w:after="0"/>
              <w:rPr>
                <w:sz w:val="14"/>
                <w:szCs w:val="14"/>
                <w:color w:val="auto"/>
              </w:rPr>
            </w:pP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w w:val="87"/>
              </w:rPr>
              <w:t>Units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Amounts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28"/>
        </w:trPr>
        <w:tc>
          <w:tcPr>
            <w:tcW w:w="980" w:type="dxa"/>
            <w:vAlign w:val="bottom"/>
            <w:tcBorders>
              <w:bottom w:val="single" w:sz="8" w:color="CCEEFF"/>
            </w:tcBorders>
            <w:gridSpan w:val="2"/>
          </w:tcPr>
          <w:p>
            <w:pPr>
              <w:spacing w:after="0"/>
              <w:rPr>
                <w:sz w:val="2"/>
                <w:szCs w:val="2"/>
                <w:color w:val="auto"/>
              </w:rPr>
            </w:pPr>
          </w:p>
        </w:tc>
        <w:tc>
          <w:tcPr>
            <w:tcW w:w="128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gridSpan w:val="5"/>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gridSpan w:val="6"/>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98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72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13,843,944</w:t>
            </w:r>
          </w:p>
        </w:tc>
        <w:tc>
          <w:tcPr>
            <w:tcW w:w="220" w:type="dxa"/>
            <w:vAlign w:val="bottom"/>
            <w:tcBorders>
              <w:left w:val="single" w:sz="8" w:color="CCEEFF"/>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w:t>
            </w:r>
          </w:p>
        </w:tc>
        <w:tc>
          <w:tcPr>
            <w:tcW w:w="72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35,820,912</w:t>
            </w:r>
          </w:p>
        </w:tc>
        <w:tc>
          <w:tcPr>
            <w:tcW w:w="120" w:type="dxa"/>
            <w:vAlign w:val="bottom"/>
            <w:tcBorders>
              <w:left w:val="single" w:sz="8" w:color="CCEEFF"/>
            </w:tcBorders>
            <w:shd w:val="clear" w:color="auto" w:fill="CCEEFF"/>
          </w:tcPr>
          <w:p>
            <w:pPr>
              <w:spacing w:after="0"/>
              <w:rPr>
                <w:sz w:val="12"/>
                <w:szCs w:val="12"/>
                <w:color w:val="auto"/>
              </w:rPr>
            </w:pPr>
          </w:p>
        </w:tc>
        <w:tc>
          <w:tcPr>
            <w:tcW w:w="3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4</w:t>
            </w:r>
          </w:p>
        </w:tc>
        <w:tc>
          <w:tcPr>
            <w:tcW w:w="820" w:type="dxa"/>
            <w:vAlign w:val="bottom"/>
            <w:gridSpan w:val="6"/>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49,119,976</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w:t>
            </w:r>
          </w:p>
        </w:tc>
        <w:tc>
          <w:tcPr>
            <w:tcW w:w="240" w:type="dxa"/>
            <w:vAlign w:val="bottom"/>
            <w:gridSpan w:val="3"/>
            <w:vMerge w:val="restart"/>
            <w:shd w:val="clear" w:color="auto" w:fill="CCEEFF"/>
          </w:tcPr>
          <w:p>
            <w:pPr>
              <w:jc w:val="center"/>
              <w:ind w:lef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11,169</w:t>
            </w:r>
          </w:p>
        </w:tc>
        <w:tc>
          <w:tcPr>
            <w:tcW w:w="4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(638)</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4,788</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15,329</w:t>
            </w:r>
          </w:p>
        </w:tc>
        <w:tc>
          <w:tcPr>
            <w:tcW w:w="7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84,940,888</w:t>
            </w:r>
          </w:p>
        </w:tc>
        <w:tc>
          <w:tcPr>
            <w:tcW w:w="38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0"/>
              </w:rPr>
              <w:t>94,053</w:t>
            </w:r>
          </w:p>
        </w:tc>
        <w:tc>
          <w:tcPr>
            <w:tcW w:w="2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109,382</w:t>
            </w:r>
          </w:p>
        </w:tc>
        <w:tc>
          <w:tcPr>
            <w:tcW w:w="0" w:type="dxa"/>
            <w:vAlign w:val="bottom"/>
          </w:tcPr>
          <w:p>
            <w:pPr>
              <w:spacing w:after="0"/>
              <w:rPr>
                <w:sz w:val="1"/>
                <w:szCs w:val="1"/>
                <w:color w:val="auto"/>
              </w:rPr>
            </w:pPr>
          </w:p>
        </w:tc>
      </w:tr>
      <w:tr>
        <w:trPr>
          <w:trHeight w:val="168"/>
        </w:trPr>
        <w:tc>
          <w:tcPr>
            <w:tcW w:w="98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January 1, 2025</w:t>
            </w:r>
          </w:p>
        </w:tc>
        <w:tc>
          <w:tcPr>
            <w:tcW w:w="72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220" w:type="dxa"/>
            <w:vAlign w:val="bottom"/>
            <w:tcBorders>
              <w:left w:val="single" w:sz="8" w:color="CCEEFF"/>
              <w:bottom w:val="single" w:sz="8" w:color="CCEEFF"/>
            </w:tcBorders>
            <w:vMerge w:val="continue"/>
            <w:shd w:val="clear" w:color="auto" w:fill="CCEEFF"/>
          </w:tcPr>
          <w:p>
            <w:pPr>
              <w:spacing w:after="0"/>
              <w:rPr>
                <w:sz w:val="14"/>
                <w:szCs w:val="14"/>
                <w:color w:val="auto"/>
              </w:rPr>
            </w:pPr>
          </w:p>
        </w:tc>
        <w:tc>
          <w:tcPr>
            <w:tcW w:w="34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720" w:type="dxa"/>
            <w:vAlign w:val="bottom"/>
            <w:tcBorders>
              <w:bottom w:val="single" w:sz="8" w:color="CCEEFF"/>
              <w:right w:val="single" w:sz="8" w:color="CCEEFF"/>
            </w:tcBorders>
            <w:gridSpan w:val="3"/>
            <w:vMerge w:val="continue"/>
            <w:shd w:val="clear" w:color="auto" w:fill="CCEEFF"/>
          </w:tcPr>
          <w:p>
            <w:pPr>
              <w:spacing w:after="0"/>
              <w:rPr>
                <w:sz w:val="14"/>
                <w:szCs w:val="14"/>
                <w:color w:val="auto"/>
              </w:rPr>
            </w:pPr>
          </w:p>
        </w:tc>
        <w:tc>
          <w:tcPr>
            <w:tcW w:w="120" w:type="dxa"/>
            <w:vAlign w:val="bottom"/>
            <w:tcBorders>
              <w:left w:val="single" w:sz="8" w:color="CCEEFF"/>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vMerge w:val="continue"/>
            <w:shd w:val="clear" w:color="auto" w:fill="CCEEFF"/>
          </w:tcPr>
          <w:p>
            <w:pPr>
              <w:spacing w:after="0"/>
              <w:rPr>
                <w:sz w:val="14"/>
                <w:szCs w:val="14"/>
                <w:color w:val="auto"/>
              </w:rPr>
            </w:pPr>
          </w:p>
        </w:tc>
        <w:tc>
          <w:tcPr>
            <w:tcW w:w="160" w:type="dxa"/>
            <w:vAlign w:val="bottom"/>
            <w:tcBorders>
              <w:bottom w:val="single" w:sz="8" w:color="CCEEFF"/>
            </w:tcBorders>
            <w:gridSpan w:val="3"/>
            <w:vMerge w:val="continue"/>
            <w:shd w:val="clear" w:color="auto" w:fill="CCEEFF"/>
          </w:tcPr>
          <w:p>
            <w:pPr>
              <w:spacing w:after="0"/>
              <w:rPr>
                <w:sz w:val="14"/>
                <w:szCs w:val="14"/>
                <w:color w:val="auto"/>
              </w:rPr>
            </w:pPr>
          </w:p>
        </w:tc>
        <w:tc>
          <w:tcPr>
            <w:tcW w:w="820" w:type="dxa"/>
            <w:vAlign w:val="bottom"/>
            <w:tcBorders>
              <w:bottom w:val="single" w:sz="8" w:color="CCEEFF"/>
            </w:tcBorders>
            <w:gridSpan w:val="6"/>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vMerge w:val="continue"/>
            <w:shd w:val="clear" w:color="auto" w:fill="CCEEFF"/>
          </w:tcPr>
          <w:p>
            <w:pPr>
              <w:spacing w:after="0"/>
              <w:rPr>
                <w:sz w:val="14"/>
                <w:szCs w:val="14"/>
                <w:color w:val="auto"/>
              </w:rPr>
            </w:pPr>
          </w:p>
        </w:tc>
        <w:tc>
          <w:tcPr>
            <w:tcW w:w="200" w:type="dxa"/>
            <w:vAlign w:val="bottom"/>
            <w:tcBorders>
              <w:bottom w:val="single" w:sz="8" w:color="CCEEFF"/>
            </w:tcBorders>
            <w:gridSpan w:val="2"/>
            <w:vMerge w:val="continue"/>
            <w:shd w:val="clear" w:color="auto" w:fill="CCEEFF"/>
          </w:tcPr>
          <w:p>
            <w:pPr>
              <w:spacing w:after="0"/>
              <w:rPr>
                <w:sz w:val="14"/>
                <w:szCs w:val="14"/>
                <w:color w:val="auto"/>
              </w:rPr>
            </w:pPr>
          </w:p>
        </w:tc>
        <w:tc>
          <w:tcPr>
            <w:tcW w:w="240" w:type="dxa"/>
            <w:vAlign w:val="bottom"/>
            <w:tcBorders>
              <w:bottom w:val="single" w:sz="8" w:color="CCEEFF"/>
            </w:tcBorders>
            <w:gridSpan w:val="3"/>
            <w:vMerge w:val="continue"/>
            <w:shd w:val="clear" w:color="auto" w:fill="CCEEFF"/>
          </w:tcPr>
          <w:p>
            <w:pPr>
              <w:spacing w:after="0"/>
              <w:rPr>
                <w:sz w:val="14"/>
                <w:szCs w:val="14"/>
                <w:color w:val="auto"/>
              </w:rPr>
            </w:pPr>
          </w:p>
        </w:tc>
        <w:tc>
          <w:tcPr>
            <w:tcW w:w="520" w:type="dxa"/>
            <w:vAlign w:val="bottom"/>
            <w:tcBorders>
              <w:bottom w:val="single" w:sz="8" w:color="CCEEFF"/>
            </w:tcBorders>
            <w:gridSpan w:val="4"/>
            <w:vMerge w:val="continue"/>
            <w:shd w:val="clear" w:color="auto" w:fill="CCEEFF"/>
          </w:tcPr>
          <w:p>
            <w:pPr>
              <w:spacing w:after="0"/>
              <w:rPr>
                <w:sz w:val="14"/>
                <w:szCs w:val="14"/>
                <w:color w:val="auto"/>
              </w:rPr>
            </w:pPr>
          </w:p>
        </w:tc>
        <w:tc>
          <w:tcPr>
            <w:tcW w:w="460" w:type="dxa"/>
            <w:vAlign w:val="bottom"/>
            <w:tcBorders>
              <w:bottom w:val="single" w:sz="8" w:color="CCEEFF"/>
            </w:tcBorders>
            <w:gridSpan w:val="3"/>
            <w:vMerge w:val="continue"/>
            <w:shd w:val="clear" w:color="auto" w:fill="CCEEFF"/>
          </w:tcPr>
          <w:p>
            <w:pPr>
              <w:spacing w:after="0"/>
              <w:rPr>
                <w:sz w:val="14"/>
                <w:szCs w:val="14"/>
                <w:color w:val="auto"/>
              </w:rPr>
            </w:pPr>
          </w:p>
        </w:tc>
        <w:tc>
          <w:tcPr>
            <w:tcW w:w="34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560" w:type="dxa"/>
            <w:vAlign w:val="bottom"/>
            <w:tcBorders>
              <w:bottom w:val="single" w:sz="8" w:color="CCEEFF"/>
            </w:tcBorders>
            <w:gridSpan w:val="3"/>
            <w:vMerge w:val="continue"/>
            <w:shd w:val="clear" w:color="auto" w:fill="CCEEFF"/>
          </w:tcPr>
          <w:p>
            <w:pPr>
              <w:spacing w:after="0"/>
              <w:rPr>
                <w:sz w:val="14"/>
                <w:szCs w:val="14"/>
                <w:color w:val="auto"/>
              </w:rPr>
            </w:pPr>
          </w:p>
        </w:tc>
        <w:tc>
          <w:tcPr>
            <w:tcW w:w="200" w:type="dxa"/>
            <w:vAlign w:val="bottom"/>
            <w:tcBorders>
              <w:bottom w:val="single" w:sz="8" w:color="CCEEFF"/>
            </w:tcBorders>
            <w:gridSpan w:val="2"/>
            <w:vMerge w:val="continue"/>
            <w:shd w:val="clear" w:color="auto" w:fill="CCEEFF"/>
          </w:tcPr>
          <w:p>
            <w:pPr>
              <w:spacing w:after="0"/>
              <w:rPr>
                <w:sz w:val="14"/>
                <w:szCs w:val="14"/>
                <w:color w:val="auto"/>
              </w:rPr>
            </w:pPr>
          </w:p>
        </w:tc>
        <w:tc>
          <w:tcPr>
            <w:tcW w:w="640" w:type="dxa"/>
            <w:vAlign w:val="bottom"/>
            <w:tcBorders>
              <w:bottom w:val="single" w:sz="8" w:color="CCEEFF"/>
            </w:tcBorders>
            <w:gridSpan w:val="3"/>
            <w:vMerge w:val="continue"/>
            <w:shd w:val="clear" w:color="auto" w:fill="CCEEFF"/>
          </w:tcPr>
          <w:p>
            <w:pPr>
              <w:spacing w:after="0"/>
              <w:rPr>
                <w:sz w:val="14"/>
                <w:szCs w:val="14"/>
                <w:color w:val="auto"/>
              </w:rPr>
            </w:pPr>
          </w:p>
        </w:tc>
        <w:tc>
          <w:tcPr>
            <w:tcW w:w="780" w:type="dxa"/>
            <w:vAlign w:val="bottom"/>
            <w:tcBorders>
              <w:bottom w:val="single" w:sz="8" w:color="CCEEFF"/>
            </w:tcBorders>
            <w:gridSpan w:val="4"/>
            <w:vMerge w:val="continue"/>
            <w:shd w:val="clear" w:color="auto" w:fill="CCEEFF"/>
          </w:tcPr>
          <w:p>
            <w:pPr>
              <w:spacing w:after="0"/>
              <w:rPr>
                <w:sz w:val="14"/>
                <w:szCs w:val="14"/>
                <w:color w:val="auto"/>
              </w:rPr>
            </w:pPr>
          </w:p>
        </w:tc>
        <w:tc>
          <w:tcPr>
            <w:tcW w:w="38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380" w:type="dxa"/>
            <w:vAlign w:val="bottom"/>
            <w:tcBorders>
              <w:bottom w:val="single" w:sz="8" w:color="CCEEFF"/>
            </w:tcBorders>
            <w:gridSpan w:val="2"/>
            <w:vMerge w:val="continue"/>
            <w:shd w:val="clear" w:color="auto" w:fill="CCEEFF"/>
          </w:tcPr>
          <w:p>
            <w:pPr>
              <w:spacing w:after="0"/>
              <w:rPr>
                <w:sz w:val="14"/>
                <w:szCs w:val="14"/>
                <w:color w:val="auto"/>
              </w:rPr>
            </w:pPr>
          </w:p>
        </w:tc>
        <w:tc>
          <w:tcPr>
            <w:tcW w:w="260" w:type="dxa"/>
            <w:vAlign w:val="bottom"/>
            <w:tcBorders>
              <w:bottom w:val="single" w:sz="8" w:color="CCEEFF"/>
            </w:tcBorders>
            <w:gridSpan w:val="2"/>
            <w:vMerge w:val="continue"/>
            <w:shd w:val="clear" w:color="auto" w:fill="CCEEFF"/>
          </w:tcPr>
          <w:p>
            <w:pPr>
              <w:spacing w:after="0"/>
              <w:rPr>
                <w:sz w:val="14"/>
                <w:szCs w:val="14"/>
                <w:color w:val="auto"/>
              </w:rPr>
            </w:pPr>
          </w:p>
        </w:tc>
        <w:tc>
          <w:tcPr>
            <w:tcW w:w="560" w:type="dxa"/>
            <w:vAlign w:val="bottom"/>
            <w:tcBorders>
              <w:bottom w:val="single" w:sz="8" w:color="CCEEFF"/>
            </w:tcBorders>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Distributions to</w:t>
            </w: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4"/>
                <w:szCs w:val="14"/>
                <w:color w:val="auto"/>
              </w:rPr>
            </w:pPr>
          </w:p>
        </w:tc>
        <w:tc>
          <w:tcPr>
            <w:tcW w:w="3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4"/>
                <w:szCs w:val="14"/>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82"/>
              </w:rPr>
              <w:t>—</w:t>
            </w:r>
          </w:p>
        </w:tc>
        <w:tc>
          <w:tcPr>
            <w:tcW w:w="260" w:type="dxa"/>
            <w:vAlign w:val="bottom"/>
          </w:tcPr>
          <w:p>
            <w:pPr>
              <w:spacing w:after="0"/>
              <w:rPr>
                <w:sz w:val="14"/>
                <w:szCs w:val="14"/>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(5,349)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(5,349)</w:t>
            </w:r>
          </w:p>
        </w:tc>
        <w:tc>
          <w:tcPr>
            <w:tcW w:w="0" w:type="dxa"/>
            <w:vAlign w:val="bottom"/>
          </w:tcPr>
          <w:p>
            <w:pPr>
              <w:spacing w:after="0"/>
              <w:rPr>
                <w:sz w:val="1"/>
                <w:szCs w:val="1"/>
                <w:color w:val="auto"/>
              </w:rPr>
            </w:pPr>
          </w:p>
        </w:tc>
      </w:tr>
      <w:tr>
        <w:trPr>
          <w:trHeight w:val="155"/>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members</w:t>
            </w:r>
          </w:p>
        </w:tc>
        <w:tc>
          <w:tcPr>
            <w:tcW w:w="7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0440" w:type="dxa"/>
            <w:vAlign w:val="bottom"/>
            <w:gridSpan w:val="5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98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Conversion of</w:t>
            </w:r>
          </w:p>
        </w:tc>
        <w:tc>
          <w:tcPr>
            <w:tcW w:w="720" w:type="dxa"/>
            <w:vAlign w:val="bottom"/>
            <w:tcBorders>
              <w:right w:val="single" w:sz="8" w:color="CCEEFF"/>
            </w:tcBorders>
            <w:gridSpan w:val="2"/>
            <w:shd w:val="clear" w:color="auto" w:fill="CCEEFF"/>
          </w:tcPr>
          <w:p>
            <w:pPr>
              <w:spacing w:after="0"/>
              <w:rPr>
                <w:sz w:val="14"/>
                <w:szCs w:val="14"/>
                <w:color w:val="auto"/>
              </w:rPr>
            </w:pPr>
          </w:p>
        </w:tc>
        <w:tc>
          <w:tcPr>
            <w:tcW w:w="560" w:type="dxa"/>
            <w:vAlign w:val="bottom"/>
            <w:tcBorders>
              <w:left w:val="single" w:sz="8" w:color="CCEEFF"/>
              <w:right w:val="single" w:sz="8" w:color="CCEEFF"/>
            </w:tcBorders>
            <w:gridSpan w:val="3"/>
            <w:shd w:val="clear" w:color="auto" w:fill="CCEEFF"/>
          </w:tcPr>
          <w:p>
            <w:pPr>
              <w:spacing w:after="0"/>
              <w:rPr>
                <w:sz w:val="14"/>
                <w:szCs w:val="14"/>
                <w:color w:val="auto"/>
              </w:rPr>
            </w:pPr>
          </w:p>
        </w:tc>
        <w:tc>
          <w:tcPr>
            <w:tcW w:w="720" w:type="dxa"/>
            <w:vAlign w:val="bottom"/>
            <w:tcBorders>
              <w:right w:val="single" w:sz="8" w:color="CCEEFF"/>
            </w:tcBorders>
            <w:gridSpan w:val="3"/>
            <w:shd w:val="clear" w:color="auto" w:fill="CCEEFF"/>
          </w:tcPr>
          <w:p>
            <w:pPr>
              <w:spacing w:after="0"/>
              <w:rPr>
                <w:sz w:val="14"/>
                <w:szCs w:val="14"/>
                <w:color w:val="auto"/>
              </w:rPr>
            </w:pPr>
          </w:p>
        </w:tc>
        <w:tc>
          <w:tcPr>
            <w:tcW w:w="4000" w:type="dxa"/>
            <w:vAlign w:val="bottom"/>
            <w:tcBorders>
              <w:left w:val="single" w:sz="8" w:color="CCEEFF"/>
              <w:right w:val="single" w:sz="8" w:color="CCEEFF"/>
            </w:tcBorders>
            <w:gridSpan w:val="30"/>
            <w:shd w:val="clear" w:color="auto" w:fill="CCEEFF"/>
          </w:tcPr>
          <w:p>
            <w:pPr>
              <w:spacing w:after="0"/>
              <w:rPr>
                <w:sz w:val="14"/>
                <w:szCs w:val="14"/>
                <w:color w:val="auto"/>
              </w:rPr>
            </w:pPr>
          </w:p>
        </w:tc>
        <w:tc>
          <w:tcPr>
            <w:tcW w:w="820" w:type="dxa"/>
            <w:vAlign w:val="bottom"/>
            <w:tcBorders>
              <w:right w:val="single" w:sz="8" w:color="CCEEFF"/>
            </w:tcBorders>
            <w:gridSpan w:val="5"/>
            <w:shd w:val="clear" w:color="auto" w:fill="CCEEFF"/>
          </w:tcPr>
          <w:p>
            <w:pPr>
              <w:spacing w:after="0"/>
              <w:rPr>
                <w:sz w:val="14"/>
                <w:szCs w:val="14"/>
                <w:color w:val="auto"/>
              </w:rPr>
            </w:pPr>
          </w:p>
        </w:tc>
        <w:tc>
          <w:tcPr>
            <w:tcW w:w="840" w:type="dxa"/>
            <w:vAlign w:val="bottom"/>
            <w:tcBorders>
              <w:right w:val="single" w:sz="8" w:color="CCEEFF"/>
            </w:tcBorders>
            <w:gridSpan w:val="5"/>
            <w:shd w:val="clear" w:color="auto" w:fill="CCEEFF"/>
          </w:tcPr>
          <w:p>
            <w:pPr>
              <w:spacing w:after="0"/>
              <w:rPr>
                <w:sz w:val="14"/>
                <w:szCs w:val="14"/>
                <w:color w:val="auto"/>
              </w:rPr>
            </w:pPr>
          </w:p>
        </w:tc>
        <w:tc>
          <w:tcPr>
            <w:tcW w:w="600" w:type="dxa"/>
            <w:vAlign w:val="bottom"/>
            <w:tcBorders>
              <w:right w:val="single" w:sz="8" w:color="CCEEFF"/>
            </w:tcBorders>
            <w:gridSpan w:val="3"/>
            <w:shd w:val="clear" w:color="auto" w:fill="CCEEFF"/>
          </w:tcPr>
          <w:p>
            <w:pPr>
              <w:spacing w:after="0"/>
              <w:rPr>
                <w:sz w:val="14"/>
                <w:szCs w:val="14"/>
                <w:color w:val="auto"/>
              </w:rPr>
            </w:pPr>
          </w:p>
        </w:tc>
        <w:tc>
          <w:tcPr>
            <w:tcW w:w="1200" w:type="dxa"/>
            <w:vAlign w:val="bottom"/>
            <w:gridSpan w:val="6"/>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8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Class B to Class A</w:t>
            </w:r>
          </w:p>
        </w:tc>
        <w:tc>
          <w:tcPr>
            <w:tcW w:w="72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2,700</w:t>
            </w:r>
          </w:p>
        </w:tc>
        <w:tc>
          <w:tcPr>
            <w:tcW w:w="220" w:type="dxa"/>
            <w:vAlign w:val="bottom"/>
            <w:tcBorders>
              <w:left w:val="single" w:sz="8" w:color="CCEEFF"/>
            </w:tcBorders>
            <w:shd w:val="clear" w:color="auto" w:fill="CCEEFF"/>
          </w:tcPr>
          <w:p>
            <w:pPr>
              <w:spacing w:after="0"/>
              <w:rPr>
                <w:sz w:val="13"/>
                <w:szCs w:val="13"/>
                <w:color w:val="auto"/>
              </w:rPr>
            </w:pPr>
          </w:p>
        </w:tc>
        <w:tc>
          <w:tcPr>
            <w:tcW w:w="34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Borders>
              <w:right w:val="single" w:sz="8" w:color="CCEEFF"/>
            </w:tcBorders>
            <w:gridSpan w:val="3"/>
            <w:vMerge w:val="restart"/>
            <w:shd w:val="clear" w:color="auto" w:fill="CCEEFF"/>
          </w:tcPr>
          <w:p>
            <w:pPr>
              <w:jc w:val="center"/>
              <w:ind w:left="320"/>
              <w:spacing w:after="0"/>
              <w:rPr>
                <w:sz w:val="20"/>
                <w:szCs w:val="20"/>
                <w:color w:val="auto"/>
              </w:rPr>
            </w:pPr>
            <w:r>
              <w:rPr>
                <w:rFonts w:ascii="Times New Roman" w:cs="Times New Roman" w:eastAsia="Times New Roman" w:hAnsi="Times New Roman"/>
                <w:sz w:val="12"/>
                <w:szCs w:val="12"/>
                <w:b w:val="1"/>
                <w:bCs w:val="1"/>
                <w:color w:val="auto"/>
                <w:w w:val="97"/>
              </w:rPr>
              <w:t>(2,700)</w:t>
            </w:r>
          </w:p>
        </w:tc>
        <w:tc>
          <w:tcPr>
            <w:tcW w:w="120" w:type="dxa"/>
            <w:vAlign w:val="bottom"/>
            <w:tcBorders>
              <w:lef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82"/>
              </w:rPr>
              <w:t>—</w:t>
            </w:r>
          </w:p>
        </w:tc>
        <w:tc>
          <w:tcPr>
            <w:tcW w:w="260" w:type="dxa"/>
            <w:vAlign w:val="bottom"/>
            <w:shd w:val="clear" w:color="auto" w:fill="CCEEFF"/>
          </w:tcPr>
          <w:p>
            <w:pPr>
              <w:spacing w:after="0"/>
              <w:rPr>
                <w:sz w:val="13"/>
                <w:szCs w:val="13"/>
                <w:color w:val="auto"/>
              </w:rPr>
            </w:pP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(2,700)</w:t>
            </w:r>
          </w:p>
        </w:tc>
        <w:tc>
          <w:tcPr>
            <w:tcW w:w="8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64"/>
        </w:trPr>
        <w:tc>
          <w:tcPr>
            <w:tcW w:w="98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common stock</w:t>
            </w:r>
          </w:p>
        </w:tc>
        <w:tc>
          <w:tcPr>
            <w:tcW w:w="72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220" w:type="dxa"/>
            <w:vAlign w:val="bottom"/>
            <w:tcBorders>
              <w:left w:val="single" w:sz="8" w:color="CCEEFF"/>
              <w:bottom w:val="single" w:sz="8" w:color="CCEEFF"/>
            </w:tcBorders>
            <w:shd w:val="clear" w:color="auto" w:fill="CCEEFF"/>
          </w:tcPr>
          <w:p>
            <w:pPr>
              <w:spacing w:after="0"/>
              <w:rPr>
                <w:sz w:val="14"/>
                <w:szCs w:val="14"/>
                <w:color w:val="auto"/>
              </w:rPr>
            </w:pPr>
          </w:p>
        </w:tc>
        <w:tc>
          <w:tcPr>
            <w:tcW w:w="34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720" w:type="dxa"/>
            <w:vAlign w:val="bottom"/>
            <w:tcBorders>
              <w:bottom w:val="single" w:sz="8" w:color="CCEEFF"/>
              <w:right w:val="single" w:sz="8" w:color="CCEEFF"/>
            </w:tcBorders>
            <w:gridSpan w:val="3"/>
            <w:vMerge w:val="continue"/>
            <w:shd w:val="clear" w:color="auto" w:fill="CCEEFF"/>
          </w:tcPr>
          <w:p>
            <w:pPr>
              <w:spacing w:after="0"/>
              <w:rPr>
                <w:sz w:val="14"/>
                <w:szCs w:val="14"/>
                <w:color w:val="auto"/>
              </w:rPr>
            </w:pPr>
          </w:p>
        </w:tc>
        <w:tc>
          <w:tcPr>
            <w:tcW w:w="120" w:type="dxa"/>
            <w:vAlign w:val="bottom"/>
            <w:tcBorders>
              <w:left w:val="single" w:sz="8" w:color="CCEEFF"/>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gridSpan w:val="3"/>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gridSpan w:val="3"/>
            <w:vMerge w:val="continue"/>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2"/>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vMerge w:val="continue"/>
            <w:shd w:val="clear" w:color="auto" w:fill="CCEEFF"/>
          </w:tcPr>
          <w:p>
            <w:pPr>
              <w:spacing w:after="0"/>
              <w:rPr>
                <w:sz w:val="14"/>
                <w:szCs w:val="14"/>
                <w:color w:val="auto"/>
              </w:rPr>
            </w:pPr>
          </w:p>
        </w:tc>
        <w:tc>
          <w:tcPr>
            <w:tcW w:w="780" w:type="dxa"/>
            <w:vAlign w:val="bottom"/>
            <w:tcBorders>
              <w:bottom w:val="single" w:sz="8" w:color="CCEEFF"/>
            </w:tcBorders>
            <w:gridSpan w:val="4"/>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RSU vesting</w:t>
            </w: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661,156</w:t>
            </w:r>
          </w:p>
        </w:tc>
        <w:tc>
          <w:tcPr>
            <w:tcW w:w="220" w:type="dxa"/>
            <w:vAlign w:val="bottom"/>
          </w:tcPr>
          <w:p>
            <w:pPr>
              <w:spacing w:after="0"/>
              <w:rPr>
                <w:sz w:val="14"/>
                <w:szCs w:val="14"/>
                <w:color w:val="auto"/>
              </w:rPr>
            </w:pPr>
          </w:p>
        </w:tc>
        <w:tc>
          <w:tcPr>
            <w:tcW w:w="3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4"/>
                <w:szCs w:val="14"/>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82"/>
              </w:rPr>
              <w:t>—</w:t>
            </w:r>
          </w:p>
        </w:tc>
        <w:tc>
          <w:tcPr>
            <w:tcW w:w="260" w:type="dxa"/>
            <w:vAlign w:val="bottom"/>
          </w:tcPr>
          <w:p>
            <w:pPr>
              <w:spacing w:after="0"/>
              <w:rPr>
                <w:sz w:val="14"/>
                <w:szCs w:val="14"/>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5"/>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during period</w:t>
            </w:r>
          </w:p>
        </w:tc>
        <w:tc>
          <w:tcPr>
            <w:tcW w:w="7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0440" w:type="dxa"/>
            <w:vAlign w:val="bottom"/>
            <w:gridSpan w:val="5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98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Repurchases of</w:t>
            </w:r>
          </w:p>
        </w:tc>
        <w:tc>
          <w:tcPr>
            <w:tcW w:w="72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(102,460)</w:t>
            </w:r>
          </w:p>
        </w:tc>
        <w:tc>
          <w:tcPr>
            <w:tcW w:w="220" w:type="dxa"/>
            <w:vAlign w:val="bottom"/>
            <w:tcBorders>
              <w:left w:val="single" w:sz="8" w:color="CCEEFF"/>
            </w:tcBorders>
            <w:shd w:val="clear" w:color="auto" w:fill="CCEEFF"/>
          </w:tcPr>
          <w:p>
            <w:pPr>
              <w:spacing w:after="0"/>
              <w:rPr>
                <w:sz w:val="14"/>
                <w:szCs w:val="14"/>
                <w:color w:val="auto"/>
              </w:rPr>
            </w:pPr>
          </w:p>
        </w:tc>
        <w:tc>
          <w:tcPr>
            <w:tcW w:w="34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lef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82"/>
              </w:rPr>
              <w:t>—</w:t>
            </w:r>
          </w:p>
        </w:tc>
        <w:tc>
          <w:tcPr>
            <w:tcW w:w="260" w:type="dxa"/>
            <w:vAlign w:val="bottom"/>
            <w:shd w:val="clear" w:color="auto" w:fill="CCEEFF"/>
          </w:tcPr>
          <w:p>
            <w:pPr>
              <w:spacing w:after="0"/>
              <w:rPr>
                <w:sz w:val="14"/>
                <w:szCs w:val="14"/>
                <w:color w:val="auto"/>
              </w:rPr>
            </w:pP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spacing w:after="0"/>
              <w:rPr>
                <w:sz w:val="14"/>
                <w:szCs w:val="14"/>
                <w:color w:val="auto"/>
              </w:rPr>
            </w:pP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84"/>
              </w:rPr>
              <w:t>(163)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(163)</w:t>
            </w:r>
          </w:p>
        </w:tc>
        <w:tc>
          <w:tcPr>
            <w:tcW w:w="0" w:type="dxa"/>
            <w:vAlign w:val="bottom"/>
          </w:tcPr>
          <w:p>
            <w:pPr>
              <w:spacing w:after="0"/>
              <w:rPr>
                <w:sz w:val="1"/>
                <w:szCs w:val="1"/>
                <w:color w:val="auto"/>
              </w:rPr>
            </w:pPr>
          </w:p>
        </w:tc>
      </w:tr>
      <w:tr>
        <w:trPr>
          <w:trHeight w:val="164"/>
        </w:trPr>
        <w:tc>
          <w:tcPr>
            <w:tcW w:w="98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common stock</w:t>
            </w:r>
          </w:p>
        </w:tc>
        <w:tc>
          <w:tcPr>
            <w:tcW w:w="72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220" w:type="dxa"/>
            <w:vAlign w:val="bottom"/>
            <w:tcBorders>
              <w:left w:val="single" w:sz="8" w:color="CCEEFF"/>
              <w:bottom w:val="single" w:sz="8" w:color="CCEEFF"/>
            </w:tcBorders>
            <w:shd w:val="clear" w:color="auto" w:fill="CCEEFF"/>
          </w:tcPr>
          <w:p>
            <w:pPr>
              <w:spacing w:after="0"/>
              <w:rPr>
                <w:sz w:val="14"/>
                <w:szCs w:val="14"/>
                <w:color w:val="auto"/>
              </w:rPr>
            </w:pPr>
          </w:p>
        </w:tc>
        <w:tc>
          <w:tcPr>
            <w:tcW w:w="34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120" w:type="dxa"/>
            <w:vAlign w:val="bottom"/>
            <w:tcBorders>
              <w:left w:val="single" w:sz="8" w:color="CCEEFF"/>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gridSpan w:val="3"/>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gridSpan w:val="3"/>
            <w:vMerge w:val="continue"/>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2"/>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right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0440" w:type="dxa"/>
            <w:vAlign w:val="bottom"/>
            <w:gridSpan w:val="59"/>
          </w:tcPr>
          <w:p>
            <w:pPr>
              <w:ind w:left="20"/>
              <w:spacing w:after="0"/>
              <w:rPr>
                <w:sz w:val="20"/>
                <w:szCs w:val="20"/>
                <w:color w:val="auto"/>
              </w:rPr>
            </w:pPr>
            <w:r>
              <w:rPr>
                <w:rFonts w:ascii="Times New Roman" w:cs="Times New Roman" w:eastAsia="Times New Roman" w:hAnsi="Times New Roman"/>
                <w:sz w:val="12"/>
                <w:szCs w:val="12"/>
                <w:color w:val="auto"/>
              </w:rPr>
              <w:t>Class B shares</w:t>
            </w:r>
          </w:p>
        </w:tc>
        <w:tc>
          <w:tcPr>
            <w:tcW w:w="0" w:type="dxa"/>
            <w:vAlign w:val="bottom"/>
          </w:tcPr>
          <w:p>
            <w:pPr>
              <w:spacing w:after="0"/>
              <w:rPr>
                <w:sz w:val="1"/>
                <w:szCs w:val="1"/>
                <w:color w:val="auto"/>
              </w:rPr>
            </w:pPr>
          </w:p>
        </w:tc>
      </w:tr>
      <w:tr>
        <w:trPr>
          <w:trHeight w:val="155"/>
        </w:trPr>
        <w:tc>
          <w:tcPr>
            <w:tcW w:w="10440" w:type="dxa"/>
            <w:vAlign w:val="bottom"/>
            <w:gridSpan w:val="59"/>
          </w:tcPr>
          <w:p>
            <w:pPr>
              <w:ind w:left="20"/>
              <w:spacing w:after="0"/>
              <w:rPr>
                <w:sz w:val="20"/>
                <w:szCs w:val="20"/>
                <w:color w:val="auto"/>
              </w:rPr>
            </w:pPr>
            <w:r>
              <w:rPr>
                <w:rFonts w:ascii="Times New Roman" w:cs="Times New Roman" w:eastAsia="Times New Roman" w:hAnsi="Times New Roman"/>
                <w:sz w:val="12"/>
                <w:szCs w:val="12"/>
                <w:color w:val="auto"/>
              </w:rPr>
              <w:t>issued upon</w:t>
            </w:r>
          </w:p>
        </w:tc>
        <w:tc>
          <w:tcPr>
            <w:tcW w:w="0" w:type="dxa"/>
            <w:vAlign w:val="bottom"/>
          </w:tcPr>
          <w:p>
            <w:pPr>
              <w:spacing w:after="0"/>
              <w:rPr>
                <w:sz w:val="1"/>
                <w:szCs w:val="1"/>
                <w:color w:val="auto"/>
              </w:rPr>
            </w:pPr>
          </w:p>
        </w:tc>
      </w:tr>
      <w:tr>
        <w:trPr>
          <w:trHeight w:val="142"/>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vesting of LLC</w:t>
            </w: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2"/>
                <w:szCs w:val="12"/>
                <w:color w:val="auto"/>
              </w:rPr>
            </w:pPr>
          </w:p>
        </w:tc>
        <w:tc>
          <w:tcPr>
            <w:tcW w:w="3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21,191</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82"/>
              </w:rPr>
              <w:t>—</w:t>
            </w:r>
          </w:p>
        </w:tc>
        <w:tc>
          <w:tcPr>
            <w:tcW w:w="260" w:type="dxa"/>
            <w:vAlign w:val="bottom"/>
          </w:tcPr>
          <w:p>
            <w:pPr>
              <w:spacing w:after="0"/>
              <w:rPr>
                <w:sz w:val="12"/>
                <w:szCs w:val="12"/>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21,191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5"/>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units</w:t>
            </w:r>
          </w:p>
        </w:tc>
        <w:tc>
          <w:tcPr>
            <w:tcW w:w="7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78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440" w:type="dxa"/>
            <w:vAlign w:val="bottom"/>
            <w:gridSpan w:val="59"/>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98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Equity-based</w:t>
            </w:r>
          </w:p>
        </w:tc>
        <w:tc>
          <w:tcPr>
            <w:tcW w:w="72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Borders>
              <w:left w:val="single" w:sz="8" w:color="CCEEFF"/>
            </w:tcBorders>
            <w:shd w:val="clear" w:color="auto" w:fill="CCEEFF"/>
          </w:tcPr>
          <w:p>
            <w:pPr>
              <w:spacing w:after="0"/>
              <w:rPr>
                <w:sz w:val="14"/>
                <w:szCs w:val="14"/>
                <w:color w:val="auto"/>
              </w:rPr>
            </w:pPr>
          </w:p>
        </w:tc>
        <w:tc>
          <w:tcPr>
            <w:tcW w:w="34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lef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82"/>
              </w:rPr>
              <w:t>—</w:t>
            </w:r>
          </w:p>
        </w:tc>
        <w:tc>
          <w:tcPr>
            <w:tcW w:w="260" w:type="dxa"/>
            <w:vAlign w:val="bottom"/>
            <w:shd w:val="clear" w:color="auto" w:fill="CCEEFF"/>
          </w:tcPr>
          <w:p>
            <w:pPr>
              <w:spacing w:after="0"/>
              <w:rPr>
                <w:sz w:val="14"/>
                <w:szCs w:val="14"/>
                <w:color w:val="auto"/>
              </w:rPr>
            </w:pP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2,342</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2,342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2,369</w:t>
            </w:r>
          </w:p>
        </w:tc>
        <w:tc>
          <w:tcPr>
            <w:tcW w:w="0" w:type="dxa"/>
            <w:vAlign w:val="bottom"/>
          </w:tcPr>
          <w:p>
            <w:pPr>
              <w:spacing w:after="0"/>
              <w:rPr>
                <w:sz w:val="1"/>
                <w:szCs w:val="1"/>
                <w:color w:val="auto"/>
              </w:rPr>
            </w:pPr>
          </w:p>
        </w:tc>
      </w:tr>
      <w:tr>
        <w:trPr>
          <w:trHeight w:val="164"/>
        </w:trPr>
        <w:tc>
          <w:tcPr>
            <w:tcW w:w="98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compensation</w:t>
            </w:r>
          </w:p>
        </w:tc>
        <w:tc>
          <w:tcPr>
            <w:tcW w:w="72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220" w:type="dxa"/>
            <w:vAlign w:val="bottom"/>
            <w:tcBorders>
              <w:left w:val="single" w:sz="8" w:color="CCEEFF"/>
              <w:bottom w:val="single" w:sz="8" w:color="CCEEFF"/>
            </w:tcBorders>
            <w:shd w:val="clear" w:color="auto" w:fill="CCEEFF"/>
          </w:tcPr>
          <w:p>
            <w:pPr>
              <w:spacing w:after="0"/>
              <w:rPr>
                <w:sz w:val="14"/>
                <w:szCs w:val="14"/>
                <w:color w:val="auto"/>
              </w:rPr>
            </w:pPr>
          </w:p>
        </w:tc>
        <w:tc>
          <w:tcPr>
            <w:tcW w:w="34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right w:val="single" w:sz="8" w:color="CCEEFF"/>
            </w:tcBorders>
            <w:gridSpan w:val="2"/>
            <w:vMerge w:val="continue"/>
            <w:shd w:val="clear" w:color="auto" w:fill="CCEEFF"/>
          </w:tcPr>
          <w:p>
            <w:pPr>
              <w:spacing w:after="0"/>
              <w:rPr>
                <w:sz w:val="14"/>
                <w:szCs w:val="14"/>
                <w:color w:val="auto"/>
              </w:rPr>
            </w:pPr>
          </w:p>
        </w:tc>
        <w:tc>
          <w:tcPr>
            <w:tcW w:w="120" w:type="dxa"/>
            <w:vAlign w:val="bottom"/>
            <w:tcBorders>
              <w:left w:val="single" w:sz="8" w:color="CCEEFF"/>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gridSpan w:val="3"/>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gridSpan w:val="3"/>
            <w:vMerge w:val="continue"/>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2"/>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gridSpan w:val="3"/>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3"/>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right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4"/>
                <w:szCs w:val="14"/>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82"/>
              </w:rPr>
              <w:t>—</w:t>
            </w:r>
          </w:p>
        </w:tc>
        <w:tc>
          <w:tcPr>
            <w:tcW w:w="26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84"/>
              </w:rPr>
              <w:t>(466)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84"/>
              </w:rPr>
              <w:t>(466)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(2,801)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(3,267)</w:t>
            </w:r>
          </w:p>
        </w:tc>
        <w:tc>
          <w:tcPr>
            <w:tcW w:w="0" w:type="dxa"/>
            <w:vAlign w:val="bottom"/>
          </w:tcPr>
          <w:p>
            <w:pPr>
              <w:spacing w:after="0"/>
              <w:rPr>
                <w:sz w:val="1"/>
                <w:szCs w:val="1"/>
                <w:color w:val="auto"/>
              </w:rPr>
            </w:pPr>
          </w:p>
        </w:tc>
      </w:tr>
      <w:tr>
        <w:trPr>
          <w:trHeight w:val="41"/>
        </w:trPr>
        <w:tc>
          <w:tcPr>
            <w:tcW w:w="10440" w:type="dxa"/>
            <w:vAlign w:val="bottom"/>
            <w:gridSpan w:val="59"/>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98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Rebalancing of</w:t>
            </w:r>
          </w:p>
        </w:tc>
        <w:tc>
          <w:tcPr>
            <w:tcW w:w="720" w:type="dxa"/>
            <w:vAlign w:val="bottom"/>
            <w:tcBorders>
              <w:right w:val="single" w:sz="8" w:color="CCEEFF"/>
            </w:tcBorders>
            <w:gridSpan w:val="2"/>
            <w:shd w:val="clear" w:color="auto" w:fill="CCEEFF"/>
          </w:tcPr>
          <w:p>
            <w:pPr>
              <w:spacing w:after="0"/>
              <w:rPr>
                <w:sz w:val="14"/>
                <w:szCs w:val="14"/>
                <w:color w:val="auto"/>
              </w:rPr>
            </w:pPr>
          </w:p>
        </w:tc>
        <w:tc>
          <w:tcPr>
            <w:tcW w:w="560" w:type="dxa"/>
            <w:vAlign w:val="bottom"/>
            <w:tcBorders>
              <w:left w:val="single" w:sz="8" w:color="CCEEFF"/>
              <w:right w:val="single" w:sz="8" w:color="CCEEFF"/>
            </w:tcBorders>
            <w:gridSpan w:val="3"/>
            <w:shd w:val="clear" w:color="auto" w:fill="CCEEFF"/>
          </w:tcPr>
          <w:p>
            <w:pPr>
              <w:spacing w:after="0"/>
              <w:rPr>
                <w:sz w:val="14"/>
                <w:szCs w:val="14"/>
                <w:color w:val="auto"/>
              </w:rPr>
            </w:pPr>
          </w:p>
        </w:tc>
        <w:tc>
          <w:tcPr>
            <w:tcW w:w="720" w:type="dxa"/>
            <w:vAlign w:val="bottom"/>
            <w:tcBorders>
              <w:right w:val="single" w:sz="8" w:color="CCEEFF"/>
            </w:tcBorders>
            <w:gridSpan w:val="3"/>
            <w:shd w:val="clear" w:color="auto" w:fill="CCEEFF"/>
          </w:tcPr>
          <w:p>
            <w:pPr>
              <w:spacing w:after="0"/>
              <w:rPr>
                <w:sz w:val="14"/>
                <w:szCs w:val="14"/>
                <w:color w:val="auto"/>
              </w:rPr>
            </w:pPr>
          </w:p>
        </w:tc>
        <w:tc>
          <w:tcPr>
            <w:tcW w:w="4000" w:type="dxa"/>
            <w:vAlign w:val="bottom"/>
            <w:tcBorders>
              <w:left w:val="single" w:sz="8" w:color="CCEEFF"/>
              <w:right w:val="single" w:sz="8" w:color="CCEEFF"/>
            </w:tcBorders>
            <w:gridSpan w:val="30"/>
            <w:shd w:val="clear" w:color="auto" w:fill="CCEEFF"/>
          </w:tcPr>
          <w:p>
            <w:pPr>
              <w:spacing w:after="0"/>
              <w:rPr>
                <w:sz w:val="14"/>
                <w:szCs w:val="14"/>
                <w:color w:val="auto"/>
              </w:rPr>
            </w:pPr>
          </w:p>
        </w:tc>
        <w:tc>
          <w:tcPr>
            <w:tcW w:w="820" w:type="dxa"/>
            <w:vAlign w:val="bottom"/>
            <w:tcBorders>
              <w:right w:val="single" w:sz="8" w:color="CCEEFF"/>
            </w:tcBorders>
            <w:gridSpan w:val="5"/>
            <w:shd w:val="clear" w:color="auto" w:fill="CCEEFF"/>
          </w:tcPr>
          <w:p>
            <w:pPr>
              <w:spacing w:after="0"/>
              <w:rPr>
                <w:sz w:val="14"/>
                <w:szCs w:val="14"/>
                <w:color w:val="auto"/>
              </w:rPr>
            </w:pPr>
          </w:p>
        </w:tc>
        <w:tc>
          <w:tcPr>
            <w:tcW w:w="840" w:type="dxa"/>
            <w:vAlign w:val="bottom"/>
            <w:tcBorders>
              <w:right w:val="single" w:sz="8" w:color="CCEEFF"/>
            </w:tcBorders>
            <w:gridSpan w:val="5"/>
            <w:shd w:val="clear" w:color="auto" w:fill="CCEEFF"/>
          </w:tcPr>
          <w:p>
            <w:pPr>
              <w:spacing w:after="0"/>
              <w:rPr>
                <w:sz w:val="14"/>
                <w:szCs w:val="14"/>
                <w:color w:val="auto"/>
              </w:rPr>
            </w:pPr>
          </w:p>
        </w:tc>
        <w:tc>
          <w:tcPr>
            <w:tcW w:w="600" w:type="dxa"/>
            <w:vAlign w:val="bottom"/>
            <w:tcBorders>
              <w:right w:val="single" w:sz="8" w:color="CCEEFF"/>
            </w:tcBorders>
            <w:gridSpan w:val="3"/>
            <w:shd w:val="clear" w:color="auto" w:fill="CCEEFF"/>
          </w:tcPr>
          <w:p>
            <w:pPr>
              <w:spacing w:after="0"/>
              <w:rPr>
                <w:sz w:val="14"/>
                <w:szCs w:val="14"/>
                <w:color w:val="auto"/>
              </w:rPr>
            </w:pPr>
          </w:p>
        </w:tc>
        <w:tc>
          <w:tcPr>
            <w:tcW w:w="1200" w:type="dxa"/>
            <w:vAlign w:val="bottom"/>
            <w:gridSpan w:val="6"/>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8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controlling and</w:t>
            </w:r>
          </w:p>
        </w:tc>
        <w:tc>
          <w:tcPr>
            <w:tcW w:w="720" w:type="dxa"/>
            <w:vAlign w:val="bottom"/>
            <w:tcBorders>
              <w:right w:val="single" w:sz="8" w:color="CCEEFF"/>
            </w:tcBorders>
            <w:gridSpan w:val="2"/>
            <w:shd w:val="clear" w:color="auto" w:fill="CCEEFF"/>
          </w:tcPr>
          <w:p>
            <w:pPr>
              <w:spacing w:after="0"/>
              <w:rPr>
                <w:sz w:val="13"/>
                <w:szCs w:val="13"/>
                <w:color w:val="auto"/>
              </w:rPr>
            </w:pPr>
          </w:p>
        </w:tc>
        <w:tc>
          <w:tcPr>
            <w:tcW w:w="560" w:type="dxa"/>
            <w:vAlign w:val="bottom"/>
            <w:tcBorders>
              <w:left w:val="single" w:sz="8" w:color="CCEEFF"/>
              <w:right w:val="single" w:sz="8" w:color="CCEEFF"/>
            </w:tcBorders>
            <w:gridSpan w:val="3"/>
            <w:shd w:val="clear" w:color="auto" w:fill="CCEEFF"/>
          </w:tcPr>
          <w:p>
            <w:pPr>
              <w:spacing w:after="0"/>
              <w:rPr>
                <w:sz w:val="13"/>
                <w:szCs w:val="13"/>
                <w:color w:val="auto"/>
              </w:rPr>
            </w:pPr>
          </w:p>
        </w:tc>
        <w:tc>
          <w:tcPr>
            <w:tcW w:w="720" w:type="dxa"/>
            <w:vAlign w:val="bottom"/>
            <w:tcBorders>
              <w:right w:val="single" w:sz="8" w:color="CCEEFF"/>
            </w:tcBorders>
            <w:gridSpan w:val="3"/>
            <w:shd w:val="clear" w:color="auto" w:fill="CCEEFF"/>
          </w:tcPr>
          <w:p>
            <w:pPr>
              <w:spacing w:after="0"/>
              <w:rPr>
                <w:sz w:val="13"/>
                <w:szCs w:val="13"/>
                <w:color w:val="auto"/>
              </w:rPr>
            </w:pPr>
          </w:p>
        </w:tc>
        <w:tc>
          <w:tcPr>
            <w:tcW w:w="4000" w:type="dxa"/>
            <w:vAlign w:val="bottom"/>
            <w:tcBorders>
              <w:left w:val="single" w:sz="8" w:color="CCEEFF"/>
              <w:right w:val="single" w:sz="8" w:color="CCEEFF"/>
            </w:tcBorders>
            <w:gridSpan w:val="30"/>
            <w:shd w:val="clear" w:color="auto" w:fill="CCEEFF"/>
          </w:tcPr>
          <w:p>
            <w:pPr>
              <w:spacing w:after="0"/>
              <w:rPr>
                <w:sz w:val="13"/>
                <w:szCs w:val="13"/>
                <w:color w:val="auto"/>
              </w:rPr>
            </w:pPr>
          </w:p>
        </w:tc>
        <w:tc>
          <w:tcPr>
            <w:tcW w:w="820" w:type="dxa"/>
            <w:vAlign w:val="bottom"/>
            <w:tcBorders>
              <w:right w:val="single" w:sz="8" w:color="CCEEFF"/>
            </w:tcBorders>
            <w:gridSpan w:val="5"/>
            <w:shd w:val="clear" w:color="auto" w:fill="CCEEFF"/>
          </w:tcPr>
          <w:p>
            <w:pPr>
              <w:spacing w:after="0"/>
              <w:rPr>
                <w:sz w:val="13"/>
                <w:szCs w:val="13"/>
                <w:color w:val="auto"/>
              </w:rPr>
            </w:pPr>
          </w:p>
        </w:tc>
        <w:tc>
          <w:tcPr>
            <w:tcW w:w="840" w:type="dxa"/>
            <w:vAlign w:val="bottom"/>
            <w:tcBorders>
              <w:right w:val="single" w:sz="8" w:color="CCEEFF"/>
            </w:tcBorders>
            <w:gridSpan w:val="5"/>
            <w:shd w:val="clear" w:color="auto" w:fill="CCEEFF"/>
          </w:tcPr>
          <w:p>
            <w:pPr>
              <w:spacing w:after="0"/>
              <w:rPr>
                <w:sz w:val="13"/>
                <w:szCs w:val="13"/>
                <w:color w:val="auto"/>
              </w:rPr>
            </w:pPr>
          </w:p>
        </w:tc>
        <w:tc>
          <w:tcPr>
            <w:tcW w:w="600" w:type="dxa"/>
            <w:vAlign w:val="bottom"/>
            <w:tcBorders>
              <w:right w:val="single" w:sz="8" w:color="CCEEFF"/>
            </w:tcBorders>
            <w:gridSpan w:val="3"/>
            <w:shd w:val="clear" w:color="auto" w:fill="CCEEFF"/>
          </w:tcPr>
          <w:p>
            <w:pPr>
              <w:spacing w:after="0"/>
              <w:rPr>
                <w:sz w:val="13"/>
                <w:szCs w:val="13"/>
                <w:color w:val="auto"/>
              </w:rPr>
            </w:pPr>
          </w:p>
        </w:tc>
        <w:tc>
          <w:tcPr>
            <w:tcW w:w="1200" w:type="dxa"/>
            <w:vAlign w:val="bottom"/>
            <w:gridSpan w:val="6"/>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8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noncontrolling</w:t>
            </w:r>
          </w:p>
        </w:tc>
        <w:tc>
          <w:tcPr>
            <w:tcW w:w="72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Borders>
              <w:left w:val="single" w:sz="8" w:color="CCEEFF"/>
            </w:tcBorders>
            <w:shd w:val="clear" w:color="auto" w:fill="CCEEFF"/>
          </w:tcPr>
          <w:p>
            <w:pPr>
              <w:spacing w:after="0"/>
              <w:rPr>
                <w:sz w:val="12"/>
                <w:szCs w:val="12"/>
                <w:color w:val="auto"/>
              </w:rPr>
            </w:pPr>
          </w:p>
        </w:tc>
        <w:tc>
          <w:tcPr>
            <w:tcW w:w="34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82"/>
              </w:rPr>
              <w:t>—</w:t>
            </w:r>
          </w:p>
        </w:tc>
        <w:tc>
          <w:tcPr>
            <w:tcW w:w="26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(2,114)</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(2,114)</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2,114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97"/>
        </w:trPr>
        <w:tc>
          <w:tcPr>
            <w:tcW w:w="98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720" w:type="dxa"/>
            <w:vAlign w:val="bottom"/>
            <w:tcBorders>
              <w:bottom w:val="single" w:sz="8" w:color="CCEEFF"/>
              <w:right w:val="single" w:sz="8" w:color="CCEEFF"/>
            </w:tcBorders>
            <w:gridSpan w:val="2"/>
            <w:vMerge w:val="continue"/>
            <w:shd w:val="clear" w:color="auto" w:fill="CCEEFF"/>
          </w:tcPr>
          <w:p>
            <w:pPr>
              <w:spacing w:after="0"/>
              <w:rPr>
                <w:sz w:val="17"/>
                <w:szCs w:val="17"/>
                <w:color w:val="auto"/>
              </w:rPr>
            </w:pPr>
          </w:p>
        </w:tc>
        <w:tc>
          <w:tcPr>
            <w:tcW w:w="220" w:type="dxa"/>
            <w:vAlign w:val="bottom"/>
            <w:tcBorders>
              <w:left w:val="single" w:sz="8" w:color="CCEEFF"/>
              <w:bottom w:val="single" w:sz="8" w:color="CCEEFF"/>
            </w:tcBorders>
            <w:shd w:val="clear" w:color="auto" w:fill="CCEEFF"/>
          </w:tcPr>
          <w:p>
            <w:pPr>
              <w:spacing w:after="0"/>
              <w:rPr>
                <w:sz w:val="17"/>
                <w:szCs w:val="17"/>
                <w:color w:val="auto"/>
              </w:rPr>
            </w:pPr>
          </w:p>
        </w:tc>
        <w:tc>
          <w:tcPr>
            <w:tcW w:w="340" w:type="dxa"/>
            <w:vAlign w:val="bottom"/>
            <w:tcBorders>
              <w:bottom w:val="single" w:sz="8" w:color="CCEEFF"/>
              <w:right w:val="single" w:sz="8" w:color="CCEEFF"/>
            </w:tcBorders>
            <w:gridSpan w:val="2"/>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right w:val="single" w:sz="8" w:color="CCEEFF"/>
            </w:tcBorders>
            <w:gridSpan w:val="2"/>
            <w:vMerge w:val="continue"/>
            <w:shd w:val="clear" w:color="auto" w:fill="CCEEFF"/>
          </w:tcPr>
          <w:p>
            <w:pPr>
              <w:spacing w:after="0"/>
              <w:rPr>
                <w:sz w:val="17"/>
                <w:szCs w:val="17"/>
                <w:color w:val="auto"/>
              </w:rPr>
            </w:pPr>
          </w:p>
        </w:tc>
        <w:tc>
          <w:tcPr>
            <w:tcW w:w="120" w:type="dxa"/>
            <w:vAlign w:val="bottom"/>
            <w:tcBorders>
              <w:left w:val="single" w:sz="8" w:color="CCEEFF"/>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gridSpan w:val="3"/>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3"/>
            <w:vMerge w:val="continue"/>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2"/>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5"/>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3"/>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720" w:type="dxa"/>
            <w:vAlign w:val="bottom"/>
            <w:tcBorders>
              <w:top w:val="single" w:sz="8" w:color="auto"/>
            </w:tcBorders>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14,405,340</w:t>
            </w:r>
          </w:p>
        </w:tc>
        <w:tc>
          <w:tcPr>
            <w:tcW w:w="22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tcBorders>
              <w:top w:val="single" w:sz="8" w:color="auto"/>
            </w:tcBorders>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w:t>
            </w:r>
          </w:p>
        </w:tc>
        <w:tc>
          <w:tcPr>
            <w:tcW w:w="80" w:type="dxa"/>
            <w:vAlign w:val="bottom"/>
            <w:vMerge w:val="restart"/>
          </w:tcPr>
          <w:p>
            <w:pPr>
              <w:spacing w:after="0"/>
              <w:rPr>
                <w:sz w:val="12"/>
                <w:szCs w:val="12"/>
                <w:color w:val="auto"/>
              </w:rPr>
            </w:pPr>
          </w:p>
        </w:tc>
        <w:tc>
          <w:tcPr>
            <w:tcW w:w="64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35,839,403</w:t>
            </w:r>
          </w:p>
        </w:tc>
        <w:tc>
          <w:tcPr>
            <w:tcW w:w="120" w:type="dxa"/>
            <w:vAlign w:val="bottom"/>
          </w:tcPr>
          <w:p>
            <w:pPr>
              <w:spacing w:after="0"/>
              <w:rPr>
                <w:sz w:val="12"/>
                <w:szCs w:val="12"/>
                <w:color w:val="auto"/>
              </w:rPr>
            </w:pPr>
          </w:p>
        </w:tc>
        <w:tc>
          <w:tcPr>
            <w:tcW w:w="32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top w:val="single" w:sz="8" w:color="auto"/>
            </w:tcBorders>
            <w:gridSpan w:val="3"/>
            <w:vMerge w:val="restart"/>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4</w:t>
            </w:r>
          </w:p>
        </w:tc>
        <w:tc>
          <w:tcPr>
            <w:tcW w:w="40" w:type="dxa"/>
            <w:vAlign w:val="bottom"/>
            <w:tcBorders>
              <w:top w:val="single" w:sz="8" w:color="auto"/>
            </w:tcBorders>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720" w:type="dxa"/>
            <w:vAlign w:val="bottom"/>
            <w:tcBorders>
              <w:top w:val="single" w:sz="8" w:color="auto"/>
            </w:tcBorders>
            <w:gridSpan w:val="4"/>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49,119,976</w:t>
            </w:r>
          </w:p>
        </w:tc>
        <w:tc>
          <w:tcPr>
            <w:tcW w:w="80" w:type="dxa"/>
            <w:vAlign w:val="bottom"/>
          </w:tcPr>
          <w:p>
            <w:pPr>
              <w:spacing w:after="0"/>
              <w:rPr>
                <w:sz w:val="12"/>
                <w:szCs w:val="12"/>
                <w:color w:val="auto"/>
              </w:rPr>
            </w:pPr>
          </w:p>
        </w:tc>
        <w:tc>
          <w:tcPr>
            <w:tcW w:w="260" w:type="dxa"/>
            <w:vAlign w:val="bottom"/>
            <w:tcBorders>
              <w:top w:val="single" w:sz="8" w:color="auto"/>
            </w:tcBorders>
            <w:vMerge w:val="restart"/>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5</w:t>
            </w:r>
          </w:p>
        </w:tc>
        <w:tc>
          <w:tcPr>
            <w:tcW w:w="40" w:type="dxa"/>
            <w:vAlign w:val="bottom"/>
            <w:tcBorders>
              <w:top w:val="single" w:sz="8" w:color="auto"/>
            </w:tcBorders>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1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tcBorders>
              <w:top w:val="single" w:sz="8" w:color="auto"/>
            </w:tcBorders>
            <w:gridSpan w:val="4"/>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11,397</w:t>
            </w:r>
          </w:p>
        </w:tc>
        <w:tc>
          <w:tcPr>
            <w:tcW w:w="60" w:type="dxa"/>
            <w:vAlign w:val="bottom"/>
            <w:tcBorders>
              <w:top w:val="single" w:sz="8" w:color="auto"/>
            </w:tcBorders>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340" w:type="dxa"/>
            <w:vAlign w:val="bottom"/>
            <w:tcBorders>
              <w:top w:val="single" w:sz="8" w:color="auto"/>
            </w:tcBorders>
            <w:vMerge w:val="restart"/>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(801)</w:t>
            </w:r>
          </w:p>
        </w:tc>
        <w:tc>
          <w:tcPr>
            <w:tcW w:w="8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Borders>
              <w:top w:val="single" w:sz="8" w:color="auto"/>
            </w:tcBorders>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4,322</w:t>
            </w:r>
          </w:p>
        </w:tc>
        <w:tc>
          <w:tcPr>
            <w:tcW w:w="80" w:type="dxa"/>
            <w:vAlign w:val="bottom"/>
            <w:vMerge w:val="restart"/>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top w:val="single" w:sz="8" w:color="auto"/>
            </w:tcBorders>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14,928</w:t>
            </w:r>
          </w:p>
        </w:tc>
        <w:tc>
          <w:tcPr>
            <w:tcW w:w="80" w:type="dxa"/>
            <w:vAlign w:val="bottom"/>
            <w:vMerge w:val="restart"/>
          </w:tcPr>
          <w:p>
            <w:pPr>
              <w:spacing w:after="0"/>
              <w:rPr>
                <w:sz w:val="12"/>
                <w:szCs w:val="12"/>
                <w:color w:val="auto"/>
              </w:rPr>
            </w:pPr>
          </w:p>
        </w:tc>
        <w:tc>
          <w:tcPr>
            <w:tcW w:w="700" w:type="dxa"/>
            <w:vAlign w:val="bottom"/>
            <w:tcBorders>
              <w:top w:val="single" w:sz="8" w:color="auto"/>
            </w:tcBorders>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84,959,379</w:t>
            </w:r>
          </w:p>
        </w:tc>
        <w:tc>
          <w:tcPr>
            <w:tcW w:w="80" w:type="dxa"/>
            <w:vAlign w:val="bottom"/>
            <w:vMerge w:val="restart"/>
          </w:tcPr>
          <w:p>
            <w:pPr>
              <w:spacing w:after="0"/>
              <w:rPr>
                <w:sz w:val="12"/>
                <w:szCs w:val="12"/>
                <w:color w:val="auto"/>
              </w:rPr>
            </w:pPr>
          </w:p>
        </w:tc>
        <w:tc>
          <w:tcPr>
            <w:tcW w:w="300" w:type="dxa"/>
            <w:vAlign w:val="bottom"/>
            <w:tcBorders>
              <w:top w:val="single" w:sz="8" w:color="auto"/>
            </w:tcBorders>
            <w:vMerge w:val="restart"/>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38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0"/>
              </w:rPr>
              <w:t>88,044</w:t>
            </w:r>
          </w:p>
        </w:tc>
        <w:tc>
          <w:tcPr>
            <w:tcW w:w="80" w:type="dxa"/>
            <w:vAlign w:val="bottom"/>
            <w:vMerge w:val="restart"/>
          </w:tcPr>
          <w:p>
            <w:pPr>
              <w:spacing w:after="0"/>
              <w:rPr>
                <w:sz w:val="12"/>
                <w:szCs w:val="12"/>
                <w:color w:val="auto"/>
              </w:rPr>
            </w:pPr>
          </w:p>
        </w:tc>
        <w:tc>
          <w:tcPr>
            <w:tcW w:w="180" w:type="dxa"/>
            <w:vAlign w:val="bottom"/>
            <w:tcBorders>
              <w:top w:val="single" w:sz="8" w:color="auto"/>
            </w:tcBorders>
            <w:vMerge w:val="restart"/>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102,972</w:t>
            </w:r>
          </w:p>
        </w:tc>
        <w:tc>
          <w:tcPr>
            <w:tcW w:w="0" w:type="dxa"/>
            <w:vAlign w:val="bottom"/>
          </w:tcPr>
          <w:p>
            <w:pPr>
              <w:spacing w:after="0"/>
              <w:rPr>
                <w:sz w:val="1"/>
                <w:szCs w:val="1"/>
                <w:color w:val="auto"/>
              </w:rPr>
            </w:pPr>
          </w:p>
        </w:tc>
      </w:tr>
      <w:tr>
        <w:trPr>
          <w:trHeight w:val="159"/>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720" w:type="dxa"/>
            <w:vAlign w:val="bottom"/>
            <w:gridSpan w:val="2"/>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160" w:type="dxa"/>
            <w:vAlign w:val="bottom"/>
            <w:gridSpan w:val="3"/>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72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520" w:type="dxa"/>
            <w:vAlign w:val="bottom"/>
            <w:gridSpan w:val="4"/>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980" w:type="dxa"/>
            <w:vAlign w:val="bottom"/>
            <w:gridSpan w:val="2"/>
          </w:tcPr>
          <w:p>
            <w:pPr>
              <w:spacing w:after="0"/>
              <w:rPr>
                <w:sz w:val="2"/>
                <w:szCs w:val="2"/>
                <w:color w:val="auto"/>
              </w:rPr>
            </w:pPr>
          </w:p>
        </w:tc>
        <w:tc>
          <w:tcPr>
            <w:tcW w:w="1280" w:type="dxa"/>
            <w:vAlign w:val="bottom"/>
            <w:tcBorders>
              <w:bottom w:val="single" w:sz="8" w:color="auto"/>
            </w:tcBorders>
            <w:gridSpan w:val="5"/>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gridSpan w:val="5"/>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gridSpan w:val="6"/>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40"/>
          </w:cols>
          <w:pgMar w:left="320" w:top="132" w:right="7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5"/>
          <w:szCs w:val="15"/>
          <w:b w:val="1"/>
          <w:bCs w:val="1"/>
          <w:color w:val="auto"/>
        </w:rPr>
        <w:t>Brilliant Earth Group, Inc.</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5"/>
          <w:szCs w:val="15"/>
          <w:b w:val="1"/>
          <w:bCs w:val="1"/>
          <w:color w:val="auto"/>
        </w:rPr>
        <w:t>UNAUDITED CONDENSED CONSOLIDATED STATEMENTS OF CASH FLOWS</w:t>
      </w:r>
    </w:p>
    <w:p>
      <w:pPr>
        <w:spacing w:after="0" w:line="2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5"/>
          <w:szCs w:val="15"/>
          <w:color w:val="auto"/>
        </w:rPr>
        <w:t>(Dollars in thousands)</w:t>
      </w:r>
    </w:p>
    <w:p>
      <w:pPr>
        <w:spacing w:after="0" w:line="62"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31"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5"/>
          <w:szCs w:val="15"/>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4652010</wp:posOffset>
            </wp:positionH>
            <wp:positionV relativeFrom="paragraph">
              <wp:posOffset>33020</wp:posOffset>
            </wp:positionV>
            <wp:extent cx="2169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69160"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20" w:type="dxa"/>
            <w:vAlign w:val="bottom"/>
          </w:tcPr>
          <w:p>
            <w:pPr>
              <w:spacing w:after="0"/>
              <w:rPr>
                <w:sz w:val="17"/>
                <w:szCs w:val="17"/>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5"/>
                <w:szCs w:val="15"/>
                <w:b w:val="1"/>
                <w:bCs w:val="1"/>
                <w:color w:val="auto"/>
              </w:rPr>
              <w:t>2026</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611"/>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31"/>
        </w:trPr>
        <w:tc>
          <w:tcPr>
            <w:tcW w:w="73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0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19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(8,453)</w:t>
            </w:r>
          </w:p>
        </w:tc>
        <w:tc>
          <w:tcPr>
            <w:tcW w:w="100" w:type="dxa"/>
            <w:vAlign w:val="bottom"/>
          </w:tcPr>
          <w:p>
            <w:pPr>
              <w:spacing w:after="0"/>
              <w:rPr>
                <w:sz w:val="17"/>
                <w:szCs w:val="17"/>
                <w:color w:val="auto"/>
              </w:rPr>
            </w:pPr>
          </w:p>
        </w:tc>
        <w:tc>
          <w:tcPr>
            <w:tcW w:w="38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(3,267)</w:t>
            </w:r>
          </w:p>
        </w:tc>
      </w:tr>
      <w:tr>
        <w:trPr>
          <w:trHeight w:val="22"/>
        </w:trPr>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7"/>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Depreciation</w:t>
            </w:r>
          </w:p>
        </w:tc>
        <w:tc>
          <w:tcPr>
            <w:tcW w:w="10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w:t>
            </w:r>
          </w:p>
        </w:tc>
      </w:tr>
      <w:tr>
        <w:trPr>
          <w:trHeight w:val="22"/>
        </w:trPr>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9"/>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w:t>
            </w:r>
          </w:p>
        </w:tc>
      </w:tr>
      <w:tr>
        <w:trPr>
          <w:trHeight w:val="197"/>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Non-cash operating lease cost</w:t>
            </w:r>
          </w:p>
        </w:tc>
        <w:tc>
          <w:tcPr>
            <w:tcW w:w="10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w:t>
            </w:r>
          </w:p>
        </w:tc>
      </w:tr>
      <w:tr>
        <w:trPr>
          <w:trHeight w:val="22"/>
        </w:trPr>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9"/>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10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97"/>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Deferred tax benefit</w:t>
            </w:r>
          </w:p>
        </w:tc>
        <w:tc>
          <w:tcPr>
            <w:tcW w:w="10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r>
      <w:tr>
        <w:trPr>
          <w:trHeight w:val="22"/>
        </w:trPr>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9"/>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9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
        </w:trPr>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9"/>
        </w:trPr>
        <w:tc>
          <w:tcPr>
            <w:tcW w:w="73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Inventories</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w:t>
            </w:r>
          </w:p>
        </w:tc>
      </w:tr>
      <w:tr>
        <w:trPr>
          <w:trHeight w:val="197"/>
        </w:trPr>
        <w:tc>
          <w:tcPr>
            <w:tcW w:w="73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w:t>
            </w:r>
          </w:p>
        </w:tc>
      </w:tr>
      <w:tr>
        <w:trPr>
          <w:trHeight w:val="22"/>
        </w:trPr>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9"/>
        </w:trPr>
        <w:tc>
          <w:tcPr>
            <w:tcW w:w="73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Other assets</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r>
      <w:tr>
        <w:trPr>
          <w:trHeight w:val="197"/>
        </w:trPr>
        <w:tc>
          <w:tcPr>
            <w:tcW w:w="73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Accounts payable, accrued expenses and other current liabilities</w:t>
            </w:r>
          </w:p>
        </w:tc>
        <w:tc>
          <w:tcPr>
            <w:tcW w:w="10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(10,649)</w:t>
            </w:r>
          </w:p>
        </w:tc>
      </w:tr>
      <w:tr>
        <w:trPr>
          <w:trHeight w:val="22"/>
        </w:trPr>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9"/>
        </w:trPr>
        <w:tc>
          <w:tcPr>
            <w:tcW w:w="73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Deferred revenue</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4,173</w:t>
            </w:r>
          </w:p>
        </w:tc>
      </w:tr>
      <w:tr>
        <w:trPr>
          <w:trHeight w:val="197"/>
        </w:trPr>
        <w:tc>
          <w:tcPr>
            <w:tcW w:w="73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0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(1,662)</w:t>
            </w:r>
          </w:p>
        </w:tc>
      </w:tr>
      <w:tr>
        <w:trPr>
          <w:trHeight w:val="22"/>
        </w:trPr>
        <w:tc>
          <w:tcPr>
            <w:tcW w:w="7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2"/>
        </w:trPr>
        <w:tc>
          <w:tcPr>
            <w:tcW w:w="732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10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(18,792)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(7,127)</w:t>
            </w:r>
          </w:p>
        </w:tc>
      </w:tr>
      <w:tr>
        <w:trPr>
          <w:trHeight w:val="17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0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r>
      <w:tr>
        <w:trPr>
          <w:trHeight w:val="22"/>
        </w:trPr>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9"/>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0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r>
      <w:tr>
        <w:trPr>
          <w:trHeight w:val="190"/>
        </w:trPr>
        <w:tc>
          <w:tcPr>
            <w:tcW w:w="732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0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(555)</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(727)</w:t>
            </w:r>
          </w:p>
        </w:tc>
      </w:tr>
      <w:tr>
        <w:trPr>
          <w:trHeight w:val="22"/>
        </w:trPr>
        <w:tc>
          <w:tcPr>
            <w:tcW w:w="7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0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197"/>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Payments on SVB term loan</w:t>
            </w:r>
          </w:p>
        </w:tc>
        <w:tc>
          <w:tcPr>
            <w:tcW w:w="10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w:t>
            </w:r>
          </w:p>
        </w:tc>
      </w:tr>
      <w:tr>
        <w:trPr>
          <w:trHeight w:val="22"/>
        </w:trPr>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9"/>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197"/>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Distributions and TRA payments to members</w:t>
            </w:r>
          </w:p>
        </w:tc>
        <w:tc>
          <w:tcPr>
            <w:tcW w:w="10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(5,349)</w:t>
            </w:r>
          </w:p>
        </w:tc>
      </w:tr>
      <w:tr>
        <w:trPr>
          <w:trHeight w:val="22"/>
        </w:trPr>
        <w:tc>
          <w:tcPr>
            <w:tcW w:w="7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2"/>
        </w:trPr>
        <w:tc>
          <w:tcPr>
            <w:tcW w:w="732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10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(6,732)</w:t>
            </w:r>
          </w:p>
        </w:tc>
      </w:tr>
      <w:tr>
        <w:trPr>
          <w:trHeight w:val="19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 cash, cash equivalents and restricted cash</w:t>
            </w:r>
          </w:p>
        </w:tc>
        <w:tc>
          <w:tcPr>
            <w:tcW w:w="10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(20,747)</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(14,586)</w:t>
            </w:r>
          </w:p>
        </w:tc>
      </w:tr>
      <w:tr>
        <w:trPr>
          <w:trHeight w:val="22"/>
        </w:trPr>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10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79,438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162,141</w:t>
            </w:r>
          </w:p>
        </w:tc>
      </w:tr>
      <w:tr>
        <w:trPr>
          <w:trHeight w:val="19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108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58,691</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147,555</w:t>
            </w:r>
          </w:p>
        </w:tc>
      </w:tr>
      <w:tr>
        <w:trPr>
          <w:trHeight w:val="22"/>
        </w:trPr>
        <w:tc>
          <w:tcPr>
            <w:tcW w:w="7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4"/>
        </w:trPr>
        <w:tc>
          <w:tcPr>
            <w:tcW w:w="7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06"/>
        </w:trPr>
        <w:tc>
          <w:tcPr>
            <w:tcW w:w="7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7"/>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58,564</w:t>
            </w:r>
          </w:p>
        </w:tc>
        <w:tc>
          <w:tcPr>
            <w:tcW w:w="100" w:type="dxa"/>
            <w:vAlign w:val="bottom"/>
          </w:tcPr>
          <w:p>
            <w:pPr>
              <w:spacing w:after="0"/>
              <w:rPr>
                <w:sz w:val="17"/>
                <w:szCs w:val="17"/>
                <w:color w:val="auto"/>
              </w:rPr>
            </w:pPr>
          </w:p>
        </w:tc>
        <w:tc>
          <w:tcPr>
            <w:tcW w:w="38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147,338</w:t>
            </w:r>
          </w:p>
        </w:tc>
      </w:tr>
      <w:tr>
        <w:trPr>
          <w:trHeight w:val="22"/>
        </w:trPr>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9"/>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Restricted cash</w:t>
            </w:r>
          </w:p>
        </w:tc>
        <w:tc>
          <w:tcPr>
            <w:tcW w:w="10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19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108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58,691</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147,555</w:t>
            </w:r>
          </w:p>
        </w:tc>
      </w:tr>
      <w:tr>
        <w:trPr>
          <w:trHeight w:val="22"/>
        </w:trPr>
        <w:tc>
          <w:tcPr>
            <w:tcW w:w="7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2"/>
        </w:trPr>
        <w:tc>
          <w:tcPr>
            <w:tcW w:w="7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9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
        </w:trPr>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9"/>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Right-of-use assets obtained in exchange for operating lease liabilities</w:t>
            </w:r>
          </w:p>
        </w:tc>
        <w:tc>
          <w:tcPr>
            <w:tcW w:w="108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3,700</w:t>
            </w:r>
          </w:p>
        </w:tc>
      </w:tr>
      <w:tr>
        <w:trPr>
          <w:trHeight w:val="197"/>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Change in deferred tax assets associated with redemption of LLC Units</w:t>
            </w:r>
          </w:p>
        </w:tc>
        <w:tc>
          <w:tcPr>
            <w:tcW w:w="10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2"/>
        </w:trPr>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9"/>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TRA Obligation associated with redemption of LLC Units</w:t>
            </w:r>
          </w:p>
        </w:tc>
        <w:tc>
          <w:tcPr>
            <w:tcW w:w="10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7"/>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Purchases of property and equipment included in accounts payable and accrued liabilities</w:t>
            </w:r>
          </w:p>
        </w:tc>
        <w:tc>
          <w:tcPr>
            <w:tcW w:w="10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r>
    </w:tbl>
    <w:p>
      <w:pPr>
        <w:spacing w:after="0" w:line="200" w:lineRule="exact"/>
        <w:rPr>
          <w:sz w:val="20"/>
          <w:szCs w:val="20"/>
          <w:color w:val="auto"/>
        </w:rPr>
      </w:pPr>
    </w:p>
    <w:p>
      <w:pPr>
        <w:spacing w:after="0" w:line="348"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i w:val="1"/>
          <w:iCs w:val="1"/>
          <w:color w:val="auto"/>
        </w:rPr>
        <w:t xml:space="preserve">The accompanying notes are an integral part of these unaudited </w:t>
      </w:r>
      <w:r>
        <w:rPr>
          <w:rFonts w:ascii="Times New Roman" w:cs="Times New Roman" w:eastAsia="Times New Roman" w:hAnsi="Times New Roman"/>
          <w:sz w:val="15"/>
          <w:szCs w:val="15"/>
          <w:i w:val="1"/>
          <w:iCs w:val="1"/>
          <w:color w:val="auto"/>
        </w:rPr>
        <w:t>condensed consolidated financial statements.</w:t>
      </w:r>
    </w:p>
    <w:p>
      <w:pPr>
        <w:spacing w:after="0" w:line="29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40"/>
          </w:cols>
          <w:pgMar w:left="320" w:top="132" w:right="8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Brilliant Earth Group,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THE UNAUDITED CONDENSED CONSOLIDATED FINANCIAL STATEMENTS</w:t>
      </w:r>
    </w:p>
    <w:p>
      <w:pPr>
        <w:spacing w:after="0" w:line="242" w:lineRule="exact"/>
        <w:rPr>
          <w:sz w:val="20"/>
          <w:szCs w:val="20"/>
          <w:color w:val="auto"/>
        </w:rPr>
      </w:pPr>
    </w:p>
    <w:p>
      <w:pPr>
        <w:ind w:left="200" w:hanging="197"/>
        <w:spacing w:after="0"/>
        <w:tabs>
          <w:tab w:leader="none" w:pos="200" w:val="left"/>
        </w:tabs>
        <w:numPr>
          <w:ilvl w:val="0"/>
          <w:numId w:val="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DESCRIPTION OF BUSINESS AND SUMMARY OF SIGNIFICANT ACCOUNTING POLICIES</w:t>
      </w:r>
    </w:p>
    <w:p>
      <w:pPr>
        <w:spacing w:after="0" w:line="16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Brilliant Earth Group, Inc. was formed as a Delaware corporation on June 2, 2021 for the purpose of facilitating an initial public offering (“IPO”) and executing other related organizational transactions to acquire and carry on the business of Brilliant Earth, LLC. During the year ended December 31, 2025, Brilliant Earth Group, Inc.'s state of incorporation changed from the State of Delaware to the State of Nevada. Brilliant Earth, LLC was originally incorporated in Delaware on August 25, 2005, and subsequently converted to a limited liability company on November 29, 2012. Brilliant Earth Group, Inc., the sole managing member of Brilliant Earth, LLC, consolidates Brilliant Earth, LLC and both are collectively referred to herein as the “Company”.</w:t>
      </w:r>
    </w:p>
    <w:p>
      <w:pPr>
        <w:spacing w:after="0" w:line="147"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The Company designs, procures and sells ethically sourced diamonds, gemstones and jewelry online and through showrooms operating within the United States (“U.S.”). Co-headquarters are located in San Francisco, California and Denver, Colorado.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Basis of Presentation</w:t>
      </w:r>
    </w:p>
    <w:p>
      <w:pPr>
        <w:spacing w:after="0" w:line="187"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The unaudited condensed consolidated financial statements have been prepared in accordance with U.S. generally accepted accounting principles (“GAAP”) and the requirements of the Securities and Exchange Commission (the “SEC”) for interim reporting. As permitted under those rules, certain footnotes or other financial information that are normally required by GAAP can be condensed or omitted. These interim results are not necessarily indicative of the results to be expected for the fiscal year ending December 31, 2026, or for any other interim period or for any other future year.</w:t>
      </w:r>
    </w:p>
    <w:p>
      <w:pPr>
        <w:spacing w:after="0" w:line="146"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2025 has been derived from the audited consolidated financial statements of the Company, which are included in the Company's Annual Report on Form 10-K for the year ended December 31, 2025 (the “2025 Form 10-K”). In the opinion of management, the unaudited condensed consolidated financial statements reflect all adjustments consisting only of normal recurring adjustments necessary to state fairly the financial position, results of operations and cash flows for the periods presented in conformity with GAAP applicable to interim periods. These unaudited condensed consolidated financial statements should be read in conjunction with the audited consolidated financial statements and the related notes thereto as of and for the year ended December 31, 2025, as disclosed in the 2025 Form 10-K.</w:t>
      </w:r>
    </w:p>
    <w:p>
      <w:pPr>
        <w:spacing w:after="0" w:line="196"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There have been no material changes or updates to the Company's significant accounting policies from those described in the audited consolidated financial statements included in the 2025 Form 10-K except for the updates noted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Principles of Consolidation and Non-Controlling Interest</w:t>
      </w:r>
    </w:p>
    <w:p>
      <w:pPr>
        <w:spacing w:after="0" w:line="252"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The unaudited condensed consolidated financial statements include the accounts of the Company and its controlled subsidiary, Brilliant Earth, LLC. All intercompany balances and transactions have been eliminated in consolidation.</w:t>
      </w:r>
    </w:p>
    <w:p>
      <w:pPr>
        <w:spacing w:after="0" w:line="129"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The non-controlling interest on the unaudited condensed consolidated statements of operations represents the portion of income or loss attributable to the economic interest in Brilliant Earth, LLC held by the Continuing Equity Owners. The non-controlling interest on the unaudited condensed consolidated balance sheets represents the portion of net assets of the Company attributable to the Continuing Equity Owners, based on the portion of the LLC Interests owned by such unit holders. As of March 31, 2026, the non-controlling interest was 84.0%. At the end of each reporting period, equity related to Brilliant Earth, LLC that is attributable to Brilliant Earth Group, Inc. and the Continuing Equity Owners is rebalanced to reflect Brilliant Earth Group, Inc.'s and the Continuing Equity Owners' ownership in Brilliant Earth, LLC.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Use of Estimates</w:t>
      </w:r>
    </w:p>
    <w:p>
      <w:pPr>
        <w:spacing w:after="0" w:line="17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Estimates are based on historical experience and on various other assumptions that are believed to be reasonable under the circumstances. Some of the more significant estimates include inventory valuation, allowance for sales returns, useful lives and depreciation of long-lived assets, estimates of current and deferred income taxes, and deferred income tax valuation allowances. Actual results could differ materially from those estimates. On an ongoing basis, the Company reviews its estimates to ensure that they appropriately reflect changes in its business or new information available.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Fair Value Measurements</w:t>
      </w:r>
    </w:p>
    <w:p>
      <w:pPr>
        <w:spacing w:after="0" w:line="174"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GAAP establishes a fair value hierarchy which requires an entity to maximize the use of observable inputs and minimize the use of unobservable inputs when measuring fair value. GAAP prescribes three levels of inputs that may be used to measure fair value:</w:t>
      </w:r>
    </w:p>
    <w:p>
      <w:pPr>
        <w:spacing w:after="0" w:line="183" w:lineRule="exact"/>
        <w:rPr>
          <w:sz w:val="20"/>
          <w:szCs w:val="20"/>
          <w:color w:val="auto"/>
        </w:rPr>
      </w:pPr>
    </w:p>
    <w:p>
      <w:pPr>
        <w:ind w:left="1560" w:right="3840" w:hanging="1237"/>
        <w:spacing w:after="0" w:line="297" w:lineRule="auto"/>
        <w:tabs>
          <w:tab w:leader="none" w:pos="1540" w:val="left"/>
        </w:tabs>
        <w:rPr>
          <w:sz w:val="20"/>
          <w:szCs w:val="20"/>
          <w:color w:val="auto"/>
        </w:rPr>
      </w:pPr>
      <w:r>
        <w:rPr>
          <w:rFonts w:ascii="Times New Roman" w:cs="Times New Roman" w:eastAsia="Times New Roman" w:hAnsi="Times New Roman"/>
          <w:sz w:val="19"/>
          <w:szCs w:val="19"/>
          <w:color w:val="auto"/>
        </w:rPr>
        <w:t>Level 1</w:t>
      </w:r>
      <w:r>
        <w:rPr>
          <w:sz w:val="20"/>
          <w:szCs w:val="20"/>
          <w:color w:val="auto"/>
        </w:rPr>
        <w:tab/>
      </w:r>
      <w:r>
        <w:rPr>
          <w:rFonts w:ascii="Times New Roman" w:cs="Times New Roman" w:eastAsia="Times New Roman" w:hAnsi="Times New Roman"/>
          <w:sz w:val="19"/>
          <w:szCs w:val="19"/>
          <w:color w:val="auto"/>
        </w:rPr>
        <w:t>Valuation based on quoted prices (unadjusted) observed in active markets for identical assets or liabilities.</w:t>
      </w:r>
    </w:p>
    <w:p>
      <w:pPr>
        <w:spacing w:after="0" w:line="155" w:lineRule="exact"/>
        <w:rPr>
          <w:sz w:val="20"/>
          <w:szCs w:val="20"/>
          <w:color w:val="auto"/>
        </w:rPr>
      </w:pPr>
    </w:p>
    <w:p>
      <w:pPr>
        <w:ind w:left="620"/>
        <w:spacing w:after="0"/>
        <w:tabs>
          <w:tab w:leader="none" w:pos="1540" w:val="left"/>
        </w:tabs>
        <w:rPr>
          <w:sz w:val="20"/>
          <w:szCs w:val="20"/>
          <w:color w:val="auto"/>
        </w:rPr>
      </w:pPr>
      <w:r>
        <w:rPr>
          <w:rFonts w:ascii="Times New Roman" w:cs="Times New Roman" w:eastAsia="Times New Roman" w:hAnsi="Times New Roman"/>
          <w:sz w:val="19"/>
          <w:szCs w:val="19"/>
          <w:color w:val="auto"/>
        </w:rPr>
        <w:t>Level 2</w:t>
      </w:r>
      <w:r>
        <w:rPr>
          <w:sz w:val="20"/>
          <w:szCs w:val="20"/>
          <w:color w:val="auto"/>
        </w:rPr>
        <w:tab/>
      </w:r>
      <w:r>
        <w:rPr>
          <w:rFonts w:ascii="Times New Roman" w:cs="Times New Roman" w:eastAsia="Times New Roman" w:hAnsi="Times New Roman"/>
          <w:sz w:val="18"/>
          <w:szCs w:val="18"/>
          <w:color w:val="auto"/>
        </w:rPr>
        <w:t>Valuation techniques based on inputs that are quoted prices of similar</w:t>
      </w:r>
    </w:p>
    <w:p>
      <w:pPr>
        <w:spacing w:after="0" w:line="2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9"/>
          <w:szCs w:val="19"/>
          <w:color w:val="auto"/>
        </w:rPr>
        <w:t>instruments in active markets; quoted prices for identical or similar instruments</w:t>
      </w:r>
    </w:p>
    <w:p>
      <w:pPr>
        <w:spacing w:after="0" w:line="14" w:lineRule="exact"/>
        <w:rPr>
          <w:sz w:val="20"/>
          <w:szCs w:val="20"/>
          <w:color w:val="auto"/>
        </w:rPr>
      </w:pPr>
    </w:p>
    <w:p>
      <w:pPr>
        <w:ind w:left="1860" w:right="3200"/>
        <w:spacing w:after="0" w:line="269" w:lineRule="auto"/>
        <w:rPr>
          <w:sz w:val="20"/>
          <w:szCs w:val="20"/>
          <w:color w:val="auto"/>
        </w:rPr>
      </w:pPr>
      <w:r>
        <w:rPr>
          <w:rFonts w:ascii="Times New Roman" w:cs="Times New Roman" w:eastAsia="Times New Roman" w:hAnsi="Times New Roman"/>
          <w:sz w:val="19"/>
          <w:szCs w:val="19"/>
          <w:color w:val="auto"/>
        </w:rPr>
        <w:t>in markets that are not in active markets; inputs other than quoted prices used in a valuation model that are observable for that instrument; and inputs that are derived from, or corroborated by, observable market data by correlation or other means.</w:t>
      </w:r>
    </w:p>
    <w:p>
      <w:pPr>
        <w:spacing w:after="0" w:line="194" w:lineRule="exact"/>
        <w:rPr>
          <w:sz w:val="20"/>
          <w:szCs w:val="20"/>
          <w:color w:val="auto"/>
        </w:rPr>
      </w:pPr>
    </w:p>
    <w:p>
      <w:pPr>
        <w:ind w:left="620"/>
        <w:spacing w:after="0"/>
        <w:tabs>
          <w:tab w:leader="none" w:pos="1540" w:val="left"/>
        </w:tabs>
        <w:rPr>
          <w:sz w:val="20"/>
          <w:szCs w:val="20"/>
          <w:color w:val="auto"/>
        </w:rPr>
      </w:pPr>
      <w:r>
        <w:rPr>
          <w:rFonts w:ascii="Times New Roman" w:cs="Times New Roman" w:eastAsia="Times New Roman" w:hAnsi="Times New Roman"/>
          <w:sz w:val="19"/>
          <w:szCs w:val="19"/>
          <w:color w:val="auto"/>
        </w:rPr>
        <w:t>Level 3</w:t>
      </w:r>
      <w:r>
        <w:rPr>
          <w:sz w:val="20"/>
          <w:szCs w:val="20"/>
          <w:color w:val="auto"/>
        </w:rPr>
        <w:tab/>
      </w:r>
      <w:r>
        <w:rPr>
          <w:rFonts w:ascii="Times New Roman" w:cs="Times New Roman" w:eastAsia="Times New Roman" w:hAnsi="Times New Roman"/>
          <w:sz w:val="18"/>
          <w:szCs w:val="18"/>
          <w:color w:val="auto"/>
        </w:rPr>
        <w:t>Valuation techniques with significant unobservable market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The Company is required to disclose its estimate of the fair value of material financial instruments, including those recorded as assets or liabilities in its financial statements, in accordance with GAAP.</w:t>
      </w:r>
    </w:p>
    <w:p>
      <w:pPr>
        <w:spacing w:after="0" w:line="12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9"/>
          <w:szCs w:val="19"/>
          <w:color w:val="auto"/>
        </w:rPr>
        <w:t>At March 31, 2026 and December 31, 2025, there were no material financial instruments (assets or liabilities) measured at fair value on a recurring basis.</w:t>
      </w:r>
    </w:p>
    <w:p>
      <w:pPr>
        <w:spacing w:after="0" w:line="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9"/>
          <w:szCs w:val="19"/>
          <w:color w:val="auto"/>
        </w:rPr>
        <w:t>The carrying amounts of cash and cash equivalents, restricted cash, accounts payable and accrued expenses and other current liabilities approximate fair value due to their short-term maturities.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Cash and Cash Equivalents</w:t>
      </w:r>
    </w:p>
    <w:p>
      <w:pPr>
        <w:spacing w:after="0" w:line="252"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As of March 31, 2026 and December 31, 2025, money market fund accounts included in cash equivalents was $29.1 million and $33.9 million, respectively, and classified as Level 1 financial instruments. The Company recognized interest income of $0.4 million and $1.2 million during the three months ended March 31, 2026 and 2025, respectively. Interest income is included in other income, net in the unaudited condensed consolidated statements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Segment Information</w:t>
      </w:r>
    </w:p>
    <w:p>
      <w:pPr>
        <w:spacing w:after="0" w:line="239"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 xml:space="preserve">The Company operates in one operating and reporting segment which, is the retail sale of diamonds, gemstones and jewelry. See Note 3, </w:t>
      </w:r>
      <w:r>
        <w:rPr>
          <w:rFonts w:ascii="Times New Roman" w:cs="Times New Roman" w:eastAsia="Times New Roman" w:hAnsi="Times New Roman"/>
          <w:sz w:val="19"/>
          <w:szCs w:val="19"/>
          <w:i w:val="1"/>
          <w:iCs w:val="1"/>
          <w:color w:val="auto"/>
        </w:rPr>
        <w:t>Revenue</w:t>
      </w:r>
      <w:r>
        <w:rPr>
          <w:rFonts w:ascii="Times New Roman" w:cs="Times New Roman" w:eastAsia="Times New Roman" w:hAnsi="Times New Roman"/>
          <w:sz w:val="19"/>
          <w:szCs w:val="19"/>
          <w:color w:val="auto"/>
        </w:rPr>
        <w:t>, for disclosure of total net sales by geography. The Company’s chief operating decision maker (“CODM”), the Chief Executive Officer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(“CEO”), has chosen to review financial information presented on a consolidated basis for purposes of making operating decisions and assessing financial performance. The CODM utilizes net (loss) income to assess financial performance and allocate resources.</w:t>
      </w:r>
    </w:p>
    <w:p>
      <w:pPr>
        <w:spacing w:after="0" w:line="20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The CODM is provided with and uses the consolidated balance sheet information as is presented in the unaudited condensed consolidated balance sheets.</w:t>
      </w:r>
    </w:p>
    <w:p>
      <w:pPr>
        <w:spacing w:after="0" w:line="194"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The CODM is provided with and uses the consolidated expenses as noted on the face of the unaudited condensed consolidated statements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Recent Accounting Pronouncements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Accounting Pronouncements Issued but Not Yet Adopted</w:t>
      </w:r>
    </w:p>
    <w:p>
      <w:pPr>
        <w:spacing w:after="0" w:line="23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9"/>
          <w:szCs w:val="19"/>
          <w:color w:val="auto"/>
        </w:rPr>
        <w:t>In November 2024, the FASB issued authoritative guidance related to disclosure of additional information about specific expense categories related to cost of sales and operating expenses in the notes to financial statements at interim and annual reporting periods. This guidance will be effective for fiscal years beginning after December 15, 2026, and interim periods within fiscal years beginning after December 15, 2027. Early adoption is permitted and should be applied on a prospective basis. We do not expect this standard to have a material impact on our consolidated financial statements, but will require increased disclosures within the notes to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2. EARNINGS PER SHARE</w:t>
      </w:r>
    </w:p>
    <w:p>
      <w:pPr>
        <w:spacing w:after="0" w:line="24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9"/>
          <w:szCs w:val="19"/>
          <w:color w:val="auto"/>
        </w:rPr>
        <w:t>Basic earnings per share is computed by dividing net loss applicable to Brilliant Earth Group, Inc. by the weighted average shares of Class A common stock outstanding (and Class D common stock, if outstanding) during the period. Diluted earnings per share is computed by adjusting the net loss available to Brilliant Earth Group, Inc. and the weighted average shares outstanding to give effect to potentially dilutive securities. Shares of Class B and Class C common stock are not entitled to receive any distributions or dividends and are therefore excluded from this presentation since they are not participating securities.</w:t>
      </w:r>
    </w:p>
    <w:p>
      <w:pPr>
        <w:spacing w:after="0" w:line="192"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Basic and diluted earnings per share of Class A common stock have been computed as follows (in thousands, except share and per share amounts):</w:t>
      </w:r>
    </w:p>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206"/>
        </w:trPr>
        <w:tc>
          <w:tcPr>
            <w:tcW w:w="5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80" w:type="dxa"/>
            <w:vAlign w:val="bottom"/>
            <w:gridSpan w:val="3"/>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55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4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52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0" w:type="dxa"/>
            <w:vAlign w:val="bottom"/>
          </w:tcPr>
          <w:p>
            <w:pPr>
              <w:spacing w:after="0"/>
              <w:rPr>
                <w:sz w:val="1"/>
                <w:szCs w:val="1"/>
                <w:color w:val="auto"/>
              </w:rPr>
            </w:pPr>
          </w:p>
        </w:tc>
      </w:tr>
      <w:tr>
        <w:trPr>
          <w:trHeight w:val="38"/>
        </w:trPr>
        <w:tc>
          <w:tcPr>
            <w:tcW w:w="55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5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Net loss attributable to Brilliant Earth Group, Inc., BASIC and</w:t>
            </w: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55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DILUTED</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Weighted average shares of common stock outstanding, BASIC and</w:t>
            </w: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DILUTED</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15,811,843</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14,111,624</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BASIC earnings per share</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100" w:type="dxa"/>
            <w:vAlign w:val="bottom"/>
          </w:tcPr>
          <w:p>
            <w:pPr>
              <w:spacing w:after="0"/>
              <w:rPr>
                <w:sz w:val="20"/>
                <w:szCs w:val="20"/>
                <w:color w:val="auto"/>
              </w:rPr>
            </w:pPr>
          </w:p>
        </w:tc>
        <w:tc>
          <w:tcPr>
            <w:tcW w:w="74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0" w:type="dxa"/>
            <w:vAlign w:val="bottom"/>
          </w:tcPr>
          <w:p>
            <w:pPr>
              <w:spacing w:after="0"/>
              <w:rPr>
                <w:sz w:val="1"/>
                <w:szCs w:val="1"/>
                <w:color w:val="auto"/>
              </w:rPr>
            </w:pPr>
          </w:p>
        </w:tc>
      </w:tr>
      <w:tr>
        <w:trPr>
          <w:trHeight w:val="38"/>
        </w:trPr>
        <w:tc>
          <w:tcPr>
            <w:tcW w:w="5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DILUTED earnings per share</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0" w:type="dxa"/>
            <w:vAlign w:val="bottom"/>
          </w:tcPr>
          <w:p>
            <w:pPr>
              <w:spacing w:after="0"/>
              <w:rPr>
                <w:sz w:val="1"/>
                <w:szCs w:val="1"/>
                <w:color w:val="auto"/>
              </w:rPr>
            </w:pPr>
          </w:p>
        </w:tc>
      </w:tr>
      <w:tr>
        <w:trPr>
          <w:trHeight w:val="38"/>
        </w:trPr>
        <w:tc>
          <w:tcPr>
            <w:tcW w:w="55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For the three months ended March 31, 2026 and 2025, the dilutive earnings per share calculation excludes the loss impact from assumed redemption of all LLC Units and any income tax impact on the net loss attributable to the non-controlling interest since the Company is in a net loss position and these adjustments would be antidilutive.</w:t>
      </w:r>
    </w:p>
    <w:p>
      <w:pPr>
        <w:spacing w:after="0" w:line="19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For the three months ended March 31, 2026 and 2025, the dilutive impact of LLC Units, unvested LLC Units, and RSUs were not included in the computation of diluted earnings per share as the effect would be anti-dilutive.</w:t>
      </w:r>
    </w:p>
    <w:p>
      <w:pPr>
        <w:spacing w:after="0" w:line="142"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The following table presents the securities for the three months ended March 31, 2026 and 2025, that have been excluded from the computations of earnings per share because such impact would have been anti-dilutive:</w:t>
      </w:r>
    </w:p>
    <w:p>
      <w:pPr>
        <w:spacing w:after="0" w:line="1" w:lineRule="exact"/>
        <w:rPr>
          <w:sz w:val="20"/>
          <w:szCs w:val="20"/>
          <w:color w:val="auto"/>
        </w:rPr>
      </w:pPr>
    </w:p>
    <w:p>
      <w:pPr>
        <w:jc w:val="center"/>
        <w:ind w:left="476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2" w:lineRule="exact"/>
        <w:rPr>
          <w:sz w:val="20"/>
          <w:szCs w:val="20"/>
          <w:color w:val="auto"/>
        </w:rPr>
      </w:pPr>
    </w:p>
    <w:p>
      <w:pPr>
        <w:jc w:val="center"/>
        <w:ind w:left="476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39370</wp:posOffset>
            </wp:positionV>
            <wp:extent cx="2423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60" w:lineRule="exact"/>
        <w:rPr>
          <w:sz w:val="20"/>
          <w:szCs w:val="20"/>
          <w:color w:val="auto"/>
        </w:rPr>
      </w:pPr>
    </w:p>
    <w:tbl>
      <w:tblPr>
        <w:tblLayout w:type="fixed"/>
        <w:tblInd w:w="1340" w:type="dxa"/>
        <w:tblCellMar>
          <w:top w:w="0" w:type="dxa"/>
          <w:left w:w="0" w:type="dxa"/>
          <w:bottom w:w="0" w:type="dxa"/>
          <w:right w:w="0" w:type="dxa"/>
        </w:tblCellMar>
      </w:tblPr>
      <w:tr>
        <w:trPr>
          <w:trHeight w:val="227"/>
        </w:trPr>
        <w:tc>
          <w:tcPr>
            <w:tcW w:w="4760" w:type="dxa"/>
            <w:vAlign w:val="bottom"/>
          </w:tcPr>
          <w:p>
            <w:pPr>
              <w:spacing w:after="0"/>
              <w:rPr>
                <w:sz w:val="19"/>
                <w:szCs w:val="19"/>
                <w:color w:val="auto"/>
              </w:rPr>
            </w:pPr>
          </w:p>
        </w:tc>
        <w:tc>
          <w:tcPr>
            <w:tcW w:w="1860" w:type="dxa"/>
            <w:vAlign w:val="bottom"/>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1860" w:type="dxa"/>
            <w:vAlign w:val="bottom"/>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38"/>
        </w:trPr>
        <w:tc>
          <w:tcPr>
            <w:tcW w:w="4760" w:type="dxa"/>
            <w:vAlign w:val="bottom"/>
            <w:tcBorders>
              <w:bottom w:val="single" w:sz="8" w:color="CCEEFF"/>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r>
      <w:tr>
        <w:trPr>
          <w:trHeight w:val="244"/>
        </w:trPr>
        <w:tc>
          <w:tcPr>
            <w:tcW w:w="476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Vested LLC Units</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84,942,318</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84,947,596</w:t>
            </w:r>
          </w:p>
        </w:tc>
      </w:tr>
      <w:tr>
        <w:trPr>
          <w:trHeight w:val="232"/>
        </w:trPr>
        <w:tc>
          <w:tcPr>
            <w:tcW w:w="476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RSUs</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3,624,231</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3,587,487</w:t>
            </w:r>
          </w:p>
        </w:tc>
      </w:tr>
      <w:tr>
        <w:trPr>
          <w:trHeight w:val="38"/>
        </w:trPr>
        <w:tc>
          <w:tcPr>
            <w:tcW w:w="4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r>
      <w:tr>
        <w:trPr>
          <w:trHeight w:val="251"/>
        </w:trPr>
        <w:tc>
          <w:tcPr>
            <w:tcW w:w="476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Stock options</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656,821</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665,905</w:t>
            </w:r>
          </w:p>
        </w:tc>
      </w:tr>
      <w:tr>
        <w:trPr>
          <w:trHeight w:val="232"/>
        </w:trPr>
        <w:tc>
          <w:tcPr>
            <w:tcW w:w="476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Unvested LLC Units</w:t>
            </w: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REVENUE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Disaggregation of Revenue</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following table discloses total net sales by geography for the three months ended March 31, 2026 and 2025 (in thousands):</w:t>
      </w:r>
    </w:p>
    <w:p>
      <w:pPr>
        <w:spacing w:after="0" w:line="194"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2"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39370</wp:posOffset>
            </wp:positionV>
            <wp:extent cx="24396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39670" cy="8255"/>
                    </a:xfrm>
                    <a:prstGeom prst="rect">
                      <a:avLst/>
                    </a:prstGeom>
                    <a:noFill/>
                  </pic:spPr>
                </pic:pic>
              </a:graphicData>
            </a:graphic>
          </wp:anchor>
        </w:drawing>
      </w:r>
    </w:p>
    <w:p>
      <w:pPr>
        <w:spacing w:after="0" w:line="60" w:lineRule="exact"/>
        <w:rPr>
          <w:sz w:val="20"/>
          <w:szCs w:val="20"/>
          <w:color w:val="auto"/>
        </w:rPr>
      </w:pPr>
    </w:p>
    <w:tbl>
      <w:tblPr>
        <w:tblLayout w:type="fixed"/>
        <w:tblInd w:w="1340" w:type="dxa"/>
        <w:tblCellMar>
          <w:top w:w="0" w:type="dxa"/>
          <w:left w:w="0" w:type="dxa"/>
          <w:bottom w:w="0" w:type="dxa"/>
          <w:right w:w="0" w:type="dxa"/>
        </w:tblCellMar>
      </w:tblPr>
      <w:tr>
        <w:trPr>
          <w:trHeight w:val="227"/>
        </w:trPr>
        <w:tc>
          <w:tcPr>
            <w:tcW w:w="474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2026</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38"/>
        </w:trPr>
        <w:tc>
          <w:tcPr>
            <w:tcW w:w="474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220" w:type="dxa"/>
            <w:vAlign w:val="bottom"/>
            <w:tcBorders>
              <w:bottom w:val="single" w:sz="8" w:color="CCEEFF"/>
            </w:tcBorders>
            <w:shd w:val="clear" w:color="auto" w:fill="CCEEFF"/>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96,496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90,631</w:t>
            </w:r>
          </w:p>
        </w:tc>
      </w:tr>
      <w:tr>
        <w:trPr>
          <w:trHeight w:val="232"/>
        </w:trPr>
        <w:tc>
          <w:tcPr>
            <w:tcW w:w="4740" w:type="dxa"/>
            <w:vAlign w:val="bottom"/>
          </w:tcPr>
          <w:p>
            <w:pPr>
              <w:spacing w:after="0"/>
              <w:rPr>
                <w:sz w:val="20"/>
                <w:szCs w:val="20"/>
                <w:color w:val="auto"/>
              </w:rPr>
            </w:pPr>
            <w:r>
              <w:rPr>
                <w:rFonts w:ascii="Times New Roman" w:cs="Times New Roman" w:eastAsia="Times New Roman" w:hAnsi="Times New Roman"/>
                <w:sz w:val="17"/>
                <w:szCs w:val="17"/>
                <w:color w:val="auto"/>
              </w:rPr>
              <w:t>International</w:t>
            </w:r>
          </w:p>
        </w:tc>
        <w:tc>
          <w:tcPr>
            <w:tcW w:w="1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3,253</w:t>
            </w:r>
          </w:p>
        </w:tc>
      </w:tr>
      <w:tr>
        <w:trPr>
          <w:trHeight w:val="38"/>
        </w:trPr>
        <w:tc>
          <w:tcPr>
            <w:tcW w:w="474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82"/>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net sales</w:t>
            </w:r>
          </w:p>
        </w:tc>
        <w:tc>
          <w:tcPr>
            <w:tcW w:w="1220" w:type="dxa"/>
            <w:vAlign w:val="bottom"/>
            <w:tcBorders>
              <w:bottom w:val="single" w:sz="8" w:color="auto"/>
            </w:tcBorders>
            <w:shd w:val="clear" w:color="auto" w:fill="CCEEFF"/>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99,504</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93,884</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Contract Balances</w:t>
      </w:r>
    </w:p>
    <w:p>
      <w:pPr>
        <w:spacing w:after="0" w:line="25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Transactions where payment has been received from customers, but control has not transferred, are recorded as customer deposits in deferred revenue and revenue recognition is deferred until delivery has occurred.</w:t>
      </w:r>
    </w:p>
    <w:p>
      <w:pPr>
        <w:spacing w:after="0" w:line="129"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As of March 31, 2026, December 31, 2025, and December 31, 2024, total deferred revenue that includes our contract balances was $24.7 million, $22.7 million, and $18.9 million, respectively.</w:t>
      </w:r>
    </w:p>
    <w:p>
      <w:pPr>
        <w:spacing w:after="0" w:line="181"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During the three months ended March 31, 2026 and 2025, the Company recognized $21.1 million and $17.6 million, respectively, of revenue that was deferred as of December 31, 2025 and December 31, 2024, respectively.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Sales Returns and Allowances</w:t>
      </w:r>
    </w:p>
    <w:p>
      <w:pPr>
        <w:spacing w:after="0" w:line="237"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A returns asset account and a refund liabilities account are maintained to record the effects of estimated product returns and sales returns allowance. Returns asset and refund liabilities are updated at the end of each financial reporting period and the effect of such changes are accounted for in the period in which such changes occur.</w:t>
      </w:r>
    </w:p>
    <w:p>
      <w:pPr>
        <w:spacing w:after="0" w:line="18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The Company estimates anticipated product returns in the form of a refund liability based on historical return percentages and current period sales levels and accrues a related returns asset for goods expected to be returned in salable condition less any expected costs to recover such goods, including return shipping costs that the Company may incur.</w:t>
      </w:r>
    </w:p>
    <w:p>
      <w:pPr>
        <w:spacing w:after="0" w:line="20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As of March 31, 2026 and December 31, 2025, refund liabilities balances were $1.5 million and $3.5 million, respectively, and are included as a provision for sales returns and allowances within accrued expenses and other current liabilities in the unaudited condensed consolidated balance sheets.</w:t>
      </w:r>
    </w:p>
    <w:p>
      <w:pPr>
        <w:spacing w:after="0" w:line="200"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As of March 31, 2026 and December 31, 2025, returns asset balances were $0.7 million and $1.5 million, respectively, and are included within prepaid expenses and other current assets in the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INVENTORIES, NET</w:t>
      </w:r>
    </w:p>
    <w:p>
      <w:pPr>
        <w:spacing w:after="0" w:line="2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Inventories, net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60" w:type="dxa"/>
            <w:vAlign w:val="bottom"/>
          </w:tcPr>
          <w:p>
            <w:pPr>
              <w:spacing w:after="0"/>
              <w:rPr>
                <w:sz w:val="19"/>
                <w:szCs w:val="19"/>
                <w:color w:val="auto"/>
              </w:rPr>
            </w:pPr>
          </w:p>
        </w:tc>
        <w:tc>
          <w:tcPr>
            <w:tcW w:w="172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38"/>
        </w:trPr>
        <w:tc>
          <w:tcPr>
            <w:tcW w:w="636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25"/>
        </w:trPr>
        <w:tc>
          <w:tcPr>
            <w:tcW w:w="6360" w:type="dxa"/>
            <w:vAlign w:val="bottom"/>
          </w:tcPr>
          <w:p>
            <w:pPr>
              <w:spacing w:after="0"/>
              <w:rPr>
                <w:sz w:val="19"/>
                <w:szCs w:val="19"/>
                <w:color w:val="auto"/>
              </w:rPr>
            </w:pPr>
          </w:p>
        </w:tc>
        <w:tc>
          <w:tcPr>
            <w:tcW w:w="172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tcPr>
          <w:p>
            <w:pPr>
              <w:jc w:val="right"/>
              <w:ind w:right="93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38"/>
        </w:trPr>
        <w:tc>
          <w:tcPr>
            <w:tcW w:w="6360" w:type="dxa"/>
            <w:vAlign w:val="bottom"/>
            <w:tcBorders>
              <w:bottom w:val="single" w:sz="8" w:color="CCEEFF"/>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Loose diamonds</w:t>
            </w:r>
          </w:p>
        </w:tc>
        <w:tc>
          <w:tcPr>
            <w:tcW w:w="1720" w:type="dxa"/>
            <w:vAlign w:val="bottom"/>
            <w:tcBorders>
              <w:bottom w:val="single" w:sz="8" w:color="CCEEFF"/>
            </w:tcBorders>
            <w:shd w:val="clear" w:color="auto" w:fill="CCEEFF"/>
          </w:tcPr>
          <w:p>
            <w:pPr>
              <w:jc w:val="right"/>
              <w:ind w:right="15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11,834</w:t>
            </w:r>
          </w:p>
        </w:tc>
      </w:tr>
      <w:tr>
        <w:trPr>
          <w:trHeight w:val="232"/>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Fine jewelry and other</w:t>
            </w:r>
          </w:p>
        </w:tc>
        <w:tc>
          <w:tcPr>
            <w:tcW w:w="17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44,655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42,187</w:t>
            </w:r>
          </w:p>
        </w:tc>
      </w:tr>
      <w:tr>
        <w:trPr>
          <w:trHeight w:val="38"/>
        </w:trPr>
        <w:tc>
          <w:tcPr>
            <w:tcW w:w="63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71"/>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inventory obsolescence</w:t>
            </w:r>
          </w:p>
        </w:tc>
        <w:tc>
          <w:tcPr>
            <w:tcW w:w="17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r>
      <w:tr>
        <w:trPr>
          <w:trHeight w:val="257"/>
        </w:trPr>
        <w:tc>
          <w:tcPr>
            <w:tcW w:w="636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Total inventories, net</w:t>
            </w:r>
          </w:p>
        </w:tc>
        <w:tc>
          <w:tcPr>
            <w:tcW w:w="1720" w:type="dxa"/>
            <w:vAlign w:val="bottom"/>
            <w:tcBorders>
              <w:top w:val="single" w:sz="8" w:color="auto"/>
              <w:bottom w:val="single" w:sz="8" w:color="auto"/>
            </w:tcBorders>
          </w:tcPr>
          <w:p>
            <w:pPr>
              <w:jc w:val="right"/>
              <w:ind w:right="15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54,423</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53,238</w:t>
            </w:r>
          </w:p>
        </w:tc>
      </w:tr>
      <w:tr>
        <w:trPr>
          <w:trHeight w:val="25"/>
        </w:trPr>
        <w:tc>
          <w:tcPr>
            <w:tcW w:w="63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bl>
    <w:p>
      <w:pPr>
        <w:spacing w:after="0" w:line="3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allowance for inventory obsolescence consists of the following (in thousands):</w:t>
      </w:r>
    </w:p>
    <w:p>
      <w:pPr>
        <w:spacing w:after="0" w:line="285"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2"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4037965</wp:posOffset>
            </wp:positionH>
            <wp:positionV relativeFrom="paragraph">
              <wp:posOffset>39370</wp:posOffset>
            </wp:positionV>
            <wp:extent cx="31026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02610"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60" w:type="dxa"/>
            <w:vAlign w:val="bottom"/>
          </w:tcPr>
          <w:p>
            <w:pPr>
              <w:spacing w:after="0"/>
              <w:rPr>
                <w:sz w:val="19"/>
                <w:szCs w:val="19"/>
                <w:color w:val="auto"/>
              </w:rPr>
            </w:pPr>
          </w:p>
        </w:tc>
        <w:tc>
          <w:tcPr>
            <w:tcW w:w="168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2026</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20" w:type="dxa"/>
            <w:vAlign w:val="bottom"/>
          </w:tcPr>
          <w:p>
            <w:pPr>
              <w:jc w:val="right"/>
              <w:ind w:right="93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38"/>
        </w:trPr>
        <w:tc>
          <w:tcPr>
            <w:tcW w:w="636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680" w:type="dxa"/>
            <w:vAlign w:val="bottom"/>
            <w:tcBorders>
              <w:bottom w:val="single" w:sz="8" w:color="CCEEFF"/>
            </w:tcBorders>
            <w:shd w:val="clear" w:color="auto" w:fill="CCEEFF"/>
          </w:tcPr>
          <w:p>
            <w:pPr>
              <w:jc w:val="right"/>
              <w:ind w:right="149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w:t>
            </w:r>
          </w:p>
        </w:tc>
      </w:tr>
      <w:tr>
        <w:trPr>
          <w:trHeight w:val="232"/>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allowance for inventory obsolescence</w:t>
            </w:r>
          </w:p>
        </w:tc>
        <w:tc>
          <w:tcPr>
            <w:tcW w:w="16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38"/>
        </w:trPr>
        <w:tc>
          <w:tcPr>
            <w:tcW w:w="636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82"/>
        </w:trPr>
        <w:tc>
          <w:tcPr>
            <w:tcW w:w="6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Balance at end of period</w:t>
            </w:r>
          </w:p>
        </w:tc>
        <w:tc>
          <w:tcPr>
            <w:tcW w:w="1680" w:type="dxa"/>
            <w:vAlign w:val="bottom"/>
            <w:tcBorders>
              <w:bottom w:val="single" w:sz="8" w:color="auto"/>
            </w:tcBorders>
            <w:shd w:val="clear" w:color="auto" w:fill="CCEEFF"/>
          </w:tcPr>
          <w:p>
            <w:pPr>
              <w:jc w:val="right"/>
              <w:ind w:right="14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(835)</w:t>
            </w: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(654)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As of March 31, 2026 and December 31, 2025, the Company had $13.1 million and $12.6 million, respectively, in consigned inventory held on behalf of suppliers which is not recorded in the unaudited condensed consolidated balance sheets.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5. ACCRUED EXPENSES AND OTHER CURRENT LIABILITIES</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Accrued expenses and other current liabilities consist of the following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60" w:type="dxa"/>
            <w:vAlign w:val="bottom"/>
          </w:tcPr>
          <w:p>
            <w:pPr>
              <w:spacing w:after="0"/>
              <w:rPr>
                <w:sz w:val="19"/>
                <w:szCs w:val="19"/>
                <w:color w:val="auto"/>
              </w:rPr>
            </w:pPr>
          </w:p>
        </w:tc>
        <w:tc>
          <w:tcPr>
            <w:tcW w:w="172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38"/>
        </w:trPr>
        <w:tc>
          <w:tcPr>
            <w:tcW w:w="636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25"/>
        </w:trPr>
        <w:tc>
          <w:tcPr>
            <w:tcW w:w="6360" w:type="dxa"/>
            <w:vAlign w:val="bottom"/>
          </w:tcPr>
          <w:p>
            <w:pPr>
              <w:spacing w:after="0"/>
              <w:rPr>
                <w:sz w:val="19"/>
                <w:szCs w:val="19"/>
                <w:color w:val="auto"/>
              </w:rPr>
            </w:pPr>
          </w:p>
        </w:tc>
        <w:tc>
          <w:tcPr>
            <w:tcW w:w="172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tcPr>
          <w:p>
            <w:pPr>
              <w:jc w:val="right"/>
              <w:ind w:right="93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38"/>
        </w:trPr>
        <w:tc>
          <w:tcPr>
            <w:tcW w:w="6360" w:type="dxa"/>
            <w:vAlign w:val="bottom"/>
            <w:tcBorders>
              <w:bottom w:val="single" w:sz="8" w:color="CCEEFF"/>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Vendor expenses</w:t>
            </w:r>
          </w:p>
        </w:tc>
        <w:tc>
          <w:tcPr>
            <w:tcW w:w="1720" w:type="dxa"/>
            <w:vAlign w:val="bottom"/>
            <w:tcBorders>
              <w:bottom w:val="single" w:sz="8" w:color="CCEEFF"/>
            </w:tcBorders>
            <w:shd w:val="clear" w:color="auto" w:fill="CCEEFF"/>
          </w:tcPr>
          <w:p>
            <w:pPr>
              <w:jc w:val="right"/>
              <w:ind w:right="15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13,681</w:t>
            </w:r>
          </w:p>
        </w:tc>
      </w:tr>
      <w:tr>
        <w:trPr>
          <w:trHeight w:val="232"/>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payroll expenses</w:t>
            </w:r>
          </w:p>
        </w:tc>
        <w:tc>
          <w:tcPr>
            <w:tcW w:w="17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7,571</w:t>
            </w:r>
          </w:p>
        </w:tc>
      </w:tr>
      <w:tr>
        <w:trPr>
          <w:trHeight w:val="38"/>
        </w:trPr>
        <w:tc>
          <w:tcPr>
            <w:tcW w:w="63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51"/>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other tax payable accrual</w:t>
            </w:r>
          </w:p>
        </w:tc>
        <w:tc>
          <w:tcPr>
            <w:tcW w:w="17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4,705</w:t>
            </w:r>
          </w:p>
        </w:tc>
      </w:tr>
      <w:tr>
        <w:trPr>
          <w:trHeight w:val="232"/>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sales returns and allowances</w:t>
            </w:r>
          </w:p>
        </w:tc>
        <w:tc>
          <w:tcPr>
            <w:tcW w:w="17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3,520</w:t>
            </w:r>
          </w:p>
        </w:tc>
      </w:tr>
      <w:tr>
        <w:trPr>
          <w:trHeight w:val="38"/>
        </w:trPr>
        <w:tc>
          <w:tcPr>
            <w:tcW w:w="63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51"/>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portion of TRA</w:t>
            </w:r>
          </w:p>
        </w:tc>
        <w:tc>
          <w:tcPr>
            <w:tcW w:w="17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32"/>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7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6,220</w:t>
            </w:r>
          </w:p>
        </w:tc>
      </w:tr>
      <w:tr>
        <w:trPr>
          <w:trHeight w:val="38"/>
        </w:trPr>
        <w:tc>
          <w:tcPr>
            <w:tcW w:w="6360" w:type="dxa"/>
            <w:vAlign w:val="bottom"/>
            <w:tcBorders>
              <w:bottom w:val="single" w:sz="8" w:color="CCEEFF"/>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82"/>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accrued expenses and other current liabilities</w:t>
            </w:r>
          </w:p>
        </w:tc>
        <w:tc>
          <w:tcPr>
            <w:tcW w:w="1720" w:type="dxa"/>
            <w:vAlign w:val="bottom"/>
            <w:tcBorders>
              <w:bottom w:val="single" w:sz="8" w:color="auto"/>
            </w:tcBorders>
            <w:shd w:val="clear" w:color="auto" w:fill="CCEEFF"/>
          </w:tcPr>
          <w:p>
            <w:pPr>
              <w:jc w:val="right"/>
              <w:ind w:right="15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27,024</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35,732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Included in accrued expenses and other current liabilities is a provision for sales returns and allowances. Returns are estimated based on past experience and current expectations and are recorded as an adjustment to revenue.</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provision for sales returns and allowances consists of the following (in thousands):</w:t>
      </w:r>
    </w:p>
    <w:p>
      <w:pPr>
        <w:spacing w:after="0" w:line="298"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2"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4037965</wp:posOffset>
            </wp:positionH>
            <wp:positionV relativeFrom="paragraph">
              <wp:posOffset>39370</wp:posOffset>
            </wp:positionV>
            <wp:extent cx="3102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02610"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60" w:type="dxa"/>
            <w:vAlign w:val="bottom"/>
          </w:tcPr>
          <w:p>
            <w:pPr>
              <w:spacing w:after="0"/>
              <w:rPr>
                <w:sz w:val="19"/>
                <w:szCs w:val="19"/>
                <w:color w:val="auto"/>
              </w:rPr>
            </w:pPr>
          </w:p>
        </w:tc>
        <w:tc>
          <w:tcPr>
            <w:tcW w:w="162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20" w:type="dxa"/>
            <w:vAlign w:val="bottom"/>
          </w:tcPr>
          <w:p>
            <w:pPr>
              <w:jc w:val="right"/>
              <w:ind w:right="93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38"/>
        </w:trPr>
        <w:tc>
          <w:tcPr>
            <w:tcW w:w="636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620" w:type="dxa"/>
            <w:vAlign w:val="bottom"/>
            <w:tcBorders>
              <w:bottom w:val="single" w:sz="8" w:color="CCEEFF"/>
            </w:tcBorders>
            <w:shd w:val="clear" w:color="auto" w:fill="CCEEFF"/>
          </w:tcPr>
          <w:p>
            <w:pPr>
              <w:jc w:val="right"/>
              <w:ind w:right="14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CCEEFF"/>
            </w:tcBorders>
            <w:shd w:val="clear" w:color="auto" w:fill="CCEEFF"/>
          </w:tcPr>
          <w:p>
            <w:pPr>
              <w:jc w:val="center"/>
              <w:ind w:left="154"/>
              <w:spacing w:after="0"/>
              <w:rPr>
                <w:sz w:val="20"/>
                <w:szCs w:val="20"/>
                <w:color w:val="auto"/>
              </w:rPr>
            </w:pPr>
            <w:r>
              <w:rPr>
                <w:rFonts w:ascii="Times New Roman" w:cs="Times New Roman" w:eastAsia="Times New Roman" w:hAnsi="Times New Roman"/>
                <w:sz w:val="17"/>
                <w:szCs w:val="17"/>
                <w:color w:val="auto"/>
                <w:w w:val="99"/>
              </w:rPr>
              <w:t>3,520</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tcBorders>
              <w:bottom w:val="single" w:sz="8" w:color="CCEEFF"/>
            </w:tcBorders>
            <w:shd w:val="clear" w:color="auto" w:fill="CCEEFF"/>
          </w:tcPr>
          <w:p>
            <w:pPr>
              <w:jc w:val="center"/>
              <w:ind w:left="1214"/>
              <w:spacing w:after="0"/>
              <w:rPr>
                <w:sz w:val="20"/>
                <w:szCs w:val="20"/>
                <w:color w:val="auto"/>
              </w:rPr>
            </w:pPr>
            <w:r>
              <w:rPr>
                <w:rFonts w:ascii="Times New Roman" w:cs="Times New Roman" w:eastAsia="Times New Roman" w:hAnsi="Times New Roman"/>
                <w:sz w:val="17"/>
                <w:szCs w:val="17"/>
                <w:color w:val="auto"/>
              </w:rPr>
              <w:t>2,869</w:t>
            </w:r>
          </w:p>
        </w:tc>
      </w:tr>
      <w:tr>
        <w:trPr>
          <w:trHeight w:val="232"/>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w:t>
            </w:r>
          </w:p>
        </w:tc>
        <w:tc>
          <w:tcPr>
            <w:tcW w:w="1620" w:type="dxa"/>
            <w:vAlign w:val="bottom"/>
          </w:tcPr>
          <w:p>
            <w:pPr>
              <w:spacing w:after="0"/>
              <w:rPr>
                <w:sz w:val="20"/>
                <w:szCs w:val="20"/>
                <w:color w:val="auto"/>
              </w:rPr>
            </w:pPr>
          </w:p>
        </w:tc>
        <w:tc>
          <w:tcPr>
            <w:tcW w:w="78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w w:val="99"/>
              </w:rPr>
              <w:t>6,488</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tcPr>
          <w:p>
            <w:pPr>
              <w:jc w:val="center"/>
              <w:ind w:left="1214"/>
              <w:spacing w:after="0"/>
              <w:rPr>
                <w:sz w:val="20"/>
                <w:szCs w:val="20"/>
                <w:color w:val="auto"/>
              </w:rPr>
            </w:pPr>
            <w:r>
              <w:rPr>
                <w:rFonts w:ascii="Times New Roman" w:cs="Times New Roman" w:eastAsia="Times New Roman" w:hAnsi="Times New Roman"/>
                <w:sz w:val="17"/>
                <w:szCs w:val="17"/>
                <w:color w:val="auto"/>
              </w:rPr>
              <w:t>5,925</w:t>
            </w:r>
          </w:p>
        </w:tc>
      </w:tr>
      <w:tr>
        <w:trPr>
          <w:trHeight w:val="38"/>
        </w:trPr>
        <w:tc>
          <w:tcPr>
            <w:tcW w:w="63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71"/>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Returns and allowances</w:t>
            </w:r>
          </w:p>
        </w:tc>
        <w:tc>
          <w:tcPr>
            <w:tcW w:w="16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center"/>
              <w:ind w:left="154"/>
              <w:spacing w:after="0"/>
              <w:rPr>
                <w:sz w:val="20"/>
                <w:szCs w:val="20"/>
                <w:color w:val="auto"/>
              </w:rPr>
            </w:pPr>
            <w:r>
              <w:rPr>
                <w:rFonts w:ascii="Times New Roman" w:cs="Times New Roman" w:eastAsia="Times New Roman" w:hAnsi="Times New Roman"/>
                <w:sz w:val="17"/>
                <w:szCs w:val="17"/>
                <w:color w:val="auto"/>
              </w:rPr>
              <w:t>(8,476)</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ind w:left="1194"/>
              <w:spacing w:after="0"/>
              <w:rPr>
                <w:sz w:val="20"/>
                <w:szCs w:val="20"/>
                <w:color w:val="auto"/>
              </w:rPr>
            </w:pPr>
            <w:r>
              <w:rPr>
                <w:rFonts w:ascii="Times New Roman" w:cs="Times New Roman" w:eastAsia="Times New Roman" w:hAnsi="Times New Roman"/>
                <w:sz w:val="17"/>
                <w:szCs w:val="17"/>
                <w:color w:val="auto"/>
              </w:rPr>
              <w:t>(7,371)</w:t>
            </w:r>
          </w:p>
        </w:tc>
      </w:tr>
      <w:tr>
        <w:trPr>
          <w:trHeight w:val="257"/>
        </w:trPr>
        <w:tc>
          <w:tcPr>
            <w:tcW w:w="636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Balance at end of period</w:t>
            </w:r>
          </w:p>
        </w:tc>
        <w:tc>
          <w:tcPr>
            <w:tcW w:w="1620" w:type="dxa"/>
            <w:vAlign w:val="bottom"/>
            <w:tcBorders>
              <w:top w:val="single" w:sz="8" w:color="auto"/>
              <w:bottom w:val="single" w:sz="8" w:color="auto"/>
            </w:tcBorders>
          </w:tcPr>
          <w:p>
            <w:pPr>
              <w:jc w:val="right"/>
              <w:ind w:right="14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top w:val="single" w:sz="8" w:color="auto"/>
              <w:bottom w:val="single" w:sz="8" w:color="auto"/>
            </w:tcBorders>
          </w:tcPr>
          <w:p>
            <w:pPr>
              <w:jc w:val="center"/>
              <w:ind w:left="154"/>
              <w:spacing w:after="0"/>
              <w:rPr>
                <w:sz w:val="20"/>
                <w:szCs w:val="20"/>
                <w:color w:val="auto"/>
              </w:rPr>
            </w:pPr>
            <w:r>
              <w:rPr>
                <w:rFonts w:ascii="Times New Roman" w:cs="Times New Roman" w:eastAsia="Times New Roman" w:hAnsi="Times New Roman"/>
                <w:sz w:val="17"/>
                <w:szCs w:val="17"/>
                <w:b w:val="1"/>
                <w:bCs w:val="1"/>
                <w:color w:val="auto"/>
                <w:w w:val="99"/>
              </w:rPr>
              <w:t>1,532</w:t>
            </w:r>
          </w:p>
        </w:tc>
        <w:tc>
          <w:tcPr>
            <w:tcW w:w="8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w:t>
            </w:r>
          </w:p>
        </w:tc>
        <w:tc>
          <w:tcPr>
            <w:tcW w:w="1820" w:type="dxa"/>
            <w:vAlign w:val="bottom"/>
            <w:tcBorders>
              <w:top w:val="single" w:sz="8" w:color="auto"/>
              <w:bottom w:val="single" w:sz="8" w:color="auto"/>
            </w:tcBorders>
          </w:tcPr>
          <w:p>
            <w:pPr>
              <w:jc w:val="center"/>
              <w:ind w:left="1214"/>
              <w:spacing w:after="0"/>
              <w:rPr>
                <w:sz w:val="20"/>
                <w:szCs w:val="20"/>
                <w:color w:val="auto"/>
              </w:rPr>
            </w:pPr>
            <w:r>
              <w:rPr>
                <w:rFonts w:ascii="Times New Roman" w:cs="Times New Roman" w:eastAsia="Times New Roman" w:hAnsi="Times New Roman"/>
                <w:sz w:val="17"/>
                <w:szCs w:val="17"/>
                <w:b w:val="1"/>
                <w:bCs w:val="1"/>
                <w:color w:val="auto"/>
              </w:rPr>
              <w:t>1,423</w:t>
            </w:r>
          </w:p>
        </w:tc>
      </w:tr>
      <w:tr>
        <w:trPr>
          <w:trHeight w:val="25"/>
        </w:trPr>
        <w:tc>
          <w:tcPr>
            <w:tcW w:w="63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6. LEASES</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Total operating lease costs were as follows (in thousands):</w:t>
      </w:r>
    </w:p>
    <w:p>
      <w:pPr>
        <w:spacing w:after="0" w:line="298" w:lineRule="exact"/>
        <w:rPr>
          <w:sz w:val="20"/>
          <w:szCs w:val="20"/>
          <w:color w:val="auto"/>
        </w:rPr>
      </w:pPr>
    </w:p>
    <w:tbl>
      <w:tblPr>
        <w:tblLayout w:type="fixed"/>
        <w:tblInd w:w="1400" w:type="dxa"/>
        <w:tblCellMar>
          <w:top w:w="0" w:type="dxa"/>
          <w:left w:w="0" w:type="dxa"/>
          <w:bottom w:w="0" w:type="dxa"/>
          <w:right w:w="0" w:type="dxa"/>
        </w:tblCellMar>
      </w:tblPr>
      <w:tr>
        <w:trPr>
          <w:trHeight w:val="219"/>
        </w:trPr>
        <w:tc>
          <w:tcPr>
            <w:tcW w:w="19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gridSpan w:val="4"/>
          </w:tcPr>
          <w:p>
            <w:pPr>
              <w:jc w:val="right"/>
              <w:ind w:right="341"/>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7"/>
        </w:trPr>
        <w:tc>
          <w:tcPr>
            <w:tcW w:w="19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800" w:type="dxa"/>
            <w:vAlign w:val="bottom"/>
          </w:tcPr>
          <w:p>
            <w:pPr>
              <w:spacing w:after="0"/>
              <w:rPr>
                <w:sz w:val="19"/>
                <w:szCs w:val="19"/>
                <w:color w:val="auto"/>
              </w:rPr>
            </w:pPr>
          </w:p>
        </w:tc>
      </w:tr>
      <w:tr>
        <w:trPr>
          <w:trHeight w:val="38"/>
        </w:trPr>
        <w:tc>
          <w:tcPr>
            <w:tcW w:w="1920" w:type="dxa"/>
            <w:vAlign w:val="bottom"/>
          </w:tcPr>
          <w:p>
            <w:pPr>
              <w:spacing w:after="0"/>
              <w:rPr>
                <w:sz w:val="3"/>
                <w:szCs w:val="3"/>
                <w:color w:val="auto"/>
              </w:rPr>
            </w:pPr>
          </w:p>
        </w:tc>
        <w:tc>
          <w:tcPr>
            <w:tcW w:w="4140" w:type="dxa"/>
            <w:vAlign w:val="bottom"/>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32"/>
        </w:trPr>
        <w:tc>
          <w:tcPr>
            <w:tcW w:w="1920" w:type="dxa"/>
            <w:vAlign w:val="bottom"/>
          </w:tcPr>
          <w:p>
            <w:pPr>
              <w:spacing w:after="0"/>
              <w:rPr>
                <w:sz w:val="20"/>
                <w:szCs w:val="20"/>
                <w:color w:val="auto"/>
              </w:rPr>
            </w:pPr>
          </w:p>
        </w:tc>
        <w:tc>
          <w:tcPr>
            <w:tcW w:w="4140" w:type="dxa"/>
            <w:vAlign w:val="bottom"/>
            <w:gridSpan w:val="2"/>
          </w:tcPr>
          <w:p>
            <w:pPr>
              <w:ind w:left="1560"/>
              <w:spacing w:after="0"/>
              <w:rPr>
                <w:sz w:val="20"/>
                <w:szCs w:val="20"/>
                <w:color w:val="auto"/>
              </w:rPr>
            </w:pPr>
            <w:r>
              <w:rPr>
                <w:rFonts w:ascii="Times New Roman" w:cs="Times New Roman" w:eastAsia="Times New Roman" w:hAnsi="Times New Roman"/>
                <w:sz w:val="15"/>
                <w:szCs w:val="15"/>
                <w:b w:val="1"/>
                <w:bCs w:val="1"/>
                <w:color w:val="auto"/>
              </w:rPr>
              <w:t>Classification</w:t>
            </w:r>
          </w:p>
        </w:tc>
        <w:tc>
          <w:tcPr>
            <w:tcW w:w="240" w:type="dxa"/>
            <w:vAlign w:val="bottom"/>
          </w:tcPr>
          <w:p>
            <w:pPr>
              <w:spacing w:after="0"/>
              <w:rPr>
                <w:sz w:val="20"/>
                <w:szCs w:val="20"/>
                <w:color w:val="auto"/>
              </w:rPr>
            </w:pPr>
          </w:p>
        </w:tc>
        <w:tc>
          <w:tcPr>
            <w:tcW w:w="900" w:type="dxa"/>
            <w:vAlign w:val="bottom"/>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ind w:right="321"/>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31"/>
        </w:trPr>
        <w:tc>
          <w:tcPr>
            <w:tcW w:w="1920" w:type="dxa"/>
            <w:vAlign w:val="bottom"/>
            <w:tcBorders>
              <w:bottom w:val="single" w:sz="8" w:color="CCEEFF"/>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8"/>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costs</w:t>
            </w:r>
          </w:p>
        </w:tc>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General and administrative expense</w:t>
            </w: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5"/>
                <w:szCs w:val="15"/>
                <w:color w:val="auto"/>
              </w:rPr>
              <w:t>2,154</w:t>
            </w:r>
          </w:p>
        </w:tc>
      </w:tr>
      <w:tr>
        <w:trPr>
          <w:trHeight w:val="214"/>
        </w:trPr>
        <w:tc>
          <w:tcPr>
            <w:tcW w:w="1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costs</w:t>
            </w:r>
          </w:p>
        </w:tc>
        <w:tc>
          <w:tcPr>
            <w:tcW w:w="4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Cost of sales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5"/>
                <w:szCs w:val="15"/>
                <w:color w:val="auto"/>
              </w:rPr>
              <w:t>68</w:t>
            </w:r>
          </w:p>
        </w:tc>
      </w:tr>
      <w:tr>
        <w:trPr>
          <w:trHeight w:val="31"/>
        </w:trPr>
        <w:tc>
          <w:tcPr>
            <w:tcW w:w="19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Variable lease costs</w:t>
            </w:r>
          </w:p>
        </w:tc>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General and administrative expense</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5"/>
                <w:szCs w:val="15"/>
                <w:color w:val="auto"/>
              </w:rPr>
              <w:t>432</w:t>
            </w:r>
          </w:p>
        </w:tc>
      </w:tr>
      <w:tr>
        <w:trPr>
          <w:trHeight w:val="214"/>
        </w:trPr>
        <w:tc>
          <w:tcPr>
            <w:tcW w:w="1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Variable lease costs</w:t>
            </w:r>
          </w:p>
        </w:tc>
        <w:tc>
          <w:tcPr>
            <w:tcW w:w="4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Cost of sales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5"/>
                <w:szCs w:val="15"/>
                <w:color w:val="auto"/>
              </w:rPr>
              <w:t>43</w:t>
            </w:r>
          </w:p>
        </w:tc>
      </w:tr>
      <w:tr>
        <w:trPr>
          <w:trHeight w:val="31"/>
        </w:trPr>
        <w:tc>
          <w:tcPr>
            <w:tcW w:w="19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5"/>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Sublease income</w:t>
            </w:r>
          </w:p>
        </w:tc>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General and administrative expense</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r>
      <w:tr>
        <w:trPr>
          <w:trHeight w:val="235"/>
        </w:trPr>
        <w:tc>
          <w:tcPr>
            <w:tcW w:w="19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lease costs</w:t>
            </w:r>
          </w:p>
        </w:tc>
        <w:tc>
          <w:tcPr>
            <w:tcW w:w="4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2,826</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5"/>
                <w:szCs w:val="15"/>
                <w:b w:val="1"/>
                <w:bCs w:val="1"/>
                <w:color w:val="auto"/>
              </w:rPr>
              <w:t>2,644</w:t>
            </w:r>
          </w:p>
        </w:tc>
      </w:tr>
      <w:tr>
        <w:trPr>
          <w:trHeight w:val="21"/>
        </w:trPr>
        <w:tc>
          <w:tcPr>
            <w:tcW w:w="19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ind w:right="100" w:firstLine="619"/>
        <w:spacing w:after="0" w:line="269" w:lineRule="auto"/>
        <w:rPr>
          <w:sz w:val="20"/>
          <w:szCs w:val="20"/>
          <w:color w:val="auto"/>
        </w:rPr>
      </w:pPr>
      <w:r>
        <w:rPr>
          <w:rFonts w:ascii="Times New Roman" w:cs="Times New Roman" w:eastAsia="Times New Roman" w:hAnsi="Times New Roman"/>
          <w:sz w:val="19"/>
          <w:szCs w:val="19"/>
          <w:color w:val="auto"/>
        </w:rPr>
        <w:t>Cash paid for amounts included in the measurement of lease liabilities was $2.5 million and $2.3 million for the three months ended March 31, 2026 and 2025, respectively.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 EQUITY-BASED COMPENSATION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Grants of Restricted Stock Units</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following table summarizes the activity related to the Company's restricted stock units (“RSUs”) for the for the three months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31, 2026:</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580" w:type="dxa"/>
            <w:vAlign w:val="bottom"/>
          </w:tcPr>
          <w:p>
            <w:pPr>
              <w:spacing w:after="0"/>
              <w:rPr>
                <w:sz w:val="19"/>
                <w:szCs w:val="19"/>
                <w:color w:val="auto"/>
              </w:rPr>
            </w:pPr>
          </w:p>
        </w:tc>
        <w:tc>
          <w:tcPr>
            <w:tcW w:w="2020" w:type="dxa"/>
            <w:vAlign w:val="bottom"/>
            <w:vMerge w:val="restart"/>
          </w:tcPr>
          <w:p>
            <w:pPr>
              <w:ind w:left="760"/>
              <w:spacing w:after="0"/>
              <w:rPr>
                <w:sz w:val="20"/>
                <w:szCs w:val="20"/>
                <w:color w:val="auto"/>
              </w:rPr>
            </w:pPr>
            <w:r>
              <w:rPr>
                <w:rFonts w:ascii="Times New Roman" w:cs="Times New Roman" w:eastAsia="Times New Roman" w:hAnsi="Times New Roman"/>
                <w:sz w:val="17"/>
                <w:szCs w:val="17"/>
                <w:b w:val="1"/>
                <w:bCs w:val="1"/>
                <w:color w:val="auto"/>
              </w:rPr>
              <w:t>Number of RSUs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4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Weighted average grant date fair</w:t>
            </w:r>
          </w:p>
        </w:tc>
        <w:tc>
          <w:tcPr>
            <w:tcW w:w="0" w:type="dxa"/>
            <w:vAlign w:val="bottom"/>
          </w:tcPr>
          <w:p>
            <w:pPr>
              <w:spacing w:after="0"/>
              <w:rPr>
                <w:sz w:val="1"/>
                <w:szCs w:val="1"/>
                <w:color w:val="auto"/>
              </w:rPr>
            </w:pPr>
          </w:p>
        </w:tc>
      </w:tr>
      <w:tr>
        <w:trPr>
          <w:trHeight w:val="227"/>
        </w:trPr>
        <w:tc>
          <w:tcPr>
            <w:tcW w:w="558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40" w:type="dxa"/>
            <w:vAlign w:val="bottom"/>
          </w:tcPr>
          <w:p>
            <w:pPr>
              <w:jc w:val="right"/>
              <w:ind w:right="1114"/>
              <w:spacing w:after="0"/>
              <w:rPr>
                <w:sz w:val="20"/>
                <w:szCs w:val="20"/>
                <w:color w:val="auto"/>
              </w:rPr>
            </w:pPr>
            <w:r>
              <w:rPr>
                <w:rFonts w:ascii="Times New Roman" w:cs="Times New Roman" w:eastAsia="Times New Roman" w:hAnsi="Times New Roman"/>
                <w:sz w:val="17"/>
                <w:szCs w:val="17"/>
                <w:b w:val="1"/>
                <w:bCs w:val="1"/>
                <w:color w:val="auto"/>
              </w:rPr>
              <w:t>value</w:t>
            </w:r>
          </w:p>
        </w:tc>
        <w:tc>
          <w:tcPr>
            <w:tcW w:w="0" w:type="dxa"/>
            <w:vAlign w:val="bottom"/>
          </w:tcPr>
          <w:p>
            <w:pPr>
              <w:spacing w:after="0"/>
              <w:rPr>
                <w:sz w:val="1"/>
                <w:szCs w:val="1"/>
                <w:color w:val="auto"/>
              </w:rPr>
            </w:pPr>
          </w:p>
        </w:tc>
      </w:tr>
      <w:tr>
        <w:trPr>
          <w:trHeight w:val="25"/>
        </w:trPr>
        <w:tc>
          <w:tcPr>
            <w:tcW w:w="55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2025, unvested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3,611,467</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0" w:type="dxa"/>
            <w:vAlign w:val="bottom"/>
          </w:tcPr>
          <w:p>
            <w:pPr>
              <w:spacing w:after="0"/>
              <w:rPr>
                <w:sz w:val="1"/>
                <w:szCs w:val="1"/>
                <w:color w:val="auto"/>
              </w:rPr>
            </w:pPr>
          </w:p>
        </w:tc>
      </w:tr>
      <w:tr>
        <w:trPr>
          <w:trHeight w:val="232"/>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1,238,406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38"/>
        </w:trPr>
        <w:tc>
          <w:tcPr>
            <w:tcW w:w="5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(740,858)</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0" w:type="dxa"/>
            <w:vAlign w:val="bottom"/>
          </w:tcPr>
          <w:p>
            <w:pPr>
              <w:spacing w:after="0"/>
              <w:rPr>
                <w:sz w:val="1"/>
                <w:szCs w:val="1"/>
                <w:color w:val="auto"/>
              </w:rPr>
            </w:pPr>
          </w:p>
        </w:tc>
      </w:tr>
      <w:tr>
        <w:trPr>
          <w:trHeight w:val="232"/>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(132,547)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0" w:type="dxa"/>
            <w:vAlign w:val="bottom"/>
          </w:tcPr>
          <w:p>
            <w:pPr>
              <w:spacing w:after="0"/>
              <w:rPr>
                <w:sz w:val="1"/>
                <w:szCs w:val="1"/>
                <w:color w:val="auto"/>
              </w:rPr>
            </w:pPr>
          </w:p>
        </w:tc>
      </w:tr>
      <w:tr>
        <w:trPr>
          <w:trHeight w:val="38"/>
        </w:trPr>
        <w:tc>
          <w:tcPr>
            <w:tcW w:w="558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March 31, 2026, unvested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3,976,468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Total compensation expense for RSUs was $1.5 million and $2.2 million for the three months ended March 31, 2026 and 2025, respectively, and is included in general and administrative expenses in the unaudited condensed consolidated statements of operations.</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As of March 31, 2026, total compensation cost related to unvested RSUs not yet recognized is $7.8 million and is expected to be recognized over a weighted-average period of approximately 2.2 years.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8. INCOME TAXES AND TAX RECEIVABLE AGREEMENT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Overview of Income Taxes</w:t>
      </w:r>
    </w:p>
    <w:p>
      <w:pPr>
        <w:spacing w:after="0" w:line="23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9"/>
          <w:szCs w:val="19"/>
          <w:color w:val="auto"/>
        </w:rPr>
        <w:t>Brilliant Earth Group, Inc. is taxed as a subchapter C corporation and is subject to federal and state income taxes. Brilliant Earth Group, Inc.'s sole material asset is its ownership interest in Brilliant Earth, LLC, which is a limited liability company that is taxed as a partnership for U.S. federal and certain state and local income tax purposes. Brilliant Earth, LLC's net taxable income or loss and related tax credits, if any, are passed through to its members on a pro-rata basis and included in the member's tax returns. The income tax burden on the income taxed to the non-controlling interest holders is not reported by the Company in its unaudited condensed consolidated financial statements under GAAP.</w:t>
      </w:r>
    </w:p>
    <w:p>
      <w:pPr>
        <w:spacing w:after="0" w:line="192"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The Company files U.S. federal and certain state income tax returns. The income tax returns of the Company are subject to examination by U.S. federal and state taxing authorities for various time periods, depending on those jurisdictions' rules, generally after the income tax returns are filed.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Tax Provision and Deferred Tax Asset</w:t>
      </w:r>
    </w:p>
    <w:p>
      <w:pPr>
        <w:spacing w:after="0" w:line="187"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At the end of each interim period, Brilliant Earth Group, Inc. estimates the effective tax rate expected to be applicable for the full fiscal year. This differs from the method utilized at the end of an annual period. The Company's effective tax rates of 0% and 3.86% for the three months ended March 31, 2026 and 2025, respectively, differs from the U.S. federal statutory tax rate of 21% primarily due to income associated with the non-controlling interest, state tax expense and other permanent items.</w:t>
      </w:r>
    </w:p>
    <w:p>
      <w:pPr>
        <w:spacing w:after="0" w:line="204" w:lineRule="exact"/>
        <w:rPr>
          <w:sz w:val="20"/>
          <w:szCs w:val="20"/>
          <w:color w:val="auto"/>
        </w:rPr>
      </w:pPr>
    </w:p>
    <w:p>
      <w:pPr>
        <w:jc w:val="both"/>
        <w:ind w:firstLine="619"/>
        <w:spacing w:after="0" w:line="276" w:lineRule="auto"/>
        <w:rPr>
          <w:sz w:val="20"/>
          <w:szCs w:val="20"/>
          <w:color w:val="auto"/>
        </w:rPr>
      </w:pPr>
      <w:r>
        <w:rPr>
          <w:rFonts w:ascii="Times New Roman" w:cs="Times New Roman" w:eastAsia="Times New Roman" w:hAnsi="Times New Roman"/>
          <w:sz w:val="19"/>
          <w:szCs w:val="19"/>
          <w:color w:val="auto"/>
        </w:rPr>
        <w:t>The Company recognized a net change to its deferred tax asset and the related deferred tax asset valuation allowance of $0.2 million during the three months ended March 31, 2026. The decrease was related to changes related primarily to the outside basis difference of Brilliant Earth Group, Inc's investment in Brilliant Earth, LLC.</w:t>
      </w:r>
    </w:p>
    <w:p>
      <w:pPr>
        <w:spacing w:after="0" w:line="200"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In assessing the realizability of deferred tax assets for the three months ended March 31, 2026, management determined that it was more likely than not that the deferred tax assets will not be realized, and accordingly, has continued to record a full valuation allowance.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Tax Receivable Agreement</w:t>
      </w:r>
    </w:p>
    <w:p>
      <w:pPr>
        <w:spacing w:after="0" w:line="239"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As each of the Continuing Equity Owners elect to convert their LLC Interests into Class A common stock or Class D common stock, as applicable, Brilliant Earth Group, Inc. will succeed to their aggregate historical tax basis which will create a net tax benefit to the Company. These tax benefits are expected to be amortized over 15 years pursuant to Sections 743(b) and 197 of the Code. The Company will only recognize a deferred tax asset for financial reporting purposes when it is more likely than not that the tax benefit will be realized.</w:t>
      </w:r>
    </w:p>
    <w:p>
      <w:pPr>
        <w:spacing w:after="0" w:line="20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In addition, as part of the IPO, the Company entered into the TRA with the Continuing Equity Owners to pay 85% of the tax savings from the tax basis adjustment to them as such savings are realized. Amounts payable under the TRA are contingent upon, among other things, generation of sufficient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taxable income during the term of the TRA. The amounts to be recorded for both the deferred tax assets and the liability for our obligations under the TRA will be estimated at the time of any purchase or redemption as a reduction to shareholders' equity, and the effects of changes in any of our estimates after this date will be included in net loss. Similarly, the effect of subsequent changes in the enacted tax rates will be included in net loss. In connection with the Company concluding it was more likely than not that its deferred tax assets would not be realized and a full valuation allowance for its deferred tax assets was required, it was also determined a TRA liability was not probable at the current time.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9. COMMITMENTS AND CONTINGENCIES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Legal Proceedings</w:t>
      </w:r>
    </w:p>
    <w:p>
      <w:pPr>
        <w:spacing w:after="0" w:line="252"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In the ordinary course of business, the Company may be subject from time to time to various proceedings, lawsuits, disputes or claims. In addition, the Company is regularly subject to examination by various tax authorities. Although the Company cannot predict with assurance the outcome of any litigation or audit, it does not believe there are currently any such actions that, if resolved unfavorably, would have a material impact on the Company's financial condition, results of operations or cash flows. The Company accrues for loss contingencies when losses become probable and are reasonably estimable. If the reasonable estimate of the loss is a range and no amount within the range is a better estimate, the minimum amount of the range is recorded as a liability. The Company does not accrue for contingent losses that, in its judgment, are considered to be reasonably possible, but not probable; however, to the extent possible, the Company discloses the range of such reasonably possible losses.</w:t>
      </w:r>
    </w:p>
    <w:p>
      <w:pPr>
        <w:spacing w:after="0" w:line="212" w:lineRule="exact"/>
        <w:rPr>
          <w:sz w:val="20"/>
          <w:szCs w:val="20"/>
          <w:color w:val="auto"/>
        </w:rPr>
      </w:pPr>
    </w:p>
    <w:p>
      <w:pPr>
        <w:jc w:val="both"/>
        <w:ind w:firstLine="619"/>
        <w:spacing w:after="0" w:line="242" w:lineRule="auto"/>
        <w:rPr>
          <w:sz w:val="20"/>
          <w:szCs w:val="20"/>
          <w:color w:val="auto"/>
        </w:rPr>
      </w:pPr>
      <w:r>
        <w:rPr>
          <w:rFonts w:ascii="Times New Roman" w:cs="Times New Roman" w:eastAsia="Times New Roman" w:hAnsi="Times New Roman"/>
          <w:sz w:val="19"/>
          <w:szCs w:val="19"/>
          <w:color w:val="auto"/>
        </w:rPr>
        <w:t>On December 5, 2022, plaintiff Veronica Cusimano, a former employee of the Company, filed a representative action against the Company pursuant to the Private Attorneys General Act of 2004 in California Superior Court, Los Angeles County. The complaint alleges, on behalf of the plaintiff and similarly situated employees and former employees in California, various claims under the California Labor Code related to wages, overtime, meal and rest breaks, reimbursement of business expenses, wage statements and records, and other similar allegations. Following a mediation, the parties reached an agreement to resolve the matter. As of March 26, 2026, the parties have a fully executed stipulation of settlement and release of claims, which is subject to court approval. There can be no assurance that the settlement will be finalized or approved on the terms currently contemplated, or at all. If the settlement is approved, the Company does not expect the resolution of this matter to have a material adverse effect on its consolidated financial position, results of operations, or cash flows. If the settlement is not approved, the Company intends to continue to vigorously defend against the alleged individual and representative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Item 2. MANAGEMENT'S DISCUSSION AND ANALYSIS OF FINANCIAL CONDITION AND RESULTS OF OPERATIONS</w:t>
      </w:r>
    </w:p>
    <w:p>
      <w:pPr>
        <w:spacing w:after="0" w:line="246"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9"/>
          <w:szCs w:val="19"/>
          <w:i w:val="1"/>
          <w:iCs w:val="1"/>
          <w:color w:val="auto"/>
        </w:rPr>
        <w:t xml:space="preserve">The following discussion and analysis of our financial condition and results of operations should be read in conjunction with the information presented in the unaudited condensed consolidated financial statements and related notes included elsewhere in this Quarterly Report on Form 10-Q, as well as our audited consolidated financial statements and related notes for the fiscal year ended December 31, 2025, as disclosed in our 2025 Form 10-K. In addition to historical information, the following discussion contains forward-looking statements, such as statements regarding our expectation for future performance, growth, liquidity and capital resources, that involve risks, uncertainties and assumptions that could cause actual results to differ materially from our expectations. Our actual results may differ materially from those contained in or implied by any forward-looking statements. Factors that could cause such differences include those identified below and those described in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Cautionary Note Regarding Forward-Looking Statements,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and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Risk Factors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in this Quarterly Report on Form 10-Q and Part I, Item 1A.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Risk Factors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in our 2025 Form 10-K. We assume no obligation to update any of these forward-looking statements.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Company Overview</w:t>
      </w:r>
    </w:p>
    <w:p>
      <w:pPr>
        <w:spacing w:after="0" w:line="18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Brilliant Earth is an innovative, digitally native omnichannel jewelry company, and a global leader in ethically sourced fine jewelry. We offer exclusive designs with superior craftsmanship and supply chain transparency, delivered to customers through a highly personalized omnichannel experience.</w:t>
      </w:r>
    </w:p>
    <w:p>
      <w:pPr>
        <w:spacing w:after="0" w:line="20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Our extensive collection of premium-quality diamond engagement and wedding rings, gemstone rings, and fine jewelry is conceptualized by our leading in-house design studio and then brought to life by expert jewelers. From our award-winning jewelry designs to our responsibly sourced materials, at Brilliant Earth we aspire to exceptional standards in everything we do.</w:t>
      </w:r>
    </w:p>
    <w:p>
      <w:pPr>
        <w:spacing w:after="0" w:line="200"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Our mission is to create a more transparent, sustainable, compassionate, and inclusive jewelry industry, and we are proud to offer customers distinctive and thoughtfully designed products that they can truly feel good about wearing.</w:t>
      </w:r>
    </w:p>
    <w:p>
      <w:pPr>
        <w:spacing w:after="0" w:line="168"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9"/>
          <w:szCs w:val="19"/>
          <w:color w:val="auto"/>
        </w:rPr>
        <w:t>We were founded in 2005 as an e-commerce company with an ambitious mission and a single showroom in San Francisco. We have rapidly scaled our business while remaining focused on our mission and elevating the omnichannel customer experience. Through our intuitive digital commerce platform and personalized individual appointments in our showrooms, we cater to the shopping preferences of tech-savvy next-generation consumers. We create an educational, joyful, and approachable experience that is unique in the jewelry industry. Today, Brilliant Earth has sold to consumers in over 50 countries.</w:t>
      </w:r>
    </w:p>
    <w:p>
      <w:pPr>
        <w:spacing w:after="0" w:line="19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Throughout our history, we have invested in technology to create a seamless customer experience, inform our data-driven decision-making, improve efficiencies, and advance our mission. Our technology enables dynamic product visualization, augmented reality try-on, blockchain-verified transparency, and rapid fulfillment of our flagship Design Your Own product, a custom design process. We leverage data capabilities to improve our marketing and operational efficiencies, personalize the customer experience, curate showroom inventory and merchandising, inform real estate decisions, and develop new product designs that reflect consumer preferences. We believe the Brilliant Earth digital experience drives higher satisfaction, engagement, and conversion both online and in-showroom.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Below is a summary of our performance for the three months ended March 31, 2026:</w:t>
      </w:r>
    </w:p>
    <w:p>
      <w:pPr>
        <w:spacing w:after="0" w:line="246" w:lineRule="exact"/>
        <w:rPr>
          <w:sz w:val="20"/>
          <w:szCs w:val="20"/>
          <w:color w:val="auto"/>
        </w:rPr>
      </w:pPr>
    </w:p>
    <w:p>
      <w:pPr>
        <w:ind w:left="620" w:hanging="307"/>
        <w:spacing w:after="0"/>
        <w:tabs>
          <w:tab w:leader="none" w:pos="6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sales of $99.5 million, up 6.0% compared to $93.9 million for the three months ended March 31, 2025;</w:t>
      </w:r>
    </w:p>
    <w:p>
      <w:pPr>
        <w:spacing w:after="0" w:line="20"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loss of $8.5 million, up 158.7% compared to net loss of $3.3 million for the three months ended March 31, 2025;</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loss margin of 8.5%, compared to net loss margin of 3.5% for the three months ended March 31, 2025;</w:t>
      </w:r>
    </w:p>
    <w:p>
      <w:pPr>
        <w:spacing w:after="0" w:line="1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Adjusted EBITDA of negative $4.7 million, down 536.5%, compared to $1.1 million for the three months ended March 31, 2025; and</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Adjusted EBITDA margin of negative 4.7%, compared to 1.1% for the three months ended March 31, 2025.</w:t>
      </w:r>
    </w:p>
    <w:p>
      <w:pPr>
        <w:spacing w:after="0" w:line="226"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See the section below titled “Non-GAAP Financial Measures” for information regarding Adjusted EBITDA and Adjusted EBITDA Margin, including reconciliations to the most directly comparable financial measures prepared in accordance with U.S. generally accepted accounting principles (“GAAP”).</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We operate in one operating and reporting segment, the retail sale of diamonds, gemstones and jewelry.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Key Factors Affecting Our Performance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Our Ability to Increase Brand Awareness</w:t>
      </w:r>
    </w:p>
    <w:p>
      <w:pPr>
        <w:spacing w:after="0" w:line="250"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9"/>
          <w:szCs w:val="19"/>
          <w:color w:val="auto"/>
        </w:rPr>
        <w:t>Increasing brand awareness and growing favorable brand equity have been and remain key to our growth. We have a significant opportunity to continue to grow our brand awareness, broaden our customer reach, and maximize lifetime value through brand and performance marketing. We have made and expect to continue to make significant investments to strengthen the Brilliant Earth brand through our dynamic marketing strategy, which includes brand marketing campaigns across email, digital, social media, earned media, and media placements with key influencers. In order to compete effectively and increase our share of the jewelry market, we must maintain our strong customer experience, produce compelling products, and continue our mission of creating a more transparent, sustainable, compassionate and inclusive jewelry industry. Our performance will also depend on our ability to increase the number of consumers aware of Brilliant Earth and our product assortment. We believe our brand strength will enable us to continue to expand across categories and channels, to deepen relationships with consumers, and to expand our presence in the U.S. and international markets.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Cost-Effective Acquisition of New Customers and Retention of Existing Customers.</w:t>
      </w:r>
    </w:p>
    <w:p>
      <w:pPr>
        <w:spacing w:after="0" w:line="25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We have historically had attractive customer acquisition economics, including substantial first order profitability. To continue to grow our business, we must continue to acquire new customers and retain existing customers in a cost-effective manner. The success of our customer acquisition strategy depends on a number of factors, including the level and pattern of consumer spending on the products that we offer, and our ability to cost-effectively drive traffic to our website and showrooms and to convert these visitors to customers. With our strong brand resonance and passionate customer base, we generate significant earned and organic traffic, impressions, and media placements. We continually evolve our dynamic marketing strategies, optimizing our messaging, creative assets, and spending across channels.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color w:val="auto"/>
        </w:rPr>
        <w:t>We also believe our expanded fine jewelry assortment and strategic customer acquisition will continue to drive fine jewelry orders from new customers and repeat orders from existing customers.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Our Ability to Continue Successfully Growing and Managing our Omnichannel Presence</w:t>
      </w:r>
    </w:p>
    <w:p>
      <w:pPr>
        <w:spacing w:after="0" w:line="250"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Our ability to successfully grow and manage our omnichannel presence in new markets and locations is an important factor to our success. Historically, we have been successful in new geographic markets we have entered, and we have continued to expand our premium showroom footprint nationwide. We intend to continue leveraging our marketing strategy and growing brand awareness to drive increased qualified consumer traffic to and sales from our website and premium showrooms.</w:t>
      </w:r>
    </w:p>
    <w:p>
      <w:pPr>
        <w:spacing w:after="0" w:line="19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9"/>
          <w:szCs w:val="19"/>
          <w:color w:val="auto"/>
        </w:rPr>
        <w:t>We believe growing and managing our showrooms will drive accelerated growth by increasing our average order value (“AOV”) compared to e-commerce orders, improving conversion in the showrooms’ metro regions compared to pre-opening conversion, and raising our brand awareness. We intend to strategically open showrooms in the future, and we believe we can achieve broad national showroom coverage with far fewer locations than many traditional retailers. We rely on this highly efficient showroom model to complement our digital strategy and to drive future growth and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Our Ability to Successfully Introduce New Products</w:t>
      </w:r>
    </w:p>
    <w:p>
      <w:pPr>
        <w:spacing w:after="0" w:line="250"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Product expansion allows us significant opportunity to drive new and repeat purchases by expanding purchase occasions beyond engagement and bridal. We intend to leverage our in-house design capabilities and nimble data-driven product development to expand product assortment for special occasions and self-purchase. In addition, we will have more opportunity to enhance and leverage our customer relationship management (“CRM”) and data-segmentation capabilities to increase repeat purchases and lifetime value. We have consistently invested in technology to create a seamless customer experience, including dynamic visualization, augmented reality try-on, and automated, rapid fulfillment, and we intend to continue investing in technology to enhance the digital and showroom experience and help drive conversion. Expanding partnerships and brand collaborations will also expand our reach, broaden our existing assortment, and reinforce our brand ethos.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International Expansion</w:t>
      </w:r>
    </w:p>
    <w:p>
      <w:pPr>
        <w:spacing w:after="0" w:line="23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9"/>
          <w:szCs w:val="19"/>
          <w:color w:val="auto"/>
        </w:rPr>
        <w:t>We are in the early stages of selling globally, and a larger geographic footprint will help drive future growth. Our proof-points from localizing our website for Canada, Australia, and the United Kingdom, and our sales to customers from over 50 countries, provide encouraging signs for future global expansion. We see strong potential in launching e-commerce in new overseas markets and new showrooms in countries where we have already established a localized digital presence. We plan to drive brand awareness through localized marketing channels and expect our data-driven technology platform to continue providing insights for product recommendations and inventory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Operational and Marketing Efficiency</w:t>
      </w:r>
    </w:p>
    <w:p>
      <w:pPr>
        <w:spacing w:after="0" w:line="250"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9"/>
          <w:szCs w:val="19"/>
          <w:color w:val="auto"/>
        </w:rPr>
        <w:t>We have a unique, asset-light operating model with attractive working capital dynamics, capital-efficient showrooms, and a vast virtual inventory of premium natural and lab-grown diamonds that allows us to offer a broad selection of diamonds while keeping our balance sheet inventory low. This has driven attractive inventory turns and allows us to operate with negative working capital, which we define as our current assets less non-restricted cash minus our current liabilities. Our showroom strategy minimizes the inefficiencies of traditional, retail-first jewelers. Our showrooms are primarily appointment-driven with large catchment regions, so we are less reliant on expensive high foot traffic retail locations. Our showroom locations and formats vary from interior, upper floor locations to more recently higher traffic pedestrian and retail mall locations. In all locations, we also curate showroom inventory for scheduled visits and require limited inventory in each location. Our tech-enabled jewelry consultants can support online customers when not in appointment, increasing workforce utilization. As we continue to scale our business, our future success is dependent on maintaining this capital efficient operating model and driving continued operational improvement as we expand to new locations.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Macroeconomic Trends</w:t>
      </w:r>
    </w:p>
    <w:p>
      <w:pPr>
        <w:spacing w:after="0" w:line="25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We believe we are well positioned at the intersection of key macro-level trends impacting our industry. Consumers are increasingly seeking brands that reflect their values and provide supply chain transparency. This has contributed to our strong brand affinity and loyalty, and further differentiates us from our competitors. Consumers are increasingly favoring seamless omnichannel shopping experiences, and we believe our model is well-suited to satisfy these consumer preferences.</w:t>
      </w:r>
    </w:p>
    <w:p>
      <w:pPr>
        <w:spacing w:after="0" w:line="207"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9"/>
          <w:szCs w:val="19"/>
          <w:color w:val="auto"/>
        </w:rPr>
        <w:t>Increases in prices of gold, platinum and other precious metals have also had an impact on our materials costs and have the potential to further impact our business. In addition, many of the materials that go into our products are sourced and manufactured internationally. Tariffs on imports into the U.S. have had an impact on our materials costs and have the potential to further impact our business depending on the outcome of changes in U.S. trade policy and any corresponding actions by other countries in which companies with which we do business are located. Any deterioration in macroeconomic conditions resulting from uncertainties and effects from tariffs, increases in the costs of materials, especially of gold, platinum and other precious metals, increased congestion and/or new import/export restrictions at ports that we rely on for our business, delays or disruptions in the delivery of materials, or increases in costs of the delivery of materials could adversely impact our business, financial condition, and operating results.</w:t>
      </w:r>
    </w:p>
    <w:p>
      <w:pPr>
        <w:spacing w:after="0" w:line="212"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The U.S. federal government has in the past experienced, and may in the future experience, shutdowns, funding gaps, or other fiscal disruptions. Such disruptions may result in broader economic uncertainty that could affect demand for our products, disrupt supply chains, or result in reduced discretionary spending by our customers.</w:t>
      </w:r>
    </w:p>
    <w:p>
      <w:pPr>
        <w:spacing w:after="0" w:line="206"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The current inflationary environment and changes in macro-level consumer spending trends, due to volatile macro-economic conditions, have had a negative impact on sales and could further negatively impact our operating results.</w:t>
      </w:r>
    </w:p>
    <w:p>
      <w:pPr>
        <w:spacing w:after="0" w:line="19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In addition, changes in the interest rate environment have impacted the Company's interest income earned on its cash balances. To the extent we need to raise additional capital in the future, prevailing interest rates and capital market conditions, including any tightening of credit availability, could affect the terms on which financing may be available, if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Seasonality</w:t>
      </w:r>
    </w:p>
    <w:p>
      <w:pPr>
        <w:spacing w:after="0" w:line="250"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A larger share of our annual revenues and profits traditionally occur in the fourth quarter because it includes the November and December holiday sales period.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Components of Results of Operations</w:t>
      </w:r>
    </w:p>
    <w:p>
      <w:pPr>
        <w:spacing w:after="0" w:line="237" w:lineRule="exact"/>
        <w:rPr>
          <w:sz w:val="20"/>
          <w:szCs w:val="20"/>
          <w:color w:val="auto"/>
        </w:rPr>
      </w:pPr>
    </w:p>
    <w:p>
      <w:pPr>
        <w:ind w:firstLine="619"/>
        <w:spacing w:after="0" w:line="283" w:lineRule="auto"/>
        <w:rPr>
          <w:sz w:val="20"/>
          <w:szCs w:val="20"/>
          <w:color w:val="auto"/>
        </w:rPr>
      </w:pPr>
      <w:r>
        <w:rPr>
          <w:rFonts w:ascii="Times New Roman" w:cs="Times New Roman" w:eastAsia="Times New Roman" w:hAnsi="Times New Roman"/>
          <w:sz w:val="19"/>
          <w:szCs w:val="19"/>
          <w:color w:val="auto"/>
        </w:rPr>
        <w:t>For a description of the components of our results of operations, refer to Part II, Item 7, “Management’s Discussion and Analysis of Financial Condition and Results of Operations” of our 2025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Results of Operations</w:t>
      </w:r>
    </w:p>
    <w:p>
      <w:pPr>
        <w:spacing w:after="0" w:line="250"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The results of operations data in the following table for the periods presented have been derived from the unaudited condensed consolidated financial statements included elsewhere in this Quarterly Report on Form 10-Q.</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Comparison of Three Months Ended March 31, 2026 and 2025</w:t>
      </w:r>
    </w:p>
    <w:p>
      <w:pPr>
        <w:spacing w:after="0" w:line="252" w:lineRule="exact"/>
        <w:rPr>
          <w:sz w:val="20"/>
          <w:szCs w:val="20"/>
          <w:color w:val="auto"/>
        </w:rPr>
      </w:pPr>
    </w:p>
    <w:p>
      <w:pPr>
        <w:ind w:firstLine="619"/>
        <w:spacing w:after="0" w:line="297" w:lineRule="auto"/>
        <w:rPr>
          <w:sz w:val="20"/>
          <w:szCs w:val="20"/>
          <w:color w:val="auto"/>
        </w:rPr>
      </w:pPr>
      <w:r>
        <w:rPr>
          <w:rFonts w:ascii="Times New Roman" w:cs="Times New Roman" w:eastAsia="Times New Roman" w:hAnsi="Times New Roman"/>
          <w:sz w:val="19"/>
          <w:szCs w:val="19"/>
          <w:color w:val="auto"/>
        </w:rPr>
        <w:t>The following table sets forth our statements of operations for the three months ended March 31, 2026 and 2025, including amounts and percentages of net sales for each period and the period-to-period change in dollars and percent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6"/>
          </w:tcPr>
          <w:p>
            <w:pPr>
              <w:ind w:left="4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1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38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010" w:type="dxa"/>
            <w:vAlign w:val="bottom"/>
            <w:tcBorders>
              <w:bottom w:val="single" w:sz="8" w:color="auto"/>
            </w:tcBorders>
          </w:tcPr>
          <w:p>
            <w:pPr>
              <w:spacing w:after="0"/>
              <w:rPr>
                <w:sz w:val="3"/>
                <w:szCs w:val="3"/>
                <w:color w:val="auto"/>
              </w:rPr>
            </w:pPr>
          </w:p>
        </w:tc>
        <w:tc>
          <w:tcPr>
            <w:tcW w:w="15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2026</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2025</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Period change</w:t>
            </w:r>
          </w:p>
        </w:tc>
        <w:tc>
          <w:tcPr>
            <w:tcW w:w="0" w:type="dxa"/>
            <w:vAlign w:val="bottom"/>
          </w:tcPr>
          <w:p>
            <w:pPr>
              <w:spacing w:after="0"/>
              <w:rPr>
                <w:sz w:val="1"/>
                <w:szCs w:val="1"/>
                <w:color w:val="auto"/>
              </w:rPr>
            </w:pPr>
          </w:p>
        </w:tc>
      </w:tr>
      <w:tr>
        <w:trPr>
          <w:trHeight w:val="38"/>
        </w:trPr>
        <w:tc>
          <w:tcPr>
            <w:tcW w:w="38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010" w:type="dxa"/>
            <w:vAlign w:val="bottom"/>
            <w:tcBorders>
              <w:bottom w:val="single" w:sz="8" w:color="auto"/>
            </w:tcBorders>
          </w:tcPr>
          <w:p>
            <w:pPr>
              <w:spacing w:after="0"/>
              <w:rPr>
                <w:sz w:val="3"/>
                <w:szCs w:val="3"/>
                <w:color w:val="auto"/>
              </w:rPr>
            </w:pPr>
          </w:p>
        </w:tc>
        <w:tc>
          <w:tcPr>
            <w:tcW w:w="15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3"/>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200" w:type="dxa"/>
            <w:vAlign w:val="bottom"/>
          </w:tcPr>
          <w:p>
            <w:pPr>
              <w:spacing w:after="0"/>
              <w:rPr>
                <w:sz w:val="19"/>
                <w:szCs w:val="19"/>
                <w:color w:val="auto"/>
              </w:rPr>
            </w:pPr>
          </w:p>
        </w:tc>
        <w:tc>
          <w:tcPr>
            <w:tcW w:w="1260" w:type="dxa"/>
            <w:vAlign w:val="bottom"/>
            <w:gridSpan w:val="3"/>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20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160" w:type="dxa"/>
            <w:vAlign w:val="bottom"/>
            <w:gridSpan w:val="2"/>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0" w:type="dxa"/>
            <w:vAlign w:val="bottom"/>
          </w:tcPr>
          <w:p>
            <w:pPr>
              <w:spacing w:after="0"/>
              <w:rPr>
                <w:sz w:val="1"/>
                <w:szCs w:val="1"/>
                <w:color w:val="auto"/>
              </w:rPr>
            </w:pPr>
          </w:p>
        </w:tc>
      </w:tr>
      <w:tr>
        <w:trPr>
          <w:trHeight w:val="38"/>
        </w:trPr>
        <w:tc>
          <w:tcPr>
            <w:tcW w:w="38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10" w:type="dxa"/>
            <w:vAlign w:val="bottom"/>
            <w:tcBorders>
              <w:bottom w:val="single" w:sz="8" w:color="auto"/>
            </w:tcBorders>
          </w:tcPr>
          <w:p>
            <w:pPr>
              <w:spacing w:after="0"/>
              <w:rPr>
                <w:sz w:val="3"/>
                <w:szCs w:val="3"/>
                <w:color w:val="auto"/>
              </w:rPr>
            </w:pPr>
          </w:p>
        </w:tc>
        <w:tc>
          <w:tcPr>
            <w:tcW w:w="15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10" w:type="dxa"/>
            <w:vAlign w:val="bottom"/>
            <w:shd w:val="clear" w:color="auto" w:fill="CCEEFF"/>
          </w:tcPr>
          <w:p>
            <w:pPr>
              <w:spacing w:after="0"/>
              <w:rPr>
                <w:sz w:val="20"/>
                <w:szCs w:val="20"/>
                <w:color w:val="auto"/>
              </w:rPr>
            </w:pPr>
          </w:p>
        </w:tc>
        <w:tc>
          <w:tcPr>
            <w:tcW w:w="15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99,504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93,884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5,620</w:t>
            </w:r>
          </w:p>
        </w:tc>
        <w:tc>
          <w:tcPr>
            <w:tcW w:w="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6.0 %</w:t>
            </w:r>
          </w:p>
        </w:tc>
        <w:tc>
          <w:tcPr>
            <w:tcW w:w="0" w:type="dxa"/>
            <w:vAlign w:val="bottom"/>
          </w:tcPr>
          <w:p>
            <w:pPr>
              <w:spacing w:after="0"/>
              <w:rPr>
                <w:sz w:val="1"/>
                <w:szCs w:val="1"/>
                <w:color w:val="auto"/>
              </w:rPr>
            </w:pPr>
          </w:p>
        </w:tc>
      </w:tr>
      <w:tr>
        <w:trPr>
          <w:trHeight w:val="38"/>
        </w:trPr>
        <w:tc>
          <w:tcPr>
            <w:tcW w:w="3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10" w:type="dxa"/>
            <w:vAlign w:val="bottom"/>
          </w:tcPr>
          <w:p>
            <w:pPr>
              <w:spacing w:after="0"/>
              <w:rPr>
                <w:sz w:val="3"/>
                <w:szCs w:val="3"/>
                <w:color w:val="auto"/>
              </w:rPr>
            </w:pPr>
          </w:p>
        </w:tc>
        <w:tc>
          <w:tcPr>
            <w:tcW w:w="15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1"/>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45,436</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41.4 %</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6,594</w:t>
            </w:r>
          </w:p>
        </w:tc>
        <w:tc>
          <w:tcPr>
            <w:tcW w:w="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17.0 %</w:t>
            </w:r>
          </w:p>
        </w:tc>
        <w:tc>
          <w:tcPr>
            <w:tcW w:w="0" w:type="dxa"/>
            <w:vAlign w:val="bottom"/>
          </w:tcPr>
          <w:p>
            <w:pPr>
              <w:spacing w:after="0"/>
              <w:rPr>
                <w:sz w:val="1"/>
                <w:szCs w:val="1"/>
                <w:color w:val="auto"/>
              </w:rPr>
            </w:pPr>
          </w:p>
        </w:tc>
      </w:tr>
      <w:tr>
        <w:trPr>
          <w:trHeight w:val="225"/>
        </w:trPr>
        <w:tc>
          <w:tcPr>
            <w:tcW w:w="38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Gross profit</w:t>
            </w: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54,068</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54.3 %</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55,042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58.6 %</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(974)</w:t>
            </w:r>
          </w:p>
        </w:tc>
        <w:tc>
          <w:tcPr>
            <w:tcW w:w="80" w:type="dxa"/>
            <w:vAlign w:val="bottom"/>
          </w:tcPr>
          <w:p>
            <w:pPr>
              <w:spacing w:after="0"/>
              <w:rPr>
                <w:sz w:val="19"/>
                <w:szCs w:val="19"/>
                <w:color w:val="auto"/>
              </w:rPr>
            </w:pPr>
          </w:p>
        </w:tc>
        <w:tc>
          <w:tcPr>
            <w:tcW w:w="1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38"/>
        </w:trPr>
        <w:tc>
          <w:tcPr>
            <w:tcW w:w="3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10" w:type="dxa"/>
            <w:vAlign w:val="bottom"/>
          </w:tcPr>
          <w:p>
            <w:pPr>
              <w:spacing w:after="0"/>
              <w:rPr>
                <w:sz w:val="3"/>
                <w:szCs w:val="3"/>
                <w:color w:val="auto"/>
              </w:rPr>
            </w:pPr>
          </w:p>
        </w:tc>
        <w:tc>
          <w:tcPr>
            <w:tcW w:w="15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10" w:type="dxa"/>
            <w:vAlign w:val="bottom"/>
            <w:tcBorders>
              <w:bottom w:val="single" w:sz="8" w:color="CCEEFF"/>
            </w:tcBorders>
            <w:shd w:val="clear" w:color="auto" w:fill="CCEEFF"/>
          </w:tcPr>
          <w:p>
            <w:pPr>
              <w:spacing w:after="0"/>
              <w:rPr>
                <w:sz w:val="21"/>
                <w:szCs w:val="21"/>
                <w:color w:val="auto"/>
              </w:rPr>
            </w:pPr>
          </w:p>
        </w:tc>
        <w:tc>
          <w:tcPr>
            <w:tcW w:w="15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8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Marketing and advertising</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0" w:type="dxa"/>
            <w:vAlign w:val="bottom"/>
          </w:tcPr>
          <w:p>
            <w:pPr>
              <w:spacing w:after="0"/>
              <w:rPr>
                <w:sz w:val="1"/>
                <w:szCs w:val="1"/>
                <w:color w:val="auto"/>
              </w:rPr>
            </w:pPr>
          </w:p>
        </w:tc>
      </w:tr>
      <w:tr>
        <w:trPr>
          <w:trHeight w:val="38"/>
        </w:trPr>
        <w:tc>
          <w:tcPr>
            <w:tcW w:w="3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10" w:type="dxa"/>
            <w:vAlign w:val="bottom"/>
          </w:tcPr>
          <w:p>
            <w:pPr>
              <w:spacing w:after="0"/>
              <w:rPr>
                <w:sz w:val="3"/>
                <w:szCs w:val="3"/>
                <w:color w:val="auto"/>
              </w:rPr>
            </w:pPr>
          </w:p>
        </w:tc>
        <w:tc>
          <w:tcPr>
            <w:tcW w:w="15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1"/>
        </w:trPr>
        <w:tc>
          <w:tcPr>
            <w:tcW w:w="38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39,427</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37.9 %</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3,824</w:t>
            </w:r>
          </w:p>
        </w:tc>
        <w:tc>
          <w:tcPr>
            <w:tcW w:w="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10.7 %</w:t>
            </w:r>
          </w:p>
        </w:tc>
        <w:tc>
          <w:tcPr>
            <w:tcW w:w="0" w:type="dxa"/>
            <w:vAlign w:val="bottom"/>
          </w:tcPr>
          <w:p>
            <w:pPr>
              <w:spacing w:after="0"/>
              <w:rPr>
                <w:sz w:val="1"/>
                <w:szCs w:val="1"/>
                <w:color w:val="auto"/>
              </w:rPr>
            </w:pPr>
          </w:p>
        </w:tc>
      </w:tr>
      <w:tr>
        <w:trPr>
          <w:trHeight w:val="225"/>
        </w:trPr>
        <w:tc>
          <w:tcPr>
            <w:tcW w:w="38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62,949</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63.3 %</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58,565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62.4 %</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4,384</w:t>
            </w:r>
          </w:p>
        </w:tc>
        <w:tc>
          <w:tcPr>
            <w:tcW w:w="80" w:type="dxa"/>
            <w:vAlign w:val="bottom"/>
          </w:tcPr>
          <w:p>
            <w:pPr>
              <w:spacing w:after="0"/>
              <w:rPr>
                <w:sz w:val="19"/>
                <w:szCs w:val="19"/>
                <w:color w:val="auto"/>
              </w:rPr>
            </w:pPr>
          </w:p>
        </w:tc>
        <w:tc>
          <w:tcPr>
            <w:tcW w:w="1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7.5 %</w:t>
            </w:r>
          </w:p>
        </w:tc>
        <w:tc>
          <w:tcPr>
            <w:tcW w:w="0" w:type="dxa"/>
            <w:vAlign w:val="bottom"/>
          </w:tcPr>
          <w:p>
            <w:pPr>
              <w:spacing w:after="0"/>
              <w:rPr>
                <w:sz w:val="1"/>
                <w:szCs w:val="1"/>
                <w:color w:val="auto"/>
              </w:rPr>
            </w:pPr>
          </w:p>
        </w:tc>
      </w:tr>
      <w:tr>
        <w:trPr>
          <w:trHeight w:val="38"/>
        </w:trPr>
        <w:tc>
          <w:tcPr>
            <w:tcW w:w="38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10" w:type="dxa"/>
            <w:vAlign w:val="bottom"/>
            <w:tcBorders>
              <w:bottom w:val="single" w:sz="8" w:color="auto"/>
            </w:tcBorders>
          </w:tcPr>
          <w:p>
            <w:pPr>
              <w:spacing w:after="0"/>
              <w:rPr>
                <w:sz w:val="3"/>
                <w:szCs w:val="3"/>
                <w:color w:val="auto"/>
              </w:rPr>
            </w:pPr>
          </w:p>
        </w:tc>
        <w:tc>
          <w:tcPr>
            <w:tcW w:w="15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Loss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(8,881)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(5,358)</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152.1 %</w:t>
            </w:r>
          </w:p>
        </w:tc>
        <w:tc>
          <w:tcPr>
            <w:tcW w:w="0" w:type="dxa"/>
            <w:vAlign w:val="bottom"/>
          </w:tcPr>
          <w:p>
            <w:pPr>
              <w:spacing w:after="0"/>
              <w:rPr>
                <w:sz w:val="1"/>
                <w:szCs w:val="1"/>
                <w:color w:val="auto"/>
              </w:rPr>
            </w:pPr>
          </w:p>
        </w:tc>
      </w:tr>
      <w:tr>
        <w:trPr>
          <w:trHeight w:val="232"/>
        </w:trPr>
        <w:tc>
          <w:tcPr>
            <w:tcW w:w="38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Interest expense</w:t>
            </w:r>
          </w:p>
        </w:tc>
        <w:tc>
          <w:tcPr>
            <w:tcW w:w="200" w:type="dxa"/>
            <w:vAlign w:val="bottom"/>
          </w:tcPr>
          <w:p>
            <w:pPr>
              <w:spacing w:after="0"/>
              <w:rPr>
                <w:sz w:val="20"/>
                <w:szCs w:val="20"/>
                <w:color w:val="auto"/>
              </w:rPr>
            </w:pPr>
          </w:p>
        </w:tc>
        <w:tc>
          <w:tcPr>
            <w:tcW w:w="126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1,115</w:t>
            </w:r>
          </w:p>
        </w:tc>
        <w:tc>
          <w:tcPr>
            <w:tcW w:w="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38"/>
        </w:trPr>
        <w:tc>
          <w:tcPr>
            <w:tcW w:w="3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10" w:type="dxa"/>
            <w:vAlign w:val="bottom"/>
          </w:tcPr>
          <w:p>
            <w:pPr>
              <w:spacing w:after="0"/>
              <w:rPr>
                <w:sz w:val="3"/>
                <w:szCs w:val="3"/>
                <w:color w:val="auto"/>
              </w:rPr>
            </w:pPr>
          </w:p>
        </w:tc>
        <w:tc>
          <w:tcPr>
            <w:tcW w:w="15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1"/>
        </w:trPr>
        <w:tc>
          <w:tcPr>
            <w:tcW w:w="38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w:t>
            </w:r>
          </w:p>
        </w:tc>
        <w:tc>
          <w:tcPr>
            <w:tcW w:w="0" w:type="dxa"/>
            <w:vAlign w:val="bottom"/>
          </w:tcPr>
          <w:p>
            <w:pPr>
              <w:spacing w:after="0"/>
              <w:rPr>
                <w:sz w:val="1"/>
                <w:szCs w:val="1"/>
                <w:color w:val="auto"/>
              </w:rPr>
            </w:pPr>
          </w:p>
        </w:tc>
      </w:tr>
      <w:tr>
        <w:trPr>
          <w:trHeight w:val="225"/>
        </w:trPr>
        <w:tc>
          <w:tcPr>
            <w:tcW w:w="38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Loss before income taxes</w:t>
            </w: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(8,453)</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(5,055)</w:t>
            </w:r>
          </w:p>
        </w:tc>
        <w:tc>
          <w:tcPr>
            <w:tcW w:w="80" w:type="dxa"/>
            <w:vAlign w:val="bottom"/>
          </w:tcPr>
          <w:p>
            <w:pPr>
              <w:spacing w:after="0"/>
              <w:rPr>
                <w:sz w:val="19"/>
                <w:szCs w:val="19"/>
                <w:color w:val="auto"/>
              </w:rPr>
            </w:pPr>
          </w:p>
        </w:tc>
        <w:tc>
          <w:tcPr>
            <w:tcW w:w="1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148.8 %</w:t>
            </w:r>
          </w:p>
        </w:tc>
        <w:tc>
          <w:tcPr>
            <w:tcW w:w="0" w:type="dxa"/>
            <w:vAlign w:val="bottom"/>
          </w:tcPr>
          <w:p>
            <w:pPr>
              <w:spacing w:after="0"/>
              <w:rPr>
                <w:sz w:val="1"/>
                <w:szCs w:val="1"/>
                <w:color w:val="auto"/>
              </w:rPr>
            </w:pPr>
          </w:p>
        </w:tc>
      </w:tr>
      <w:tr>
        <w:trPr>
          <w:trHeight w:val="38"/>
        </w:trPr>
        <w:tc>
          <w:tcPr>
            <w:tcW w:w="3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10" w:type="dxa"/>
            <w:vAlign w:val="bottom"/>
          </w:tcPr>
          <w:p>
            <w:pPr>
              <w:spacing w:after="0"/>
              <w:rPr>
                <w:sz w:val="3"/>
                <w:szCs w:val="3"/>
                <w:color w:val="auto"/>
              </w:rPr>
            </w:pPr>
          </w:p>
        </w:tc>
        <w:tc>
          <w:tcPr>
            <w:tcW w:w="15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1"/>
        </w:trPr>
        <w:tc>
          <w:tcPr>
            <w:tcW w:w="38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shd w:val="clear" w:color="auto" w:fill="CCEEFF"/>
              </w:rPr>
              <w:t>Income tax benefit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80" w:type="dxa"/>
            <w:vAlign w:val="bottom"/>
            <w:tcBorders>
              <w:bottom w:val="single" w:sz="8" w:color="CCEEFF"/>
            </w:tcBorders>
            <w:shd w:val="clear" w:color="auto" w:fill="CCEEFF"/>
          </w:tcPr>
          <w:p>
            <w:pPr>
              <w:spacing w:after="0"/>
              <w:rPr>
                <w:sz w:val="23"/>
                <w:szCs w:val="23"/>
                <w:color w:val="auto"/>
              </w:rPr>
            </w:pPr>
          </w:p>
        </w:tc>
        <w:tc>
          <w:tcPr>
            <w:tcW w:w="101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shd w:val="clear" w:color="auto" w:fill="CCEEFF"/>
              </w:rPr>
              <w:t>100.0</w:t>
            </w:r>
          </w:p>
        </w:tc>
        <w:tc>
          <w:tcPr>
            <w:tcW w:w="15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0" w:type="dxa"/>
            <w:vAlign w:val="bottom"/>
          </w:tcPr>
          <w:p>
            <w:pPr>
              <w:spacing w:after="0"/>
              <w:rPr>
                <w:sz w:val="1"/>
                <w:szCs w:val="1"/>
                <w:color w:val="auto"/>
              </w:rPr>
            </w:pPr>
          </w:p>
        </w:tc>
      </w:tr>
      <w:tr>
        <w:trPr>
          <w:trHeight w:val="225"/>
        </w:trPr>
        <w:tc>
          <w:tcPr>
            <w:tcW w:w="38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Net loss</w:t>
            </w: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(8,453)</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(5,186)</w:t>
            </w:r>
          </w:p>
        </w:tc>
        <w:tc>
          <w:tcPr>
            <w:tcW w:w="80" w:type="dxa"/>
            <w:vAlign w:val="bottom"/>
          </w:tcPr>
          <w:p>
            <w:pPr>
              <w:spacing w:after="0"/>
              <w:rPr>
                <w:sz w:val="19"/>
                <w:szCs w:val="19"/>
                <w:color w:val="auto"/>
              </w:rPr>
            </w:pPr>
          </w:p>
        </w:tc>
        <w:tc>
          <w:tcPr>
            <w:tcW w:w="1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158.7 %</w:t>
            </w:r>
          </w:p>
        </w:tc>
        <w:tc>
          <w:tcPr>
            <w:tcW w:w="0" w:type="dxa"/>
            <w:vAlign w:val="bottom"/>
          </w:tcPr>
          <w:p>
            <w:pPr>
              <w:spacing w:after="0"/>
              <w:rPr>
                <w:sz w:val="1"/>
                <w:szCs w:val="1"/>
                <w:color w:val="auto"/>
              </w:rPr>
            </w:pPr>
          </w:p>
        </w:tc>
      </w:tr>
      <w:tr>
        <w:trPr>
          <w:trHeight w:val="38"/>
        </w:trPr>
        <w:tc>
          <w:tcPr>
            <w:tcW w:w="3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10" w:type="dxa"/>
            <w:vAlign w:val="bottom"/>
          </w:tcPr>
          <w:p>
            <w:pPr>
              <w:spacing w:after="0"/>
              <w:rPr>
                <w:sz w:val="3"/>
                <w:szCs w:val="3"/>
                <w:color w:val="auto"/>
              </w:rPr>
            </w:pPr>
          </w:p>
        </w:tc>
        <w:tc>
          <w:tcPr>
            <w:tcW w:w="15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1"/>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allocable to non-controlling interest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(6,942)</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(4,141)</w:t>
            </w:r>
          </w:p>
        </w:tc>
        <w:tc>
          <w:tcPr>
            <w:tcW w:w="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147.8 %</w:t>
            </w:r>
          </w:p>
        </w:tc>
        <w:tc>
          <w:tcPr>
            <w:tcW w:w="0" w:type="dxa"/>
            <w:vAlign w:val="bottom"/>
          </w:tcPr>
          <w:p>
            <w:pPr>
              <w:spacing w:after="0"/>
              <w:rPr>
                <w:sz w:val="1"/>
                <w:szCs w:val="1"/>
                <w:color w:val="auto"/>
              </w:rPr>
            </w:pPr>
          </w:p>
        </w:tc>
      </w:tr>
      <w:tr>
        <w:trPr>
          <w:trHeight w:val="209"/>
        </w:trPr>
        <w:tc>
          <w:tcPr>
            <w:tcW w:w="38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Net loss allocable to Brilliant Earth Group,</w:t>
            </w:r>
          </w:p>
        </w:tc>
        <w:tc>
          <w:tcPr>
            <w:tcW w:w="20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(1,511)</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tcPr>
          <w:p>
            <w:pPr>
              <w:spacing w:after="0"/>
              <w:rPr>
                <w:sz w:val="18"/>
                <w:szCs w:val="18"/>
                <w:color w:val="auto"/>
              </w:rPr>
            </w:pPr>
          </w:p>
        </w:tc>
        <w:tc>
          <w:tcPr>
            <w:tcW w:w="20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(1,045)</w:t>
            </w:r>
          </w:p>
        </w:tc>
        <w:tc>
          <w:tcPr>
            <w:tcW w:w="80" w:type="dxa"/>
            <w:vAlign w:val="bottom"/>
          </w:tcPr>
          <w:p>
            <w:pPr>
              <w:spacing w:after="0"/>
              <w:rPr>
                <w:sz w:val="18"/>
                <w:szCs w:val="18"/>
                <w:color w:val="auto"/>
              </w:rPr>
            </w:pPr>
          </w:p>
        </w:tc>
        <w:tc>
          <w:tcPr>
            <w:tcW w:w="116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224.2 %</w:t>
            </w:r>
          </w:p>
        </w:tc>
        <w:tc>
          <w:tcPr>
            <w:tcW w:w="0" w:type="dxa"/>
            <w:vAlign w:val="bottom"/>
          </w:tcPr>
          <w:p>
            <w:pPr>
              <w:spacing w:after="0"/>
              <w:rPr>
                <w:sz w:val="1"/>
                <w:szCs w:val="1"/>
                <w:color w:val="auto"/>
              </w:rPr>
            </w:pPr>
          </w:p>
        </w:tc>
      </w:tr>
      <w:tr>
        <w:trPr>
          <w:trHeight w:val="223"/>
        </w:trPr>
        <w:tc>
          <w:tcPr>
            <w:tcW w:w="38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Inc.</w:t>
            </w:r>
          </w:p>
        </w:tc>
        <w:tc>
          <w:tcPr>
            <w:tcW w:w="20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10" w:type="dxa"/>
            <w:vAlign w:val="bottom"/>
            <w:tcBorders>
              <w:bottom w:val="single" w:sz="8" w:color="auto"/>
            </w:tcBorders>
          </w:tcPr>
          <w:p>
            <w:pPr>
              <w:spacing w:after="0" w:line="20" w:lineRule="exact"/>
              <w:rPr>
                <w:sz w:val="1"/>
                <w:szCs w:val="1"/>
                <w:color w:val="auto"/>
              </w:rPr>
            </w:pPr>
          </w:p>
        </w:tc>
        <w:tc>
          <w:tcPr>
            <w:tcW w:w="15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Net Sales</w:t>
      </w:r>
    </w:p>
    <w:p>
      <w:pPr>
        <w:spacing w:after="0" w:line="239"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Net sales for the three months ended March 31, 2026 increased by $5.6 million, or 6.0%, compared to the three months ended March 31, 2025. The increase in net sales was due to an increase of 3.3% in AOV and an increase of 2.5% in order volumes.</w:t>
      </w:r>
    </w:p>
    <w:p>
      <w:pPr>
        <w:spacing w:after="0" w:line="168"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The increase in AOV was driven by a larger mix of higher-priced items across our product offerings and selective price increases as a result of the rising cost of precious metals.</w:t>
      </w:r>
    </w:p>
    <w:p>
      <w:pPr>
        <w:spacing w:after="0" w:line="18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The 2.5% increase in order volumes was due to strong performance in fine jewelry, which typically carries a relatively lower price point than other products in our assortment, continued effectiveness of our customer acquisition and retention activities and the opening of new showrooms.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Gross Profit</w:t>
      </w:r>
    </w:p>
    <w:p>
      <w:pPr>
        <w:spacing w:after="0" w:line="23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9"/>
          <w:szCs w:val="19"/>
          <w:color w:val="auto"/>
        </w:rPr>
        <w:t>Gross profit for the three months ended March 31, 2026 decreased by $1.0 million, or 1.8%, compared to the three months ended March 31, 2025. Gross margin, expressed as a percentage and calculated as gross profit divided by net sales, decreased by 430 basis points for the three months ended March 31, 2026 compared to the three months ended March 31, 2025, primarily driven by higher gold and platinum costs. The increase in gold and platinum costs was partially offset by the continued optimization of our pricing engine, procurement efficiencies, and other efforts to manage our gross margins to target levels.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Operating Expenses</w:t>
      </w:r>
    </w:p>
    <w:p>
      <w:pPr>
        <w:spacing w:after="0" w:line="25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Operating expenses for the three months ended March 31, 2026 increased by $4.4 million, or 7.5%, compared to the three months ended March 31, 2025. Operating expenses as a percentage of net sales increased by 90 basis points for the three months ended March 31, 2026 compared to the three months ended March 31, 2025. The increase in operating expenses was primarily driven by an increase in employment expenses of $2.0 million, an increase in other general and administrative expenses of $1.8 million, and an increase in marketing expenses of $0.6 million for the period.</w:t>
      </w:r>
    </w:p>
    <w:p>
      <w:pPr>
        <w:spacing w:after="0" w:line="21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The increase in employment expenses was primarily driven by an increase in salaries and wages and other benefits expense primarily due to the addition of staff to support our growth. The increase in other general and administrative expenses was primarily driven by an increase in donation expense, an increase in information technology and other software-related costs and an increase in rent, and lease-related expenses. These increases were partially offset by a decrease in professional fees and future showroom expenses as compared to the three months ended March 31, 2025. The increase in marketing expenses compared to the three months ended March 31, 2025 was a result of our continued focus on managing our marketing spend in relation to our sales volume.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Interest Expense</w:t>
      </w:r>
    </w:p>
    <w:p>
      <w:pPr>
        <w:spacing w:after="0" w:line="265"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Interest expense for the three months ended March 31, 2026 decreased by $1.1 million, or 100.0%, compared to the three months ended March 31, 2025, primarily due to the prepayment of all principal amounts outstanding of $34.8 million under the SVB Term Loan in August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Other Income, net</w:t>
      </w:r>
    </w:p>
    <w:p>
      <w:pPr>
        <w:spacing w:after="0" w:line="252"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Other income, net for the three months ended March 31, 2026 decreased by $0.8 million, or 65.5%, compared to the three months ended March 31, 2025, primarily due to decreased interest income earned on our cash balances. Additionally, this amount includes immaterial losses on exchange rates on consumer payments and other miscellaneous income.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Key Metrics</w:t>
      </w:r>
    </w:p>
    <w:p>
      <w:pPr>
        <w:spacing w:after="0" w:line="237"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We monitor the key business metrics set forth below to help us evaluate our business and growth trends, establish budgets, measure the effectiveness of our sales and marketing efforts, and assess operational efficiencies. The calculation of the key metrics discussed below may differ from other similarly titled metrics used by other companies, securities analysts or investors.</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following table sets forth our key performance metrics for the periods presented (dollars in thousands, except for AOV):</w:t>
      </w:r>
    </w:p>
    <w:p>
      <w:pPr>
        <w:spacing w:after="0" w:line="298" w:lineRule="exact"/>
        <w:rPr>
          <w:sz w:val="20"/>
          <w:szCs w:val="20"/>
          <w:color w:val="auto"/>
        </w:rPr>
      </w:pPr>
    </w:p>
    <w:tbl>
      <w:tblPr>
        <w:tblLayout w:type="fixed"/>
        <w:tblInd w:w="1840" w:type="dxa"/>
        <w:tblCellMar>
          <w:top w:w="0" w:type="dxa"/>
          <w:left w:w="0" w:type="dxa"/>
          <w:bottom w:w="0" w:type="dxa"/>
          <w:right w:w="0" w:type="dxa"/>
        </w:tblCellMar>
      </w:tblPr>
      <w:tr>
        <w:trPr>
          <w:trHeight w:val="206"/>
        </w:trPr>
        <w:tc>
          <w:tcPr>
            <w:tcW w:w="2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5"/>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300" w:type="dxa"/>
            <w:vAlign w:val="bottom"/>
          </w:tcPr>
          <w:p>
            <w:pPr>
              <w:spacing w:after="0"/>
              <w:rPr>
                <w:sz w:val="17"/>
                <w:szCs w:val="17"/>
                <w:color w:val="auto"/>
              </w:rPr>
            </w:pPr>
          </w:p>
        </w:tc>
      </w:tr>
      <w:tr>
        <w:trPr>
          <w:trHeight w:val="227"/>
        </w:trPr>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5"/>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March 31,</w:t>
            </w:r>
          </w:p>
        </w:tc>
        <w:tc>
          <w:tcPr>
            <w:tcW w:w="1300" w:type="dxa"/>
            <w:vAlign w:val="bottom"/>
          </w:tcPr>
          <w:p>
            <w:pPr>
              <w:spacing w:after="0"/>
              <w:rPr>
                <w:sz w:val="19"/>
                <w:szCs w:val="19"/>
                <w:color w:val="auto"/>
              </w:rPr>
            </w:pPr>
          </w:p>
        </w:tc>
      </w:tr>
      <w:tr>
        <w:trPr>
          <w:trHeight w:val="38"/>
        </w:trPr>
        <w:tc>
          <w:tcPr>
            <w:tcW w:w="23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25"/>
        </w:trPr>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41"/>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8"/>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300" w:type="dxa"/>
            <w:vAlign w:val="bottom"/>
          </w:tcPr>
          <w:p>
            <w:pPr>
              <w:jc w:val="right"/>
              <w:ind w:right="181"/>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38"/>
        </w:trPr>
        <w:tc>
          <w:tcPr>
            <w:tcW w:w="23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18"/>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Sales</w:t>
            </w: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99,504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93,884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5,620</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6.0 %</w:t>
            </w:r>
          </w:p>
        </w:tc>
      </w:tr>
      <w:tr>
        <w:trPr>
          <w:trHeight w:val="214"/>
        </w:trPr>
        <w:tc>
          <w:tcPr>
            <w:tcW w:w="23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Orders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46,692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45,535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1,157</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2.5 %</w:t>
            </w:r>
          </w:p>
        </w:tc>
      </w:tr>
      <w:tr>
        <w:trPr>
          <w:trHeight w:val="31"/>
        </w:trPr>
        <w:tc>
          <w:tcPr>
            <w:tcW w:w="2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4"/>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AOV</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3.3 %</w:t>
            </w:r>
          </w:p>
        </w:tc>
      </w:tr>
      <w:tr>
        <w:trPr>
          <w:trHeight w:val="31"/>
        </w:trPr>
        <w:tc>
          <w:tcPr>
            <w:tcW w:w="2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Total Orders</w:t>
      </w:r>
    </w:p>
    <w:p>
      <w:pPr>
        <w:spacing w:after="0" w:line="263"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9"/>
          <w:szCs w:val="19"/>
          <w:color w:val="auto"/>
        </w:rPr>
        <w:t>We define total orders as the total number of customer orders delivered less total orders returned in a given period (excluding those repair, resize, and other orders which have no revenue). We view total orders as a key indicator of the velocity of our business and an indication of the desirability of our products to our customers. Total orders, together with AOV, is an indicator of the net sales we expect to recognize in a given period. Total orders may fluctuate based on the number of visitors to our website and showrooms, and our ability to convert these visitors to customers. We believe that total orders is a measure that is useful to investors and management in understanding our ongoing operations and in an analysis of ongoing operating trends.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Average Order Value</w:t>
      </w:r>
    </w:p>
    <w:p>
      <w:pPr>
        <w:spacing w:after="0" w:line="263"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We define average order value, or AOV, as net sales in a given period divided by total orders in that period. We believe that AOV is a measure that is useful to investors and management in understanding our ongoing operations and in an analysis of ongoing operating trends. AOV varies depending on the product type and number of items per order. AOV may also fluctuate as we expand into and increase our presence in additional product lines and price points, and open additional showrooms.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Non-GAAP Financial Measures</w:t>
      </w:r>
    </w:p>
    <w:p>
      <w:pPr>
        <w:spacing w:after="0" w:line="25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We report our financial results in accordance with GAAP. However, management believes that certain non-GAAP financial measures provide users of our financial information with additional useful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information in evaluating our performance and liquidity, as applicable, and to more readily compare these financial measures between past and future periods.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Adjusted EBITDA and Adjusted EBITDA Margin</w:t>
      </w:r>
    </w:p>
    <w:p>
      <w:pPr>
        <w:spacing w:after="0" w:line="250"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9"/>
          <w:szCs w:val="19"/>
          <w:color w:val="auto"/>
        </w:rPr>
        <w:t>Adjusted EBITDA and Adjusted EBITDA margin, which are non-GAAP financial measures, are included in this Quarterly Report on Form 10-Q because they are used by management and our board of directors to assess our financial performance. We define Adjusted EBITDA as net loss excluding interest expense, income taxes, depreciation expense, amortization of cloud-based software implementation costs, showroom pre-opening expense, equity-based compensation expense, certain non-operating expenses and income, and other unusual and/or infrequent costs, which we do not consider in our evaluation of ongoing operating performance. We define Adjusted EBITDA margin as Adjusted EBITDA calculated as a percentage of net sales. These non-GAAP financial measures provide users of our financial information with useful information in evaluating our operating performance and exclude certain items from net loss that may vary substantially in frequency and magnitude from period to period. These non-GAAP financial measures are not meant to be considered as indicators of performance in isolation from or as a substitute for net loss prepared in accordance with GAAP and should be read only in conjunction with financial information presented on a GAAP basis. Reconciliations of each of Adjusted EBITDA and Adjusted EBITDA margin to its most directly comparable GAAP financial measure, net loss and net loss margin, are presented below.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non-recurring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19"/>
        <w:spacing w:after="0" w:line="283" w:lineRule="auto"/>
        <w:rPr>
          <w:sz w:val="20"/>
          <w:szCs w:val="20"/>
          <w:color w:val="auto"/>
        </w:rPr>
      </w:pPr>
      <w:r>
        <w:rPr>
          <w:rFonts w:ascii="Times New Roman" w:cs="Times New Roman" w:eastAsia="Times New Roman" w:hAnsi="Times New Roman"/>
          <w:sz w:val="19"/>
          <w:szCs w:val="19"/>
          <w:color w:val="auto"/>
        </w:rPr>
        <w:t>The following table presents a reconciliation of net loss and net loss margin, the most comparable GAAP financial measures, to Adjusted EBITDA and Adjusted EBITDA margin, respectively, for the periods presented (in thousands):</w:t>
      </w:r>
    </w:p>
    <w:p>
      <w:pPr>
        <w:spacing w:after="0" w:line="91"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2"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31115</wp:posOffset>
            </wp:positionV>
            <wp:extent cx="25539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5397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38"/>
        </w:trPr>
        <w:tc>
          <w:tcPr>
            <w:tcW w:w="42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44"/>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220" w:type="dxa"/>
            <w:vAlign w:val="bottom"/>
            <w:tcBorders>
              <w:bottom w:val="single" w:sz="8" w:color="CCEEFF"/>
            </w:tcBorders>
            <w:shd w:val="clear" w:color="auto" w:fill="CCEEFF"/>
          </w:tcPr>
          <w:p>
            <w:pPr>
              <w:jc w:val="right"/>
              <w:ind w:right="10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(8,453)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w:t>
            </w:r>
          </w:p>
        </w:tc>
        <w:tc>
          <w:tcPr>
            <w:tcW w:w="15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(3,267)</w:t>
            </w:r>
          </w:p>
        </w:tc>
      </w:tr>
      <w:tr>
        <w:trPr>
          <w:trHeight w:val="232"/>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22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0"/>
                <w:szCs w:val="20"/>
                <w:color w:val="auto"/>
              </w:rPr>
            </w:pPr>
          </w:p>
        </w:tc>
        <w:tc>
          <w:tcPr>
            <w:tcW w:w="15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1,115</w:t>
            </w:r>
          </w:p>
        </w:tc>
      </w:tr>
      <w:tr>
        <w:trPr>
          <w:trHeight w:val="38"/>
        </w:trPr>
        <w:tc>
          <w:tcPr>
            <w:tcW w:w="4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51"/>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(131)</w:t>
            </w:r>
          </w:p>
        </w:tc>
      </w:tr>
      <w:tr>
        <w:trPr>
          <w:trHeight w:val="232"/>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expense</w:t>
            </w:r>
          </w:p>
        </w:tc>
        <w:tc>
          <w:tcPr>
            <w:tcW w:w="1220" w:type="dxa"/>
            <w:vAlign w:val="bottom"/>
          </w:tcPr>
          <w:p>
            <w:pPr>
              <w:spacing w:after="0"/>
              <w:rPr>
                <w:sz w:val="20"/>
                <w:szCs w:val="20"/>
                <w:color w:val="auto"/>
              </w:rPr>
            </w:pP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1,615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1,488</w:t>
            </w:r>
          </w:p>
        </w:tc>
      </w:tr>
      <w:tr>
        <w:trPr>
          <w:trHeight w:val="38"/>
        </w:trPr>
        <w:tc>
          <w:tcPr>
            <w:tcW w:w="4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51"/>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cloud-based software implementation costs</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162</w:t>
            </w:r>
          </w:p>
        </w:tc>
      </w:tr>
      <w:tr>
        <w:trPr>
          <w:trHeight w:val="232"/>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Showroom pre-opening expense</w:t>
            </w:r>
          </w:p>
        </w:tc>
        <w:tc>
          <w:tcPr>
            <w:tcW w:w="1220" w:type="dxa"/>
            <w:vAlign w:val="bottom"/>
          </w:tcPr>
          <w:p>
            <w:pPr>
              <w:spacing w:after="0"/>
              <w:rPr>
                <w:sz w:val="20"/>
                <w:szCs w:val="20"/>
                <w:color w:val="auto"/>
              </w:rPr>
            </w:pP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582</w:t>
            </w:r>
          </w:p>
        </w:tc>
      </w:tr>
      <w:tr>
        <w:trPr>
          <w:trHeight w:val="38"/>
        </w:trPr>
        <w:tc>
          <w:tcPr>
            <w:tcW w:w="4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51"/>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1,528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2,369</w:t>
            </w:r>
          </w:p>
        </w:tc>
      </w:tr>
      <w:tr>
        <w:trPr>
          <w:trHeight w:val="271"/>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Other income, net </w:t>
            </w:r>
            <w:r>
              <w:rPr>
                <w:rFonts w:ascii="Times New Roman" w:cs="Times New Roman" w:eastAsia="Times New Roman" w:hAnsi="Times New Roman"/>
                <w:sz w:val="22"/>
                <w:szCs w:val="22"/>
                <w:color w:val="auto"/>
                <w:vertAlign w:val="superscript"/>
              </w:rPr>
              <w:t>(1)</w:t>
            </w:r>
          </w:p>
        </w:tc>
        <w:tc>
          <w:tcPr>
            <w:tcW w:w="1220" w:type="dxa"/>
            <w:vAlign w:val="bottom"/>
          </w:tcPr>
          <w:p>
            <w:pPr>
              <w:spacing w:after="0"/>
              <w:rPr>
                <w:sz w:val="23"/>
                <w:szCs w:val="23"/>
                <w:color w:val="auto"/>
              </w:rPr>
            </w:pPr>
          </w:p>
        </w:tc>
        <w:tc>
          <w:tcPr>
            <w:tcW w:w="7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(428)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(1,240)</w:t>
            </w:r>
          </w:p>
        </w:tc>
      </w:tr>
      <w:tr>
        <w:trPr>
          <w:trHeight w:val="271"/>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expenses</w:t>
            </w:r>
            <w:r>
              <w:rPr>
                <w:rFonts w:ascii="Times New Roman" w:cs="Times New Roman" w:eastAsia="Times New Roman" w:hAnsi="Times New Roman"/>
                <w:sz w:val="22"/>
                <w:szCs w:val="22"/>
                <w:color w:val="auto"/>
                <w:vertAlign w:val="superscript"/>
              </w:rPr>
              <w:t>(2)</w:t>
            </w:r>
          </w:p>
        </w:tc>
        <w:tc>
          <w:tcPr>
            <w:tcW w:w="1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627</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r>
      <w:tr>
        <w:trPr>
          <w:trHeight w:val="257"/>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1220" w:type="dxa"/>
            <w:vAlign w:val="bottom"/>
            <w:tcBorders>
              <w:bottom w:val="single" w:sz="8" w:color="auto"/>
            </w:tcBorders>
          </w:tcPr>
          <w:p>
            <w:pPr>
              <w:jc w:val="right"/>
              <w:ind w:right="10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(4,705)</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w:t>
            </w:r>
          </w:p>
        </w:tc>
        <w:tc>
          <w:tcPr>
            <w:tcW w:w="15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1,078</w:t>
            </w: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49"/>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margin</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w:t>
            </w:r>
          </w:p>
        </w:tc>
      </w:tr>
      <w:tr>
        <w:trPr>
          <w:trHeight w:val="232"/>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 margin</w:t>
            </w:r>
          </w:p>
        </w:tc>
        <w:tc>
          <w:tcPr>
            <w:tcW w:w="1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1.1 %</w:t>
            </w:r>
          </w:p>
        </w:tc>
      </w:tr>
    </w:tbl>
    <w:p>
      <w:pPr>
        <w:spacing w:after="0" w:line="211" w:lineRule="exact"/>
        <w:rPr>
          <w:sz w:val="20"/>
          <w:szCs w:val="20"/>
          <w:color w:val="auto"/>
        </w:rPr>
      </w:pPr>
    </w:p>
    <w:p>
      <w:pPr>
        <w:ind w:left="200" w:hanging="197"/>
        <w:spacing w:after="0"/>
        <w:tabs>
          <w:tab w:leader="none" w:pos="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income, net consists primarily of interest and other miscellaneous income, partially offset by expenses such as losses on exchange rates on consumer payments.</w:t>
      </w:r>
    </w:p>
    <w:p>
      <w:pPr>
        <w:spacing w:after="0" w:line="83" w:lineRule="exact"/>
        <w:rPr>
          <w:rFonts w:ascii="Times New Roman" w:cs="Times New Roman" w:eastAsia="Times New Roman" w:hAnsi="Times New Roman"/>
          <w:sz w:val="14"/>
          <w:szCs w:val="14"/>
          <w:color w:val="auto"/>
        </w:rPr>
      </w:pPr>
    </w:p>
    <w:p>
      <w:pPr>
        <w:ind w:left="200" w:hanging="197"/>
        <w:spacing w:after="0"/>
        <w:tabs>
          <w:tab w:leader="none" w:pos="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expenses are those that we did not incur in the normal course of business. For the three months ended March 31, 2026, these expenses include a $0.6 million charitable contribution.</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Overview</w:t>
      </w:r>
    </w:p>
    <w:p>
      <w:pPr>
        <w:spacing w:after="0" w:line="239"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Our primary requirements for liquidity and capital are for purchases of inventory, payment of operating expenses, tax distributions to Continuing Equity Owners, and capital expenditures. Historically, these cash requirements have been met through cash provided by operating activities, cash and cash equivalents, proceeds from capital-raising activities and borrowings under our loan facilities. We have historically had negative working capital driven by our high inventory turns and typical collection of payments from customers prior to payment of suppliers. As of March 31, 2026, we had a cash balance, excluding restricted cash, of $58.6 million, and negative working capital, excluding non-restricted cash, of $11.6 million.</w:t>
      </w:r>
    </w:p>
    <w:p>
      <w:pPr>
        <w:spacing w:after="0" w:line="21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For the three months ended March 31, 2026, the Company declared and paid $1.4 million of distributions to, or on behalf of, members associated with their estimated income tax obligations pursuant to the LLC Agreement. We are committed to continue to make quarterly distributions in connection with member estimated income tax obligations which we expect to fund with cash flow from operations.</w:t>
      </w:r>
    </w:p>
    <w:p>
      <w:pPr>
        <w:spacing w:after="0" w:line="200"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We believe, based on our current projections, that we have sufficient sources of liquidity to meet our projected operating and tax distribution requirements for at least the next 12 months following the filing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Additional future liquidity needs may also include payments under the TRA, and state and federal taxes to the extent not offset by our deferred income tax assets, including those arising as a result of purchases or exchanges of common units for Class A and Class D common stock. As of March 31, 2026 and December 31, 2025, there was no TRA liability reflected on the Company's consolidated balance sheet. For similar reasons that led the Company to record a full valuation allowance on the deferred tax assets during the fourth quarter 2025, we evaluated the probability of amounts being owed pursuant to the TRA and determined the likelihood of a future liability was not probable at that time. We are currently unable to determine the total future amounts of these payments due to the unpredictable nature of factors such as timing of future exchanges, the market price of the Class A common stock at the time of the exchanges, the extent to which the exchanges are taxable and the amount and timing of future taxable income sufficient to utilize tax savings that give rise to the payments under the TRA.</w:t>
      </w:r>
    </w:p>
    <w:p>
      <w:pPr>
        <w:spacing w:after="0" w:line="215"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To the extent that our current liquidity is insufficient to fund future activities, we may need to raise additional funds, such as attempts to raise additional capital through the sale of equity securities or through debt financing arrangements. If we raise additional funds by issuing equity securities, the ownership of our existing stockholders will be diluted. Any new debt financing would result in debt service obligations, and any future instruments governing such debt could provide for operating and financing covenants that could restrict our operations. We cannot ensure that we could obtain new debt financing on favorable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Cash Flow Analysis</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following table summarizes our cash flows for the three months ended March 31, 2026 and 2025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620" w:type="dxa"/>
            <w:vAlign w:val="bottom"/>
          </w:tcPr>
          <w:p>
            <w:pPr>
              <w:spacing w:after="0"/>
              <w:rPr>
                <w:sz w:val="19"/>
                <w:szCs w:val="19"/>
                <w:color w:val="auto"/>
              </w:rPr>
            </w:pPr>
          </w:p>
        </w:tc>
        <w:tc>
          <w:tcPr>
            <w:tcW w:w="3540" w:type="dxa"/>
            <w:vAlign w:val="bottom"/>
            <w:gridSpan w:val="5"/>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38"/>
        </w:trPr>
        <w:tc>
          <w:tcPr>
            <w:tcW w:w="76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25"/>
        </w:trPr>
        <w:tc>
          <w:tcPr>
            <w:tcW w:w="7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38"/>
        </w:trPr>
        <w:tc>
          <w:tcPr>
            <w:tcW w:w="762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4"/>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080" w:type="dxa"/>
            <w:vAlign w:val="bottom"/>
            <w:tcBorders>
              <w:bottom w:val="single" w:sz="8" w:color="CCEEFF"/>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(7,127)</w:t>
            </w:r>
          </w:p>
        </w:tc>
      </w:tr>
      <w:tr>
        <w:trPr>
          <w:trHeight w:val="232"/>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w:t>
            </w:r>
          </w:p>
        </w:tc>
      </w:tr>
      <w:tr>
        <w:trPr>
          <w:trHeight w:val="38"/>
        </w:trPr>
        <w:tc>
          <w:tcPr>
            <w:tcW w:w="7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71"/>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(6,732)</w:t>
            </w:r>
          </w:p>
        </w:tc>
      </w:tr>
      <w:tr>
        <w:trPr>
          <w:trHeight w:val="225"/>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decrease in cash, cash equivalents and restricted cash</w:t>
            </w:r>
          </w:p>
        </w:tc>
        <w:tc>
          <w:tcPr>
            <w:tcW w:w="10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(20,747)</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(14,586)</w:t>
            </w:r>
          </w:p>
        </w:tc>
      </w:tr>
      <w:tr>
        <w:trPr>
          <w:trHeight w:val="38"/>
        </w:trPr>
        <w:tc>
          <w:tcPr>
            <w:tcW w:w="7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71"/>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79,438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162,141</w:t>
            </w:r>
          </w:p>
        </w:tc>
      </w:tr>
      <w:tr>
        <w:trPr>
          <w:trHeight w:val="257"/>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at end of period</w:t>
            </w:r>
          </w:p>
        </w:tc>
        <w:tc>
          <w:tcPr>
            <w:tcW w:w="1080" w:type="dxa"/>
            <w:vAlign w:val="bottom"/>
            <w:tcBorders>
              <w:top w:val="single" w:sz="8" w:color="auto"/>
              <w:bottom w:val="single" w:sz="8" w:color="auto"/>
            </w:tcBorders>
          </w:tcPr>
          <w:p>
            <w:pPr>
              <w:jc w:val="right"/>
              <w:ind w:right="8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58,691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147,555</w:t>
            </w:r>
          </w:p>
        </w:tc>
      </w:tr>
      <w:tr>
        <w:trPr>
          <w:trHeight w:val="25"/>
        </w:trPr>
        <w:tc>
          <w:tcPr>
            <w:tcW w:w="7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Net Cash Used In Operating Activities</w:t>
      </w:r>
    </w:p>
    <w:p>
      <w:pPr>
        <w:spacing w:after="0" w:line="237"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For the three months ended March 31, 2026, net cash used in operating activities was $18.8 million compared to net cash used in operating activities of $7.1 million for the three months ended March 31, 2025, an increase of $11.7 million. This increase was primarily driven by an increase in net loss adjusted for non-cash expense addbacks of $5.7 million and an increase in cash used from changes in assets and liabilities related to working capital management activities of $6.0 million. The increase in cash used from changes in working capital was primarily due to an increase in cash used of $4.0 million in prepaid expenses and other current assets; accounts payable, accrued expenses and other current liabilities; and other assets. Also impacting the increase in cash used was a decrease in cash generated of $2.1 million in deferred revenue. These increases in cash used were partially offset by decreases in cash used in inventories and operating lease liabilities of $0.1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Net Cash Used In Investing Activities</w:t>
      </w:r>
    </w:p>
    <w:p>
      <w:pPr>
        <w:spacing w:after="0" w:line="237"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For the three months ended March 31, 2026, net cash used in investing activities was $0.6 million compared to $0.7 million for the three months ended March 31, 2025. The decrease of $0.2 million was principally due to a decrease in purchases of property and equipment related to new facilities leased during the period.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Net Cash Used In Financing Activities</w:t>
      </w:r>
    </w:p>
    <w:p>
      <w:pPr>
        <w:spacing w:after="0" w:line="25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For the three months ended March 31, 2026, net cash used in financing activities was $1.4 million compared to $6.7 million for the three months ended March 31, 2025. The decrease of $5.3 million was primarily due to lower distributions paid to members during the three month ended March 31, 2026 when compared to the three months ended March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Additional Liquidity Requirements</w:t>
      </w:r>
    </w:p>
    <w:p>
      <w:pPr>
        <w:spacing w:after="0" w:line="252"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We are a holding company and have no material assets other than our ownership of LLC Interests. We have no independent means of generating revenue. The LLC Agreement provides for the payment of certain distributions to the Continuing Equity Owners and to us in amounts sufficient to cover the income taxes imposed on such members with respect to the allocation of taxable income from Brilliant Earth, LLC as well as to cover our obligations under the TRA and other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In the event we declare any cash dividends, we intend to cause Brilliant Earth, LLC to make distributions to us in amounts sufficient to fund such cash dividends declared by us to our shareholders. Deterioration in the financial condition, earnings, or cash flow of Brilliant Earth, LLC for any reason could limit or impair their ability to pay such distributions.</w:t>
      </w:r>
    </w:p>
    <w:p>
      <w:pPr>
        <w:spacing w:after="0" w:line="200"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If we do not have sufficient funds to pay taxes or other liabilities or to fund our operations, we may have to borrow funds, which could materially adversely affect our liquidity and financial condition and subject us to various restrictions imposed by any such lenders. In addition, if Brilliant Earth, LLC does not have sufficient funds to make distributions, our ability to declare and pay cash dividends will also be restricted or impaired.</w:t>
      </w:r>
    </w:p>
    <w:p>
      <w:pPr>
        <w:spacing w:after="0" w:line="191"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19"/>
          <w:szCs w:val="19"/>
          <w:color w:val="auto"/>
        </w:rPr>
        <w:t>The Company may repurchase shares, under the program, from time to time through open market purchases, in privately negotiated transactions or by other means. Open market repurchases will be structured to occur in accordance with applicable federal securities law, including within the pricing and volume requirements of Rule 10b-18 under the Exchange Act. The Company may also, from time to time, enter into Rule 10b5-1 plans to facilitate repurchases of its shares under this authorization. The timing, amount, and manner of stock repurchases will be determined at the Company’s discretion, subject to business, economic and market conditions, corporate needs and regulatory requirements, prevailing stock prices and other considerations. The share repurchase program does not obligate the Company to acquire a specific number of shares of Class A common stock and may be suspended, terminated, or modified at any time without notice, at the discretion of the Board.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Contractual Obligations and Commitments</w:t>
      </w:r>
    </w:p>
    <w:p>
      <w:pPr>
        <w:spacing w:after="0" w:line="25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As of March 31, 2026, there were no material changes to our contractual obligations and commitments as disclosed in Part II, Item 7, “Management's Discussion and Analysis of Financial Condition and Results of Operations” of our 2025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Accounting Policies and Estimates</w:t>
      </w:r>
    </w:p>
    <w:p>
      <w:pPr>
        <w:spacing w:after="0" w:line="237"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There have been no changes to the Company's critical accounting policies and estimates from those described under “Critical Accounting Policies and Estimates” in the Management's Discussion and Analysis of Financial Condition and Results of Operations of our 2025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Recent Accounting Pronouncements</w:t>
      </w:r>
    </w:p>
    <w:p>
      <w:pPr>
        <w:spacing w:after="0" w:line="239"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For information regarding recent accounting pronouncements, see Note 1 to our unaudited condensed consolidated financial statements and related notes thereto included elsewhere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JOBS Act</w:t>
      </w:r>
    </w:p>
    <w:p>
      <w:pPr>
        <w:spacing w:after="0" w:line="250"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8"/>
          <w:szCs w:val="18"/>
          <w:color w:val="auto"/>
        </w:rPr>
        <w:t>We qualify as an “emerging growth company” pursuant to the provisions of the JOBS Act, enacted on April 5, 2012. Section 102 of the JOBS Act provides that, among other reporting exemptions, an “emerging growth company” can take advantage of the extended transition period provided in Section 7(a)(2) (B) of the Securities Act for complying with new or revised accounting standards. We are electing to delay the adoption of new or revised accounting standards, and as a result, we may not comply with new or revised accounting standards on the relevant dates on which adoption of such standards is required for non-emerging growth companies. As a result, our unaudited condensed consolidated financial statements may not be comparable to companies that comply with new or revised accounting pronouncements as of public company effective dates.</w:t>
      </w:r>
    </w:p>
    <w:p>
      <w:pPr>
        <w:spacing w:after="0" w:line="183"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The exemptions afforded to emerging growth companies will apply until we no longer meet the requirements of being an emerging growth company. We will remain an emerging growth company until the earlier of (a) the last day of the fiscal year (i) following the fifth anniversary of the completion of our IPO (December 31, 2026), (ii) in which we have total annual gross revenue of at least $1.235 billion or (iii) in which we are deemed to be a large accelerated filer, which means the market value of our common stock that is held by non-affiliates exceeds $700.0 million as of the last business day of our prior second fiscal quarter, and (b) the date on which we have issued more than $1.0 billion in non-convertible debt during the prior three-year period.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 Quantitative and Qualitative Disclosures About Market Risk</w:t>
      </w:r>
    </w:p>
    <w:p>
      <w:pPr>
        <w:spacing w:after="0" w:line="25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We are a smaller reporting company as defined by Rule 12b-2 of the Securities Exchange Act of 1934 and are not required to provide the information under this item.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 Controls and Procedures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Evaluation of disclosure controls and procedures</w:t>
      </w:r>
    </w:p>
    <w:p>
      <w:pPr>
        <w:spacing w:after="0" w:line="250"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Our management, with the participation of our principal executive officer and principal financial officer, conducted an evaluation of the effectiveness of our disclosure controls and procedures (as such term is defined in Rules 13a-15(e) and 15d-15(e) under the Exchange Act) as of the end of the period covered by this Quarterly Report on Form 10-Q. Based on this evaluation, our principal executive officer and principal financial officer concluded that, as of March 31, 2026, our disclosure controls and procedures were effective.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Changes in Internal Control over Financial Reporting</w:t>
      </w:r>
    </w:p>
    <w:p>
      <w:pPr>
        <w:spacing w:after="0" w:line="25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There have been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Part II - Other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 Legal Proceedings</w:t>
      </w:r>
    </w:p>
    <w:p>
      <w:pPr>
        <w:spacing w:after="0" w:line="187"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spacing w:after="0" w:line="168" w:lineRule="exact"/>
        <w:rPr>
          <w:sz w:val="20"/>
          <w:szCs w:val="20"/>
          <w:color w:val="auto"/>
        </w:rPr>
      </w:pPr>
    </w:p>
    <w:p>
      <w:pPr>
        <w:jc w:val="both"/>
        <w:ind w:firstLine="619"/>
        <w:spacing w:after="0" w:line="242" w:lineRule="auto"/>
        <w:rPr>
          <w:sz w:val="20"/>
          <w:szCs w:val="20"/>
          <w:color w:val="auto"/>
        </w:rPr>
      </w:pPr>
      <w:r>
        <w:rPr>
          <w:rFonts w:ascii="Times New Roman" w:cs="Times New Roman" w:eastAsia="Times New Roman" w:hAnsi="Times New Roman"/>
          <w:sz w:val="19"/>
          <w:szCs w:val="19"/>
          <w:color w:val="auto"/>
        </w:rPr>
        <w:t>On December 5, 2022, plaintiff Veronica Cusimano, a former employee of the Company, filed a representative action against the Company pursuant to the Private Attorneys General Act of 2004 in California Superior Court, Los Angeles County. The complaint alleges, on behalf of the plaintiff and similarly situated employees and former employees in California, various claims under the California Labor Code related to wages, overtime, meal and rest breaks, reimbursement of business expenses, wage statements and records, and other similar allegations. Following a mediation, the parties reached an agreement to resolve the matter. As of March 26, 2026, the parties have a fully executed stipulation of settlement and release of claims, which is subject to court approval. There can be no assurance that the settlement will be finalized or approved on the terms currently contemplated, or at all. If the settlement is approved, the Company does not expect the resolution of this matter to have a material adverse effect on its consolidated financial position, results of operations, or cash flows. If the settlement is not approved, the Company intends to continue to vigorously defend against the alleged individual and representative claims.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1A. Risk Factors</w:t>
      </w:r>
    </w:p>
    <w:p>
      <w:pPr>
        <w:spacing w:after="0" w:line="22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The Company's risk factors are described in Part I, Item 1A, “Risk Factors” of our 2025 Form 10-K.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Quarterly Report on Form 10-Q. There have been no material changes to our risk factors as previously disclosed in our 2025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2. Unregistered Sales of Equity Securities and Use of Proceeds</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None.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 Defaults Upon Senior Securities</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None.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 Mine Safety Disclosures</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Not applicable.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5. Other Information</w:t>
      </w:r>
    </w:p>
    <w:p>
      <w:pPr>
        <w:spacing w:after="0" w:line="250" w:lineRule="exact"/>
        <w:rPr>
          <w:sz w:val="20"/>
          <w:szCs w:val="20"/>
          <w:color w:val="auto"/>
        </w:rPr>
      </w:pPr>
    </w:p>
    <w:p>
      <w:pPr>
        <w:ind w:left="880" w:hanging="258"/>
        <w:spacing w:after="0"/>
        <w:tabs>
          <w:tab w:leader="none" w:pos="88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w:t>
      </w:r>
    </w:p>
    <w:p>
      <w:pPr>
        <w:spacing w:after="0" w:line="25" w:lineRule="exact"/>
        <w:rPr>
          <w:rFonts w:ascii="Times New Roman" w:cs="Times New Roman" w:eastAsia="Times New Roman" w:hAnsi="Times New Roman"/>
          <w:sz w:val="19"/>
          <w:szCs w:val="19"/>
          <w:color w:val="auto"/>
        </w:rPr>
      </w:pPr>
    </w:p>
    <w:p>
      <w:pPr>
        <w:ind w:left="880" w:hanging="258"/>
        <w:spacing w:after="0"/>
        <w:tabs>
          <w:tab w:leader="none" w:pos="88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w:t>
      </w:r>
    </w:p>
    <w:p>
      <w:pPr>
        <w:spacing w:after="0" w:line="8" w:lineRule="exact"/>
        <w:rPr>
          <w:rFonts w:ascii="Times New Roman" w:cs="Times New Roman" w:eastAsia="Times New Roman" w:hAnsi="Times New Roman"/>
          <w:sz w:val="19"/>
          <w:szCs w:val="19"/>
          <w:color w:val="auto"/>
        </w:rPr>
      </w:pPr>
    </w:p>
    <w:p>
      <w:pPr>
        <w:jc w:val="both"/>
        <w:ind w:firstLine="622"/>
        <w:spacing w:after="0" w:line="237" w:lineRule="auto"/>
        <w:tabs>
          <w:tab w:leader="none" w:pos="886"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three months ended March 31, 2026, no directors or “officers” (as defined in Rule 16a-1(f) under the Exchange Act) of the Company adopted, modified or terminated “Rule 10b5-1 trading arrangements” and/or “non-Rule 10b5-1 trading arrangements” (each as defined in Item 408 of Regulation S-K).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008080"/>
        </w:rPr>
        <w:t> </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Incorporated by Reference</w:t>
            </w:r>
          </w:p>
        </w:tc>
        <w:tc>
          <w:tcPr>
            <w:tcW w:w="12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2"/>
        </w:trPr>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1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Exhibit Number</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00" w:type="dxa"/>
            <w:vAlign w:val="bottom"/>
            <w:gridSpan w:val="7"/>
          </w:tcPr>
          <w:p>
            <w:pPr>
              <w:ind w:left="1140"/>
              <w:spacing w:after="0"/>
              <w:rPr>
                <w:sz w:val="20"/>
                <w:szCs w:val="20"/>
                <w:color w:val="auto"/>
              </w:rPr>
            </w:pPr>
            <w:r>
              <w:rPr>
                <w:rFonts w:ascii="Times New Roman" w:cs="Times New Roman" w:eastAsia="Times New Roman" w:hAnsi="Times New Roman"/>
                <w:sz w:val="14"/>
                <w:szCs w:val="14"/>
                <w:color w:val="auto"/>
              </w:rPr>
              <w:t>Exhibit Description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Form</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 No.</w:t>
            </w:r>
          </w:p>
        </w:tc>
        <w:tc>
          <w:tcPr>
            <w:tcW w:w="106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w w:val="96"/>
              </w:rPr>
              <w:t>Exhibit</w:t>
            </w:r>
          </w:p>
        </w:tc>
        <w:tc>
          <w:tcPr>
            <w:tcW w:w="1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Filing Date</w:t>
            </w:r>
          </w:p>
        </w:tc>
        <w:tc>
          <w:tcPr>
            <w:tcW w:w="1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Filed / Furnished Herewith</w:t>
            </w:r>
          </w:p>
        </w:tc>
      </w:tr>
      <w:tr>
        <w:trPr>
          <w:trHeight w:val="22"/>
        </w:trPr>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60"/>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4020" w:type="dxa"/>
            <w:vAlign w:val="bottom"/>
            <w:gridSpan w:val="9"/>
          </w:tcPr>
          <w:p>
            <w:pPr>
              <w:spacing w:after="0"/>
              <w:rPr>
                <w:rFonts w:ascii="Times New Roman" w:cs="Times New Roman" w:eastAsia="Times New Roman" w:hAnsi="Times New Roman"/>
                <w:sz w:val="14"/>
                <w:szCs w:val="14"/>
                <w:color w:val="0000FF"/>
              </w:rPr>
            </w:pPr>
            <w:hyperlink r:id="rId56">
              <w:r>
                <w:rPr>
                  <w:rFonts w:ascii="Times New Roman" w:cs="Times New Roman" w:eastAsia="Times New Roman" w:hAnsi="Times New Roman"/>
                  <w:sz w:val="14"/>
                  <w:szCs w:val="14"/>
                  <w:color w:val="0000FF"/>
                </w:rPr>
                <w:t>Certificate of Incorporation of Brilliant Earth Group, Inc.</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001-40836</w:t>
            </w:r>
          </w:p>
        </w:tc>
        <w:tc>
          <w:tcPr>
            <w:tcW w:w="106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3.1</w:t>
            </w:r>
          </w:p>
        </w:tc>
        <w:tc>
          <w:tcPr>
            <w:tcW w:w="1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12/22/2025</w:t>
            </w:r>
          </w:p>
        </w:tc>
        <w:tc>
          <w:tcPr>
            <w:tcW w:w="1680" w:type="dxa"/>
            <w:vAlign w:val="bottom"/>
          </w:tcPr>
          <w:p>
            <w:pPr>
              <w:spacing w:after="0"/>
              <w:rPr>
                <w:sz w:val="13"/>
                <w:szCs w:val="13"/>
                <w:color w:val="auto"/>
              </w:rPr>
            </w:pPr>
          </w:p>
        </w:tc>
      </w:tr>
      <w:tr>
        <w:trPr>
          <w:trHeight w:val="19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3140" w:type="dxa"/>
            <w:vAlign w:val="bottom"/>
            <w:tcBorders>
              <w:top w:val="single" w:sz="8" w:color="0000FF"/>
            </w:tcBorders>
            <w:gridSpan w:val="4"/>
          </w:tcPr>
          <w:p>
            <w:pPr>
              <w:spacing w:after="0"/>
              <w:rPr>
                <w:rFonts w:ascii="Times New Roman" w:cs="Times New Roman" w:eastAsia="Times New Roman" w:hAnsi="Times New Roman"/>
                <w:sz w:val="14"/>
                <w:szCs w:val="14"/>
                <w:color w:val="0000FF"/>
              </w:rPr>
            </w:pPr>
            <w:hyperlink r:id="rId57">
              <w:r>
                <w:rPr>
                  <w:rFonts w:ascii="Times New Roman" w:cs="Times New Roman" w:eastAsia="Times New Roman" w:hAnsi="Times New Roman"/>
                  <w:sz w:val="14"/>
                  <w:szCs w:val="14"/>
                  <w:color w:val="0000FF"/>
                </w:rPr>
                <w:t>Bylaws of Brilliant Earth Group, Inc.</w:t>
              </w:r>
            </w:hyperlink>
          </w:p>
        </w:tc>
        <w:tc>
          <w:tcPr>
            <w:tcW w:w="880" w:type="dxa"/>
            <w:vAlign w:val="bottom"/>
            <w:gridSpan w:val="5"/>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001-40836</w:t>
            </w:r>
          </w:p>
        </w:tc>
        <w:tc>
          <w:tcPr>
            <w:tcW w:w="106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3.2</w:t>
            </w:r>
          </w:p>
        </w:tc>
        <w:tc>
          <w:tcPr>
            <w:tcW w:w="1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12/22/2025</w:t>
            </w:r>
          </w:p>
        </w:tc>
        <w:tc>
          <w:tcPr>
            <w:tcW w:w="168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31.1</w:t>
            </w:r>
          </w:p>
        </w:tc>
        <w:tc>
          <w:tcPr>
            <w:tcW w:w="40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w w:val="97"/>
              </w:rPr>
              <w:t>Certification of Chief Executive Officer pursuant to Rule 13a-14(a)/15d-</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1160" w:type="dxa"/>
            <w:vAlign w:val="bottom"/>
          </w:tcPr>
          <w:p>
            <w:pPr>
              <w:spacing w:after="0"/>
              <w:rPr>
                <w:sz w:val="13"/>
                <w:szCs w:val="13"/>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0"/>
              </w:rPr>
              <w:t>14(a).</w:t>
            </w:r>
          </w:p>
        </w:tc>
        <w:tc>
          <w:tcPr>
            <w:tcW w:w="3700" w:type="dxa"/>
            <w:vAlign w:val="bottom"/>
            <w:gridSpan w:val="7"/>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9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31.2</w:t>
            </w:r>
          </w:p>
        </w:tc>
        <w:tc>
          <w:tcPr>
            <w:tcW w:w="39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w w:val="97"/>
              </w:rPr>
              <w:t>Certification of Chief Financial Officer pursuant to Rule 13a-14(a)/15d-</w:t>
            </w:r>
          </w:p>
        </w:tc>
        <w:tc>
          <w:tcPr>
            <w:tcW w:w="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1160" w:type="dxa"/>
            <w:vAlign w:val="bottom"/>
          </w:tcPr>
          <w:p>
            <w:pPr>
              <w:spacing w:after="0"/>
              <w:rPr>
                <w:sz w:val="13"/>
                <w:szCs w:val="13"/>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0"/>
              </w:rPr>
              <w:t>14(a).</w:t>
            </w:r>
          </w:p>
        </w:tc>
        <w:tc>
          <w:tcPr>
            <w:tcW w:w="3700" w:type="dxa"/>
            <w:vAlign w:val="bottom"/>
            <w:gridSpan w:val="7"/>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9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32.1</w:t>
            </w:r>
          </w:p>
        </w:tc>
        <w:tc>
          <w:tcPr>
            <w:tcW w:w="40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18 U.S.C. Section</w:t>
            </w: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r>
      <w:tr>
        <w:trPr>
          <w:trHeight w:val="160"/>
        </w:trPr>
        <w:tc>
          <w:tcPr>
            <w:tcW w:w="1160" w:type="dxa"/>
            <w:vAlign w:val="bottom"/>
          </w:tcPr>
          <w:p>
            <w:pPr>
              <w:spacing w:after="0"/>
              <w:rPr>
                <w:sz w:val="13"/>
                <w:szCs w:val="13"/>
                <w:color w:val="auto"/>
              </w:rPr>
            </w:pPr>
          </w:p>
        </w:tc>
        <w:tc>
          <w:tcPr>
            <w:tcW w:w="3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8"/>
              </w:rPr>
              <w:t>1350.</w:t>
            </w:r>
          </w:p>
        </w:tc>
        <w:tc>
          <w:tcPr>
            <w:tcW w:w="20" w:type="dxa"/>
            <w:vAlign w:val="bottom"/>
            <w:tcBorders>
              <w:top w:val="single" w:sz="8" w:color="0000FF"/>
            </w:tcBorders>
          </w:tcPr>
          <w:p>
            <w:pPr>
              <w:spacing w:after="0"/>
              <w:rPr>
                <w:sz w:val="13"/>
                <w:szCs w:val="13"/>
                <w:color w:val="auto"/>
              </w:rPr>
            </w:pPr>
          </w:p>
        </w:tc>
        <w:tc>
          <w:tcPr>
            <w:tcW w:w="172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9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32.2</w:t>
            </w:r>
          </w:p>
        </w:tc>
        <w:tc>
          <w:tcPr>
            <w:tcW w:w="40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18 U.S.C. Section</w:t>
            </w: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r>
      <w:tr>
        <w:trPr>
          <w:trHeight w:val="160"/>
        </w:trPr>
        <w:tc>
          <w:tcPr>
            <w:tcW w:w="1160" w:type="dxa"/>
            <w:vAlign w:val="bottom"/>
          </w:tcPr>
          <w:p>
            <w:pPr>
              <w:spacing w:after="0"/>
              <w:rPr>
                <w:sz w:val="13"/>
                <w:szCs w:val="13"/>
                <w:color w:val="auto"/>
              </w:rPr>
            </w:pPr>
          </w:p>
        </w:tc>
        <w:tc>
          <w:tcPr>
            <w:tcW w:w="3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8"/>
              </w:rPr>
              <w:t>1350.</w:t>
            </w:r>
          </w:p>
        </w:tc>
        <w:tc>
          <w:tcPr>
            <w:tcW w:w="20" w:type="dxa"/>
            <w:vAlign w:val="bottom"/>
            <w:tcBorders>
              <w:top w:val="single" w:sz="8" w:color="0000FF"/>
            </w:tcBorders>
          </w:tcPr>
          <w:p>
            <w:pPr>
              <w:spacing w:after="0"/>
              <w:rPr>
                <w:sz w:val="13"/>
                <w:szCs w:val="13"/>
                <w:color w:val="auto"/>
              </w:rPr>
            </w:pPr>
          </w:p>
        </w:tc>
        <w:tc>
          <w:tcPr>
            <w:tcW w:w="172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28"/>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101.INS</w:t>
            </w:r>
          </w:p>
        </w:tc>
        <w:tc>
          <w:tcPr>
            <w:tcW w:w="40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w:t>
            </w: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1160" w:type="dxa"/>
            <w:vAlign w:val="bottom"/>
          </w:tcPr>
          <w:p>
            <w:pPr>
              <w:spacing w:after="0"/>
              <w:rPr>
                <w:sz w:val="14"/>
                <w:szCs w:val="14"/>
                <w:color w:val="auto"/>
              </w:rPr>
            </w:pPr>
          </w:p>
        </w:tc>
        <w:tc>
          <w:tcPr>
            <w:tcW w:w="4020" w:type="dxa"/>
            <w:vAlign w:val="bottom"/>
            <w:gridSpan w:val="9"/>
          </w:tcPr>
          <w:p>
            <w:pPr>
              <w:spacing w:after="0"/>
              <w:rPr>
                <w:sz w:val="20"/>
                <w:szCs w:val="20"/>
                <w:color w:val="auto"/>
              </w:rPr>
            </w:pPr>
            <w:r>
              <w:rPr>
                <w:rFonts w:ascii="Times New Roman" w:cs="Times New Roman" w:eastAsia="Times New Roman" w:hAnsi="Times New Roman"/>
                <w:sz w:val="14"/>
                <w:szCs w:val="14"/>
                <w:color w:val="auto"/>
                <w:w w:val="99"/>
              </w:rPr>
              <w:t>appear in the Interactive Data File because its XBRL tags are embedded</w:t>
            </w: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8"/>
        </w:trPr>
        <w:tc>
          <w:tcPr>
            <w:tcW w:w="1160" w:type="dxa"/>
            <w:vAlign w:val="bottom"/>
          </w:tcPr>
          <w:p>
            <w:pPr>
              <w:spacing w:after="0"/>
              <w:rPr>
                <w:sz w:val="15"/>
                <w:szCs w:val="15"/>
                <w:color w:val="auto"/>
              </w:rPr>
            </w:pPr>
          </w:p>
        </w:tc>
        <w:tc>
          <w:tcPr>
            <w:tcW w:w="40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within the Inline XBRL document.</w:t>
            </w: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101.SCH</w:t>
            </w:r>
          </w:p>
        </w:tc>
        <w:tc>
          <w:tcPr>
            <w:tcW w:w="40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1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101.CAL</w:t>
            </w:r>
          </w:p>
        </w:tc>
        <w:tc>
          <w:tcPr>
            <w:tcW w:w="40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1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101.DEF</w:t>
            </w:r>
          </w:p>
        </w:tc>
        <w:tc>
          <w:tcPr>
            <w:tcW w:w="40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1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101.LAB</w:t>
            </w:r>
          </w:p>
        </w:tc>
        <w:tc>
          <w:tcPr>
            <w:tcW w:w="40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1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101.PRE</w:t>
            </w:r>
          </w:p>
        </w:tc>
        <w:tc>
          <w:tcPr>
            <w:tcW w:w="40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1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40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w:t>
            </w: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160" w:type="dxa"/>
            <w:vAlign w:val="bottom"/>
          </w:tcPr>
          <w:p>
            <w:pPr>
              <w:spacing w:after="0"/>
              <w:rPr>
                <w:sz w:val="15"/>
                <w:szCs w:val="15"/>
                <w:color w:val="auto"/>
              </w:rPr>
            </w:pPr>
          </w:p>
        </w:tc>
        <w:tc>
          <w:tcPr>
            <w:tcW w:w="40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contained in Exhibit 101)</w:t>
            </w: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80" w:type="dxa"/>
            <w:vAlign w:val="bottom"/>
          </w:tcPr>
          <w:p>
            <w:pPr>
              <w:spacing w:after="0"/>
              <w:rPr>
                <w:sz w:val="15"/>
                <w:szCs w:val="15"/>
                <w:color w:val="auto"/>
              </w:rPr>
            </w:pPr>
          </w:p>
        </w:tc>
      </w:tr>
    </w:tbl>
    <w:p>
      <w:pPr>
        <w:spacing w:after="0" w:line="350" w:lineRule="exact"/>
        <w:rPr>
          <w:sz w:val="20"/>
          <w:szCs w:val="20"/>
          <w:color w:val="auto"/>
        </w:rPr>
      </w:pPr>
    </w:p>
    <w:p>
      <w:pPr>
        <w:ind w:left="1160" w:hanging="624"/>
        <w:spacing w:after="0"/>
        <w:tabs>
          <w:tab w:leader="none" w:pos="11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58" w:lineRule="exact"/>
        <w:rPr>
          <w:sz w:val="20"/>
          <w:szCs w:val="20"/>
          <w:color w:val="auto"/>
        </w:rPr>
      </w:pPr>
    </w:p>
    <w:p>
      <w:pPr>
        <w:ind w:left="1160" w:hanging="658"/>
        <w:spacing w:after="0"/>
        <w:tabs>
          <w:tab w:leader="none" w:pos="1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Pursuant to the requirements of the Securities Act of 1934, the registrant has duly caused this report to be signed on its behalf by the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240" w:type="dxa"/>
            <w:vAlign w:val="bottom"/>
          </w:tcPr>
          <w:p>
            <w:pPr>
              <w:spacing w:after="0"/>
              <w:rPr>
                <w:sz w:val="20"/>
                <w:szCs w:val="20"/>
                <w:color w:val="auto"/>
              </w:rPr>
            </w:pPr>
            <w:r>
              <w:rPr>
                <w:rFonts w:ascii="Times New Roman" w:cs="Times New Roman" w:eastAsia="Times New Roman" w:hAnsi="Times New Roman"/>
                <w:sz w:val="19"/>
                <w:szCs w:val="19"/>
                <w:color w:val="auto"/>
              </w:rPr>
              <w:t>undersigned, thereunto duly authorized.</w:t>
            </w:r>
          </w:p>
        </w:tc>
        <w:tc>
          <w:tcPr>
            <w:tcW w:w="6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444"/>
        </w:trPr>
        <w:tc>
          <w:tcPr>
            <w:tcW w:w="924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98"/>
              </w:rPr>
              <w:t>Brilliant Earth Group, Inc.</w:t>
            </w:r>
          </w:p>
        </w:tc>
      </w:tr>
      <w:tr>
        <w:trPr>
          <w:trHeight w:val="421"/>
        </w:trPr>
        <w:tc>
          <w:tcPr>
            <w:tcW w:w="9240" w:type="dxa"/>
            <w:vAlign w:val="bottom"/>
          </w:tcPr>
          <w:p>
            <w:pPr>
              <w:ind w:left="8280"/>
              <w:spacing w:after="0"/>
              <w:rPr>
                <w:sz w:val="20"/>
                <w:szCs w:val="20"/>
                <w:color w:val="auto"/>
              </w:rPr>
            </w:pPr>
            <w:r>
              <w:rPr>
                <w:rFonts w:ascii="Times New Roman" w:cs="Times New Roman" w:eastAsia="Times New Roman" w:hAnsi="Times New Roman"/>
                <w:sz w:val="19"/>
                <w:szCs w:val="19"/>
                <w:color w:val="auto"/>
                <w:w w:val="97"/>
              </w:rPr>
              <w:t>May 7, 2026</w:t>
            </w:r>
          </w:p>
        </w:tc>
        <w:tc>
          <w:tcPr>
            <w:tcW w:w="62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6"/>
              </w:rPr>
              <w:t>By:/s/ Jeffrey Kuo</w:t>
            </w:r>
          </w:p>
        </w:tc>
      </w:tr>
      <w:tr>
        <w:trPr>
          <w:trHeight w:val="230"/>
        </w:trPr>
        <w:tc>
          <w:tcPr>
            <w:tcW w:w="9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Jeffrey Kuo</w:t>
            </w:r>
          </w:p>
        </w:tc>
      </w:tr>
      <w:tr>
        <w:trPr>
          <w:trHeight w:val="244"/>
        </w:trPr>
        <w:tc>
          <w:tcPr>
            <w:tcW w:w="9240" w:type="dxa"/>
            <w:vAlign w:val="bottom"/>
          </w:tcPr>
          <w:p>
            <w:pPr>
              <w:spacing w:after="0"/>
              <w:rPr>
                <w:sz w:val="21"/>
                <w:szCs w:val="21"/>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Chief Financial Officer</w:t>
            </w:r>
          </w:p>
        </w:tc>
      </w:tr>
    </w:tbl>
    <w:p>
      <w:pPr>
        <w:jc w:val="right"/>
        <w:spacing w:after="0"/>
        <w:rPr>
          <w:sz w:val="20"/>
          <w:szCs w:val="20"/>
          <w:color w:val="auto"/>
        </w:rPr>
      </w:pPr>
      <w:r>
        <w:rPr>
          <w:rFonts w:ascii="Times New Roman" w:cs="Times New Roman" w:eastAsia="Times New Roman" w:hAnsi="Times New Roman"/>
          <w:sz w:val="19"/>
          <w:szCs w:val="19"/>
          <w:i w:val="1"/>
          <w:i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1240"/>
          </w:cols>
          <w:pgMar w:left="320" w:top="132"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1"/>
          <w:szCs w:val="2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Beth Gerstein, certify that:</w:t>
      </w:r>
    </w:p>
    <w:p>
      <w:pPr>
        <w:spacing w:after="0" w:line="194" w:lineRule="exact"/>
        <w:rPr>
          <w:sz w:val="20"/>
          <w:szCs w:val="20"/>
          <w:color w:val="auto"/>
        </w:rPr>
      </w:pPr>
    </w:p>
    <w:p>
      <w:pPr>
        <w:ind w:left="620" w:hanging="307"/>
        <w:spacing w:after="0"/>
        <w:tabs>
          <w:tab w:leader="none" w:pos="620" w:val="left"/>
        </w:tabs>
        <w:numPr>
          <w:ilvl w:val="1"/>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Quarterly Report on Form 10-Q of Brilliant Earth Group, Inc.;</w:t>
      </w:r>
    </w:p>
    <w:p>
      <w:pPr>
        <w:spacing w:after="0" w:line="206" w:lineRule="exact"/>
        <w:rPr>
          <w:rFonts w:ascii="Times New Roman" w:cs="Times New Roman" w:eastAsia="Times New Roman" w:hAnsi="Times New Roman"/>
          <w:sz w:val="19"/>
          <w:szCs w:val="19"/>
          <w:color w:val="auto"/>
        </w:rPr>
      </w:pPr>
    </w:p>
    <w:p>
      <w:pPr>
        <w:jc w:val="both"/>
        <w:ind w:firstLine="3"/>
        <w:spacing w:after="0" w:line="226" w:lineRule="auto"/>
        <w:tabs>
          <w:tab w:leader="none" w:pos="309"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9"/>
          <w:szCs w:val="19"/>
          <w:color w:val="auto"/>
        </w:rPr>
      </w:pPr>
    </w:p>
    <w:p>
      <w:pPr>
        <w:ind w:firstLine="3"/>
        <w:spacing w:after="0"/>
        <w:tabs>
          <w:tab w:leader="none" w:pos="309"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Times New Roman" w:cs="Times New Roman" w:eastAsia="Times New Roman" w:hAnsi="Times New Roman"/>
          <w:sz w:val="19"/>
          <w:szCs w:val="19"/>
          <w:color w:val="auto"/>
        </w:rPr>
      </w:pPr>
    </w:p>
    <w:p>
      <w:pPr>
        <w:jc w:val="both"/>
        <w:ind w:firstLine="3"/>
        <w:spacing w:after="0" w:line="231" w:lineRule="auto"/>
        <w:tabs>
          <w:tab w:leader="none" w:pos="309"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9"/>
          <w:szCs w:val="19"/>
          <w:color w:val="auto"/>
        </w:rPr>
      </w:pPr>
    </w:p>
    <w:p>
      <w:pPr>
        <w:jc w:val="both"/>
        <w:ind w:firstLine="622"/>
        <w:spacing w:after="0" w:line="231" w:lineRule="auto"/>
        <w:tabs>
          <w:tab w:leader="none" w:pos="920" w:val="left"/>
        </w:tabs>
        <w:numPr>
          <w:ilvl w:val="3"/>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9"/>
          <w:szCs w:val="19"/>
          <w:color w:val="auto"/>
        </w:rPr>
      </w:pPr>
    </w:p>
    <w:p>
      <w:pPr>
        <w:ind w:right="40" w:firstLine="622"/>
        <w:spacing w:after="0" w:line="231" w:lineRule="auto"/>
        <w:tabs>
          <w:tab w:leader="none" w:pos="886" w:val="left"/>
        </w:tabs>
        <w:numPr>
          <w:ilvl w:val="3"/>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Times New Roman" w:cs="Times New Roman" w:eastAsia="Times New Roman" w:hAnsi="Times New Roman"/>
          <w:sz w:val="19"/>
          <w:szCs w:val="19"/>
          <w:color w:val="auto"/>
        </w:rPr>
      </w:pPr>
    </w:p>
    <w:p>
      <w:pPr>
        <w:ind w:firstLine="622"/>
        <w:spacing w:after="0"/>
        <w:tabs>
          <w:tab w:leader="none" w:pos="885" w:val="left"/>
        </w:tabs>
        <w:numPr>
          <w:ilvl w:val="3"/>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Times New Roman" w:cs="Times New Roman" w:eastAsia="Times New Roman" w:hAnsi="Times New Roman"/>
          <w:sz w:val="19"/>
          <w:szCs w:val="19"/>
          <w:color w:val="auto"/>
        </w:rPr>
      </w:pPr>
    </w:p>
    <w:p>
      <w:pPr>
        <w:ind w:right="140" w:firstLine="622"/>
        <w:spacing w:after="0" w:line="231" w:lineRule="auto"/>
        <w:tabs>
          <w:tab w:leader="none" w:pos="886" w:val="left"/>
        </w:tabs>
        <w:numPr>
          <w:ilvl w:val="3"/>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Times New Roman" w:cs="Times New Roman" w:eastAsia="Times New Roman" w:hAnsi="Times New Roman"/>
          <w:sz w:val="19"/>
          <w:szCs w:val="19"/>
          <w:color w:val="auto"/>
        </w:rPr>
      </w:pPr>
    </w:p>
    <w:p>
      <w:pPr>
        <w:ind w:firstLine="3"/>
        <w:spacing w:after="0"/>
        <w:tabs>
          <w:tab w:leader="none" w:pos="199"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19"/>
          <w:szCs w:val="19"/>
          <w:color w:val="auto"/>
        </w:rPr>
      </w:pPr>
    </w:p>
    <w:p>
      <w:pPr>
        <w:ind w:firstLine="336"/>
        <w:spacing w:after="0" w:line="233" w:lineRule="auto"/>
        <w:tabs>
          <w:tab w:leader="none" w:pos="625" w:val="left"/>
        </w:tabs>
        <w:numPr>
          <w:ilvl w:val="2"/>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sz w:val="20"/>
          <w:szCs w:val="20"/>
          <w:color w:val="auto"/>
        </w:rPr>
      </w:pPr>
    </w:p>
    <w:p>
      <w:pPr>
        <w:ind w:firstLine="270"/>
        <w:spacing w:after="0"/>
        <w:tabs>
          <w:tab w:leader="none" w:pos="554"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May 7, 2026</w:t>
      </w:r>
    </w:p>
    <w:p>
      <w:pPr>
        <w:ind w:left="4340"/>
        <w:spacing w:after="0" w:line="212" w:lineRule="auto"/>
        <w:rPr>
          <w:sz w:val="20"/>
          <w:szCs w:val="20"/>
          <w:color w:val="auto"/>
        </w:rPr>
      </w:pPr>
      <w:r>
        <w:rPr>
          <w:rFonts w:ascii="Times New Roman" w:cs="Times New Roman" w:eastAsia="Times New Roman" w:hAnsi="Times New Roman"/>
          <w:sz w:val="19"/>
          <w:szCs w:val="19"/>
          <w:color w:val="auto"/>
        </w:rPr>
        <w:t>By: /s/ Beth Gerstein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-6985</wp:posOffset>
            </wp:positionV>
            <wp:extent cx="13462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4340"/>
        <w:spacing w:after="0" w:line="198" w:lineRule="auto"/>
        <w:rPr>
          <w:sz w:val="20"/>
          <w:szCs w:val="20"/>
          <w:color w:val="auto"/>
        </w:rPr>
      </w:pPr>
      <w:r>
        <w:rPr>
          <w:rFonts w:ascii="Times New Roman" w:cs="Times New Roman" w:eastAsia="Times New Roman" w:hAnsi="Times New Roman"/>
          <w:sz w:val="19"/>
          <w:szCs w:val="19"/>
          <w:color w:val="auto"/>
        </w:rPr>
        <w:t>Name: Beth Gerstein</w:t>
      </w:r>
    </w:p>
    <w:p>
      <w:pPr>
        <w:ind w:left="4340"/>
        <w:spacing w:after="0" w:line="213" w:lineRule="auto"/>
        <w:rPr>
          <w:sz w:val="20"/>
          <w:szCs w:val="20"/>
          <w:color w:val="auto"/>
        </w:rPr>
      </w:pPr>
      <w:r>
        <w:rPr>
          <w:rFonts w:ascii="Times New Roman" w:cs="Times New Roman" w:eastAsia="Times New Roman" w:hAnsi="Times New Roman"/>
          <w:sz w:val="19"/>
          <w:szCs w:val="19"/>
          <w:color w:val="auto"/>
        </w:rPr>
        <w:t>Title: Chief Executive Officer</w:t>
      </w:r>
    </w:p>
    <w:p>
      <w:pPr>
        <w:ind w:left="4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Principal Executive Officer</w:t>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100"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1"/>
          <w:szCs w:val="2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Jeffrey Kuo, certify that:</w:t>
      </w:r>
    </w:p>
    <w:p>
      <w:pPr>
        <w:spacing w:after="0" w:line="207" w:lineRule="exact"/>
        <w:rPr>
          <w:sz w:val="20"/>
          <w:szCs w:val="20"/>
          <w:color w:val="auto"/>
        </w:rPr>
      </w:pPr>
    </w:p>
    <w:p>
      <w:pPr>
        <w:ind w:left="620" w:hanging="307"/>
        <w:spacing w:after="0"/>
        <w:tabs>
          <w:tab w:leader="none" w:pos="620" w:val="left"/>
        </w:tabs>
        <w:numPr>
          <w:ilvl w:val="1"/>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Quarterly Report on Form 10-Q of Brilliant Earth Group, Inc.;</w:t>
      </w:r>
    </w:p>
    <w:p>
      <w:pPr>
        <w:spacing w:after="0" w:line="194" w:lineRule="exact"/>
        <w:rPr>
          <w:rFonts w:ascii="Times New Roman" w:cs="Times New Roman" w:eastAsia="Times New Roman" w:hAnsi="Times New Roman"/>
          <w:sz w:val="19"/>
          <w:szCs w:val="19"/>
          <w:color w:val="auto"/>
        </w:rPr>
      </w:pPr>
    </w:p>
    <w:p>
      <w:pPr>
        <w:jc w:val="both"/>
        <w:ind w:firstLine="3"/>
        <w:spacing w:after="0" w:line="231" w:lineRule="auto"/>
        <w:tabs>
          <w:tab w:leader="none" w:pos="309"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Times New Roman" w:cs="Times New Roman" w:eastAsia="Times New Roman" w:hAnsi="Times New Roman"/>
          <w:sz w:val="19"/>
          <w:szCs w:val="19"/>
          <w:color w:val="auto"/>
        </w:rPr>
      </w:pPr>
    </w:p>
    <w:p>
      <w:pPr>
        <w:ind w:firstLine="3"/>
        <w:spacing w:after="0"/>
        <w:tabs>
          <w:tab w:leader="none" w:pos="309"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19"/>
          <w:szCs w:val="19"/>
          <w:color w:val="auto"/>
        </w:rPr>
      </w:pPr>
    </w:p>
    <w:p>
      <w:pPr>
        <w:jc w:val="both"/>
        <w:ind w:firstLine="3"/>
        <w:spacing w:after="0" w:line="226" w:lineRule="auto"/>
        <w:tabs>
          <w:tab w:leader="none" w:pos="309"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9"/>
          <w:szCs w:val="19"/>
          <w:color w:val="auto"/>
        </w:rPr>
      </w:pPr>
    </w:p>
    <w:p>
      <w:pPr>
        <w:jc w:val="both"/>
        <w:ind w:firstLine="622"/>
        <w:spacing w:after="0" w:line="226" w:lineRule="auto"/>
        <w:tabs>
          <w:tab w:leader="none" w:pos="920" w:val="left"/>
        </w:tabs>
        <w:numPr>
          <w:ilvl w:val="2"/>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9"/>
          <w:szCs w:val="19"/>
          <w:color w:val="auto"/>
        </w:rPr>
      </w:pPr>
    </w:p>
    <w:p>
      <w:pPr>
        <w:ind w:right="40" w:firstLine="622"/>
        <w:spacing w:after="0" w:line="226" w:lineRule="auto"/>
        <w:tabs>
          <w:tab w:leader="none" w:pos="886" w:val="left"/>
        </w:tabs>
        <w:numPr>
          <w:ilvl w:val="2"/>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Times New Roman" w:cs="Times New Roman" w:eastAsia="Times New Roman" w:hAnsi="Times New Roman"/>
          <w:sz w:val="19"/>
          <w:szCs w:val="19"/>
          <w:color w:val="auto"/>
        </w:rPr>
      </w:pPr>
    </w:p>
    <w:p>
      <w:pPr>
        <w:ind w:firstLine="622"/>
        <w:spacing w:after="0" w:line="233" w:lineRule="auto"/>
        <w:tabs>
          <w:tab w:leader="none" w:pos="885" w:val="left"/>
        </w:tabs>
        <w:numPr>
          <w:ilvl w:val="2"/>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19"/>
          <w:szCs w:val="19"/>
          <w:color w:val="auto"/>
        </w:rPr>
      </w:pPr>
    </w:p>
    <w:p>
      <w:pPr>
        <w:jc w:val="both"/>
        <w:ind w:firstLine="622"/>
        <w:spacing w:after="0" w:line="226" w:lineRule="auto"/>
        <w:tabs>
          <w:tab w:leader="none" w:pos="893" w:val="left"/>
        </w:tabs>
        <w:numPr>
          <w:ilvl w:val="2"/>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Times New Roman" w:cs="Times New Roman" w:eastAsia="Times New Roman" w:hAnsi="Times New Roman"/>
          <w:sz w:val="19"/>
          <w:szCs w:val="19"/>
          <w:color w:val="auto"/>
        </w:rPr>
      </w:pPr>
    </w:p>
    <w:p>
      <w:pPr>
        <w:ind w:firstLine="3"/>
        <w:spacing w:after="0" w:line="233" w:lineRule="auto"/>
        <w:tabs>
          <w:tab w:leader="none" w:pos="309"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19"/>
          <w:szCs w:val="19"/>
          <w:color w:val="auto"/>
        </w:rPr>
      </w:pPr>
    </w:p>
    <w:p>
      <w:pPr>
        <w:ind w:right="400" w:firstLine="622"/>
        <w:spacing w:after="0"/>
        <w:tabs>
          <w:tab w:leader="none" w:pos="876" w:val="left"/>
        </w:tabs>
        <w:numPr>
          <w:ilvl w:val="2"/>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Times New Roman" w:cs="Times New Roman" w:eastAsia="Times New Roman" w:hAnsi="Times New Roman"/>
          <w:sz w:val="19"/>
          <w:szCs w:val="19"/>
          <w:color w:val="auto"/>
        </w:rPr>
      </w:pPr>
    </w:p>
    <w:p>
      <w:pPr>
        <w:ind w:right="60" w:firstLine="622"/>
        <w:spacing w:after="0"/>
        <w:tabs>
          <w:tab w:leader="none" w:pos="886" w:val="left"/>
        </w:tabs>
        <w:numPr>
          <w:ilvl w:val="2"/>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May 7, 2026</w:t>
      </w:r>
    </w:p>
    <w:p>
      <w:pPr>
        <w:ind w:left="4340"/>
        <w:spacing w:after="0" w:line="217" w:lineRule="auto"/>
        <w:rPr>
          <w:sz w:val="20"/>
          <w:szCs w:val="20"/>
          <w:color w:val="auto"/>
        </w:rPr>
      </w:pPr>
      <w:r>
        <w:rPr>
          <w:rFonts w:ascii="Times New Roman" w:cs="Times New Roman" w:eastAsia="Times New Roman" w:hAnsi="Times New Roman"/>
          <w:sz w:val="19"/>
          <w:szCs w:val="19"/>
          <w:color w:val="auto"/>
        </w:rPr>
        <w:t xml:space="preserve">By: /s/ </w:t>
      </w:r>
      <w:r>
        <w:rPr>
          <w:rFonts w:ascii="Times New Roman" w:cs="Times New Roman" w:eastAsia="Times New Roman" w:hAnsi="Times New Roman"/>
          <w:sz w:val="20"/>
          <w:szCs w:val="20"/>
          <w:color w:val="auto"/>
        </w:rPr>
        <w:t>Jeffrey</w:t>
      </w:r>
      <w:r>
        <w:rPr>
          <w:rFonts w:ascii="Times New Roman" w:cs="Times New Roman" w:eastAsia="Times New Roman" w:hAnsi="Times New Roman"/>
          <w:sz w:val="19"/>
          <w:szCs w:val="19"/>
          <w:color w:val="auto"/>
        </w:rPr>
        <w:t xml:space="preserve"> Kuo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-6350</wp:posOffset>
            </wp:positionV>
            <wp:extent cx="8610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ind w:left="4340"/>
        <w:spacing w:after="0" w:line="213" w:lineRule="auto"/>
        <w:rPr>
          <w:sz w:val="20"/>
          <w:szCs w:val="20"/>
          <w:color w:val="auto"/>
        </w:rPr>
      </w:pPr>
      <w:r>
        <w:rPr>
          <w:rFonts w:ascii="Times New Roman" w:cs="Times New Roman" w:eastAsia="Times New Roman" w:hAnsi="Times New Roman"/>
          <w:sz w:val="19"/>
          <w:szCs w:val="19"/>
          <w:color w:val="auto"/>
        </w:rPr>
        <w:t>Name: Jeffrey Kuo</w:t>
      </w:r>
    </w:p>
    <w:p>
      <w:pPr>
        <w:ind w:left="4340"/>
        <w:spacing w:after="0" w:line="212" w:lineRule="auto"/>
        <w:rPr>
          <w:sz w:val="20"/>
          <w:szCs w:val="20"/>
          <w:color w:val="auto"/>
        </w:rPr>
      </w:pPr>
      <w:r>
        <w:rPr>
          <w:rFonts w:ascii="Times New Roman" w:cs="Times New Roman" w:eastAsia="Times New Roman" w:hAnsi="Times New Roman"/>
          <w:sz w:val="19"/>
          <w:szCs w:val="19"/>
          <w:color w:val="auto"/>
        </w:rPr>
        <w:t>Title: Chief Financial Officer</w:t>
      </w:r>
    </w:p>
    <w:p>
      <w:pPr>
        <w:spacing w:after="0" w:line="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Principal Financial Officer</w:t>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100"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1"/>
          <w:szCs w:val="2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Certification Pursuant to 18 U.S.C. Section 1350,</w:t>
      </w:r>
    </w:p>
    <w:p>
      <w:pPr>
        <w:jc w:val="center"/>
        <w:spacing w:after="0"/>
        <w:rPr>
          <w:sz w:val="20"/>
          <w:szCs w:val="20"/>
          <w:color w:val="auto"/>
        </w:rPr>
      </w:pPr>
      <w:r>
        <w:rPr>
          <w:rFonts w:ascii="Times New Roman" w:cs="Times New Roman" w:eastAsia="Times New Roman" w:hAnsi="Times New Roman"/>
          <w:sz w:val="19"/>
          <w:szCs w:val="19"/>
          <w:b w:val="1"/>
          <w:bCs w:val="1"/>
          <w:color w:val="auto"/>
        </w:rPr>
        <w:t>As Adopted Pursuant to Section 906 of the Sarbanes-Oxley Act of 2002</w:t>
      </w:r>
    </w:p>
    <w:p>
      <w:pPr>
        <w:spacing w:after="0" w:line="17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9"/>
          <w:szCs w:val="19"/>
          <w:color w:val="auto"/>
        </w:rPr>
        <w:t>In connection with the Quarterly Report on Form 10-Q of Brilliant Earth Group, Inc. (the “Company”) for the period ended March 31, 2026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168" w:lineRule="exact"/>
        <w:rPr>
          <w:sz w:val="20"/>
          <w:szCs w:val="20"/>
          <w:color w:val="auto"/>
        </w:rPr>
      </w:pPr>
    </w:p>
    <w:p>
      <w:pPr>
        <w:ind w:left="280" w:hanging="277"/>
        <w:spacing w:after="0"/>
        <w:tabs>
          <w:tab w:leader="none" w:pos="28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Section 15(d) of the Securities Exchange Act of 1934; and</w:t>
      </w:r>
    </w:p>
    <w:p>
      <w:pPr>
        <w:spacing w:after="0" w:line="206" w:lineRule="exact"/>
        <w:rPr>
          <w:rFonts w:ascii="Times New Roman" w:cs="Times New Roman" w:eastAsia="Times New Roman" w:hAnsi="Times New Roman"/>
          <w:sz w:val="19"/>
          <w:szCs w:val="19"/>
          <w:color w:val="auto"/>
        </w:rPr>
      </w:pPr>
    </w:p>
    <w:p>
      <w:pPr>
        <w:ind w:left="280" w:hanging="277"/>
        <w:spacing w:after="0"/>
        <w:tabs>
          <w:tab w:leader="none" w:pos="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May 7, 2026</w:t>
      </w:r>
    </w:p>
    <w:p>
      <w:pPr>
        <w:ind w:left="3720"/>
        <w:spacing w:after="0" w:line="212" w:lineRule="auto"/>
        <w:rPr>
          <w:sz w:val="20"/>
          <w:szCs w:val="20"/>
          <w:color w:val="auto"/>
        </w:rPr>
      </w:pPr>
      <w:r>
        <w:rPr>
          <w:rFonts w:ascii="Times New Roman" w:cs="Times New Roman" w:eastAsia="Times New Roman" w:hAnsi="Times New Roman"/>
          <w:sz w:val="19"/>
          <w:szCs w:val="19"/>
          <w:color w:val="auto"/>
        </w:rPr>
        <w:t>By: /s/ Beth Gerstein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2562860</wp:posOffset>
            </wp:positionH>
            <wp:positionV relativeFrom="paragraph">
              <wp:posOffset>-6985</wp:posOffset>
            </wp:positionV>
            <wp:extent cx="13462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3720"/>
        <w:spacing w:after="0" w:line="212" w:lineRule="auto"/>
        <w:rPr>
          <w:sz w:val="20"/>
          <w:szCs w:val="20"/>
          <w:color w:val="auto"/>
        </w:rPr>
      </w:pPr>
      <w:r>
        <w:rPr>
          <w:rFonts w:ascii="Times New Roman" w:cs="Times New Roman" w:eastAsia="Times New Roman" w:hAnsi="Times New Roman"/>
          <w:sz w:val="19"/>
          <w:szCs w:val="19"/>
          <w:color w:val="auto"/>
        </w:rPr>
        <w:t>Name: Beth Gerstein</w:t>
      </w:r>
    </w:p>
    <w:p>
      <w:pPr>
        <w:ind w:left="3720"/>
        <w:spacing w:after="0" w:line="199" w:lineRule="auto"/>
        <w:rPr>
          <w:sz w:val="20"/>
          <w:szCs w:val="20"/>
          <w:color w:val="auto"/>
        </w:rPr>
      </w:pPr>
      <w:r>
        <w:rPr>
          <w:rFonts w:ascii="Times New Roman" w:cs="Times New Roman" w:eastAsia="Times New Roman" w:hAnsi="Times New Roman"/>
          <w:sz w:val="19"/>
          <w:szCs w:val="19"/>
          <w:color w:val="auto"/>
        </w:rPr>
        <w:t>Title: Chief Executive Officer</w:t>
      </w:r>
    </w:p>
    <w:p>
      <w:pPr>
        <w:ind w:left="37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Principal Executive Officer</w:t>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100"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1"/>
          <w:szCs w:val="2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Certification Pursuant to 18 U.S.C. Section 1350,</w:t>
      </w:r>
    </w:p>
    <w:p>
      <w:pPr>
        <w:jc w:val="center"/>
        <w:spacing w:after="0"/>
        <w:rPr>
          <w:sz w:val="20"/>
          <w:szCs w:val="20"/>
          <w:color w:val="auto"/>
        </w:rPr>
      </w:pPr>
      <w:r>
        <w:rPr>
          <w:rFonts w:ascii="Times New Roman" w:cs="Times New Roman" w:eastAsia="Times New Roman" w:hAnsi="Times New Roman"/>
          <w:sz w:val="19"/>
          <w:szCs w:val="19"/>
          <w:b w:val="1"/>
          <w:bCs w:val="1"/>
          <w:color w:val="auto"/>
        </w:rPr>
        <w:t>As Adopted Pursuant to Section 906 of the Sarbanes-Oxley Act of 2002</w:t>
      </w:r>
    </w:p>
    <w:p>
      <w:pPr>
        <w:spacing w:after="0" w:line="17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9"/>
          <w:szCs w:val="19"/>
          <w:color w:val="auto"/>
        </w:rPr>
        <w:t>In connection with the Quarterly Report on Form 10-Q of Brilliant Earth Group, Inc. (the “Company”) for the period ended March 31, 2026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168" w:lineRule="exact"/>
        <w:rPr>
          <w:sz w:val="20"/>
          <w:szCs w:val="20"/>
          <w:color w:val="auto"/>
        </w:rPr>
      </w:pPr>
    </w:p>
    <w:p>
      <w:pPr>
        <w:ind w:left="280" w:hanging="277"/>
        <w:spacing w:after="0"/>
        <w:tabs>
          <w:tab w:leader="none" w:pos="28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Section 15(d) of the Securities Exchange Act of 1934; and</w:t>
      </w:r>
    </w:p>
    <w:p>
      <w:pPr>
        <w:spacing w:after="0" w:line="206" w:lineRule="exact"/>
        <w:rPr>
          <w:rFonts w:ascii="Times New Roman" w:cs="Times New Roman" w:eastAsia="Times New Roman" w:hAnsi="Times New Roman"/>
          <w:sz w:val="19"/>
          <w:szCs w:val="19"/>
          <w:color w:val="auto"/>
        </w:rPr>
      </w:pPr>
    </w:p>
    <w:p>
      <w:pPr>
        <w:ind w:left="280" w:hanging="277"/>
        <w:spacing w:after="0"/>
        <w:tabs>
          <w:tab w:leader="none" w:pos="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May 7, 2026</w:t>
      </w:r>
    </w:p>
    <w:p>
      <w:pPr>
        <w:ind w:left="3720"/>
        <w:spacing w:after="0" w:line="217" w:lineRule="auto"/>
        <w:rPr>
          <w:sz w:val="20"/>
          <w:szCs w:val="20"/>
          <w:color w:val="auto"/>
        </w:rPr>
      </w:pPr>
      <w:r>
        <w:rPr>
          <w:rFonts w:ascii="Times New Roman" w:cs="Times New Roman" w:eastAsia="Times New Roman" w:hAnsi="Times New Roman"/>
          <w:sz w:val="19"/>
          <w:szCs w:val="19"/>
          <w:color w:val="auto"/>
        </w:rPr>
        <w:t xml:space="preserve">By: /s/ </w:t>
      </w:r>
      <w:r>
        <w:rPr>
          <w:rFonts w:ascii="Times New Roman" w:cs="Times New Roman" w:eastAsia="Times New Roman" w:hAnsi="Times New Roman"/>
          <w:sz w:val="20"/>
          <w:szCs w:val="20"/>
          <w:color w:val="auto"/>
        </w:rPr>
        <w:t>Jeffrey</w:t>
      </w:r>
      <w:r>
        <w:rPr>
          <w:rFonts w:ascii="Times New Roman" w:cs="Times New Roman" w:eastAsia="Times New Roman" w:hAnsi="Times New Roman"/>
          <w:sz w:val="19"/>
          <w:szCs w:val="19"/>
          <w:color w:val="auto"/>
        </w:rPr>
        <w:t xml:space="preserve"> Kuo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2562860</wp:posOffset>
            </wp:positionH>
            <wp:positionV relativeFrom="paragraph">
              <wp:posOffset>-6350</wp:posOffset>
            </wp:positionV>
            <wp:extent cx="8610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ind w:left="3720"/>
        <w:spacing w:after="0" w:line="213" w:lineRule="auto"/>
        <w:rPr>
          <w:sz w:val="20"/>
          <w:szCs w:val="20"/>
          <w:color w:val="auto"/>
        </w:rPr>
      </w:pPr>
      <w:r>
        <w:rPr>
          <w:rFonts w:ascii="Times New Roman" w:cs="Times New Roman" w:eastAsia="Times New Roman" w:hAnsi="Times New Roman"/>
          <w:sz w:val="19"/>
          <w:szCs w:val="19"/>
          <w:color w:val="auto"/>
        </w:rPr>
        <w:t>Name: Jeffrey Kuo</w:t>
      </w:r>
    </w:p>
    <w:p>
      <w:pPr>
        <w:ind w:left="3720"/>
        <w:spacing w:after="0" w:line="212" w:lineRule="auto"/>
        <w:rPr>
          <w:sz w:val="20"/>
          <w:szCs w:val="20"/>
          <w:color w:val="auto"/>
        </w:rPr>
      </w:pPr>
      <w:r>
        <w:rPr>
          <w:rFonts w:ascii="Times New Roman" w:cs="Times New Roman" w:eastAsia="Times New Roman" w:hAnsi="Times New Roman"/>
          <w:sz w:val="19"/>
          <w:szCs w:val="19"/>
          <w:color w:val="auto"/>
        </w:rPr>
        <w:t>Title: Chief Financial Officer</w:t>
      </w:r>
    </w:p>
    <w:p>
      <w:pPr>
        <w:spacing w:after="0" w:line="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Principal Financial Officer</w:t>
      </w:r>
      <w:r>
        <w:rPr>
          <w:rFonts w:ascii="Times New Roman" w:cs="Times New Roman" w:eastAsia="Times New Roman" w:hAnsi="Times New Roman"/>
          <w:sz w:val="19"/>
          <w:szCs w:val="19"/>
          <w:color w:val="auto"/>
        </w:rPr>
        <w:t>)</w:t>
      </w:r>
    </w:p>
    <w:sectPr>
      <w:pgSz w:w="11900" w:h="16838" w:orient="portrait"/>
      <w:cols w:equalWidth="0" w:num="1">
        <w:col w:w="11240"/>
      </w:cols>
      <w:pgMar w:left="320" w:top="1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0">
    <w:nsid w:val="109CF92E"/>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1">
    <w:nsid w:val="DED7263"/>
    <w:multiLevelType w:val="hybridMultilevel"/>
    <w:lvl w:ilvl="0">
      <w:lvlJc w:val="left"/>
      <w:lvlText w:val="(%1)"/>
      <w:numFmt w:val="lowerLetter"/>
      <w:start w:val="2"/>
    </w:lvl>
  </w:abstractNum>
  <w:abstractNum w:abstractNumId="12">
    <w:nsid w:val="7FDCC23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3">
    <w:nsid w:val="1BEFD79F"/>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56" Type="http://schemas.openxmlformats.org/officeDocument/2006/relationships/hyperlink" Target="https://www.sec.gov/Archives/edgar/data/1866757/000114036125046408/ny20061505x1_ex3-1.htm" TargetMode="External"/><Relationship Id="rId57" Type="http://schemas.openxmlformats.org/officeDocument/2006/relationships/hyperlink" Target="https://www.sec.gov/Archives/edgar/data/1866757/000114036125046408/ny20061505x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2026-05-07T15:29:04Z</dcterms:created>
  <dcterms:modified xsi:type="dcterms:W3CDTF">2026-05-07T15:29:04Z</dcterms:modified>
</cp:coreProperties>
</file>