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63500</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41275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6" w:lineRule="exact"/>
        <w:rPr>
          <w:sz w:val="24"/>
          <w:szCs w:val="24"/>
          <w:color w:val="auto"/>
        </w:rPr>
      </w:pPr>
    </w:p>
    <w:p>
      <w:pPr>
        <w:ind w:left="4320"/>
        <w:spacing w:after="0"/>
        <w:tabs>
          <w:tab w:leader="none" w:pos="67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001-40836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63500</wp:posOffset>
            </wp:positionV>
            <wp:extent cx="2228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Brilliant Earth Group,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64135</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19"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532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right"/>
              <w:ind w:right="930"/>
              <w:spacing w:after="0"/>
              <w:rPr>
                <w:sz w:val="20"/>
                <w:szCs w:val="20"/>
                <w:color w:val="auto"/>
              </w:rPr>
            </w:pPr>
            <w:r>
              <w:rPr>
                <w:rFonts w:ascii="Arial" w:cs="Arial" w:eastAsia="Arial" w:hAnsi="Arial"/>
                <w:sz w:val="18"/>
                <w:szCs w:val="18"/>
                <w:b w:val="1"/>
                <w:bCs w:val="1"/>
                <w:color w:val="auto"/>
              </w:rPr>
              <w:t>87-1015499</w:t>
            </w:r>
          </w:p>
        </w:tc>
      </w:tr>
      <w:tr>
        <w:trPr>
          <w:trHeight w:val="27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60" w:type="dxa"/>
            <w:vAlign w:val="bottom"/>
          </w:tcPr>
          <w:p>
            <w:pPr>
              <w:jc w:val="center"/>
              <w:ind w:left="950"/>
              <w:spacing w:after="0"/>
              <w:rPr>
                <w:sz w:val="20"/>
                <w:szCs w:val="20"/>
                <w:color w:val="auto"/>
              </w:rPr>
            </w:pPr>
            <w:r>
              <w:rPr>
                <w:rFonts w:ascii="Arial" w:cs="Arial" w:eastAsia="Arial" w:hAnsi="Arial"/>
                <w:sz w:val="18"/>
                <w:szCs w:val="18"/>
                <w:color w:val="auto"/>
                <w:w w:val="93"/>
              </w:rPr>
              <w:t>(I.R.S. Employer Identification Number)</w:t>
            </w:r>
          </w:p>
        </w:tc>
      </w:tr>
      <w:tr>
        <w:trPr>
          <w:trHeight w:val="252"/>
        </w:trPr>
        <w:tc>
          <w:tcPr>
            <w:tcW w:w="5320" w:type="dxa"/>
            <w:vAlign w:val="bottom"/>
          </w:tcPr>
          <w:p>
            <w:pPr>
              <w:jc w:val="center"/>
              <w:ind w:right="950"/>
              <w:spacing w:after="0"/>
              <w:rPr>
                <w:sz w:val="20"/>
                <w:szCs w:val="20"/>
                <w:color w:val="auto"/>
              </w:rPr>
            </w:pPr>
            <w:r>
              <w:rPr>
                <w:rFonts w:ascii="Arial" w:cs="Arial" w:eastAsia="Arial" w:hAnsi="Arial"/>
                <w:sz w:val="18"/>
                <w:szCs w:val="18"/>
                <w:b w:val="1"/>
                <w:bCs w:val="1"/>
                <w:color w:val="auto"/>
                <w:w w:val="92"/>
              </w:rPr>
              <w:t>300 Grant Avenue, Third Floor</w:t>
            </w:r>
          </w:p>
        </w:tc>
        <w:tc>
          <w:tcPr>
            <w:tcW w:w="3960" w:type="dxa"/>
            <w:vAlign w:val="bottom"/>
          </w:tcPr>
          <w:p>
            <w:pPr>
              <w:spacing w:after="0"/>
              <w:rPr>
                <w:sz w:val="21"/>
                <w:szCs w:val="21"/>
                <w:color w:val="auto"/>
              </w:rPr>
            </w:pPr>
          </w:p>
        </w:tc>
      </w:tr>
      <w:tr>
        <w:trPr>
          <w:trHeight w:val="234"/>
        </w:trPr>
        <w:tc>
          <w:tcPr>
            <w:tcW w:w="532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San Francisco, CA</w:t>
            </w:r>
          </w:p>
        </w:tc>
        <w:tc>
          <w:tcPr>
            <w:tcW w:w="3960" w:type="dxa"/>
            <w:vAlign w:val="bottom"/>
          </w:tcPr>
          <w:p>
            <w:pPr>
              <w:jc w:val="right"/>
              <w:ind w:right="1150"/>
              <w:spacing w:after="0"/>
              <w:rPr>
                <w:sz w:val="20"/>
                <w:szCs w:val="20"/>
                <w:color w:val="auto"/>
              </w:rPr>
            </w:pPr>
            <w:r>
              <w:rPr>
                <w:rFonts w:ascii="Arial" w:cs="Arial" w:eastAsia="Arial" w:hAnsi="Arial"/>
                <w:sz w:val="18"/>
                <w:szCs w:val="18"/>
                <w:b w:val="1"/>
                <w:bCs w:val="1"/>
                <w:color w:val="auto"/>
              </w:rPr>
              <w:t>94108</w:t>
            </w:r>
          </w:p>
        </w:tc>
      </w:tr>
      <w:tr>
        <w:trPr>
          <w:trHeight w:val="270"/>
        </w:trPr>
        <w:tc>
          <w:tcPr>
            <w:tcW w:w="532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950"/>
              <w:spacing w:after="0"/>
              <w:rPr>
                <w:sz w:val="20"/>
                <w:szCs w:val="20"/>
                <w:color w:val="auto"/>
              </w:rPr>
            </w:pPr>
            <w:r>
              <w:rPr>
                <w:rFonts w:ascii="Arial" w:cs="Arial" w:eastAsia="Arial" w:hAnsi="Arial"/>
                <w:sz w:val="18"/>
                <w:szCs w:val="18"/>
                <w:color w:val="auto"/>
                <w:w w:val="94"/>
              </w:rPr>
              <w:t>(Zip Code)</w:t>
            </w: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 691-0952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17780</wp:posOffset>
            </wp:positionV>
            <wp:extent cx="2228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9"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tcPr>
          <w:p>
            <w:pPr>
              <w:spacing w:after="0"/>
              <w:rPr>
                <w:sz w:val="14"/>
                <w:szCs w:val="14"/>
                <w:color w:val="auto"/>
              </w:rPr>
            </w:pPr>
          </w:p>
        </w:tc>
        <w:tc>
          <w:tcPr>
            <w:tcW w:w="38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38"/>
        </w:trPr>
        <w:tc>
          <w:tcPr>
            <w:tcW w:w="3840" w:type="dxa"/>
            <w:vAlign w:val="bottom"/>
            <w:gridSpan w:val="3"/>
          </w:tcPr>
          <w:p>
            <w:pPr>
              <w:jc w:val="center"/>
              <w:ind w:right="840"/>
              <w:spacing w:after="0"/>
              <w:rPr>
                <w:sz w:val="20"/>
                <w:szCs w:val="20"/>
                <w:color w:val="auto"/>
              </w:rPr>
            </w:pPr>
            <w:r>
              <w:rPr>
                <w:rFonts w:ascii="Arial" w:cs="Arial" w:eastAsia="Arial" w:hAnsi="Arial"/>
                <w:sz w:val="14"/>
                <w:szCs w:val="14"/>
                <w:color w:val="auto"/>
                <w:w w:val="92"/>
              </w:rPr>
              <w:t>Class A common stock, $0.0001 par value per share</w:t>
            </w:r>
          </w:p>
        </w:tc>
        <w:tc>
          <w:tcPr>
            <w:tcW w:w="860" w:type="dxa"/>
            <w:vAlign w:val="bottom"/>
          </w:tcPr>
          <w:p>
            <w:pPr>
              <w:spacing w:after="0"/>
              <w:rPr>
                <w:sz w:val="20"/>
                <w:szCs w:val="20"/>
                <w:color w:val="auto"/>
              </w:rPr>
            </w:pPr>
          </w:p>
        </w:tc>
        <w:tc>
          <w:tcPr>
            <w:tcW w:w="3020" w:type="dxa"/>
            <w:vAlign w:val="bottom"/>
            <w:gridSpan w:val="2"/>
          </w:tcPr>
          <w:p>
            <w:pPr>
              <w:jc w:val="center"/>
              <w:ind w:right="1880"/>
              <w:spacing w:after="0"/>
              <w:rPr>
                <w:sz w:val="20"/>
                <w:szCs w:val="20"/>
                <w:color w:val="auto"/>
              </w:rPr>
            </w:pPr>
            <w:r>
              <w:rPr>
                <w:rFonts w:ascii="Arial" w:cs="Arial" w:eastAsia="Arial" w:hAnsi="Arial"/>
                <w:sz w:val="14"/>
                <w:szCs w:val="14"/>
                <w:color w:val="auto"/>
                <w:w w:val="94"/>
              </w:rPr>
              <w:t>BRLT</w:t>
            </w:r>
          </w:p>
        </w:tc>
        <w:tc>
          <w:tcPr>
            <w:tcW w:w="268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64" w:lineRule="exact"/>
        <w:rPr>
          <w:sz w:val="24"/>
          <w:szCs w:val="24"/>
          <w:color w:val="auto"/>
        </w:rPr>
      </w:pPr>
    </w:p>
    <w:p>
      <w:pPr>
        <w:jc w:val="both"/>
        <w:spacing w:after="0" w:line="21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9" w:lineRule="exact"/>
        <w:rPr>
          <w:sz w:val="24"/>
          <w:szCs w:val="24"/>
          <w:color w:val="auto"/>
        </w:rPr>
      </w:pPr>
    </w:p>
    <w:p>
      <w:pPr>
        <w:jc w:val="both"/>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2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spacing w:after="0"/>
              <w:rPr>
                <w:sz w:val="22"/>
                <w:szCs w:val="22"/>
                <w:color w:val="auto"/>
              </w:rPr>
            </w:pPr>
          </w:p>
        </w:tc>
        <w:tc>
          <w:tcPr>
            <w:tcW w:w="540" w:type="dxa"/>
            <w:vAlign w:val="bottom"/>
          </w:tcPr>
          <w:p>
            <w:pPr>
              <w:spacing w:after="0"/>
              <w:rPr>
                <w:sz w:val="22"/>
                <w:szCs w:val="22"/>
                <w:color w:val="auto"/>
              </w:rPr>
            </w:pPr>
          </w:p>
        </w:tc>
      </w:tr>
    </w:tbl>
    <w:p>
      <w:pPr>
        <w:spacing w:after="0" w:line="140" w:lineRule="exact"/>
        <w:rPr>
          <w:sz w:val="24"/>
          <w:szCs w:val="24"/>
          <w:color w:val="auto"/>
        </w:rPr>
      </w:pPr>
    </w:p>
    <w:p>
      <w:pPr>
        <w:ind w:firstLine="8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80" w:right="2580"/>
        <w:spacing w:after="0" w:line="25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As of November 9, 2021, there were approximately 9,583,332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387" w:lineRule="exact"/>
        <w:rPr>
          <w:sz w:val="24"/>
          <w:szCs w:val="24"/>
          <w:color w:val="auto"/>
        </w:rPr>
      </w:pPr>
    </w:p>
    <w:p>
      <w:pPr>
        <w:jc w:val="center"/>
        <w:ind w:left="3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0" w:type="dxa"/>
            <w:vAlign w:val="bottom"/>
            <w:gridSpan w:val="4"/>
          </w:tcPr>
          <w:p>
            <w:pPr>
              <w:ind w:left="1140"/>
              <w:spacing w:after="0"/>
              <w:rPr>
                <w:sz w:val="20"/>
                <w:szCs w:val="20"/>
                <w:color w:val="auto"/>
              </w:rPr>
            </w:pPr>
            <w:r>
              <w:rPr>
                <w:rFonts w:ascii="Arial" w:cs="Arial" w:eastAsia="Arial" w:hAnsi="Arial"/>
                <w:sz w:val="20"/>
                <w:szCs w:val="20"/>
                <w:color w:val="auto"/>
              </w:rPr>
              <w:t>Table of Contents</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gridSpan w:val="5"/>
          </w:tcPr>
          <w:p>
            <w:pPr>
              <w:jc w:val="right"/>
              <w:ind w:right="34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3"/>
        </w:trPr>
        <w:tc>
          <w:tcPr>
            <w:tcW w:w="2340" w:type="dxa"/>
            <w:vAlign w:val="bottom"/>
            <w:gridSpan w:val="5"/>
            <w:vMerge w:val="restart"/>
          </w:tcPr>
          <w:p>
            <w:pPr>
              <w:spacing w:after="0"/>
              <w:rPr>
                <w:rFonts w:ascii="Arial" w:cs="Arial" w:eastAsia="Arial" w:hAnsi="Arial"/>
                <w:sz w:val="20"/>
                <w:szCs w:val="20"/>
                <w:color w:val="0000FF"/>
                <w:w w:val="92"/>
              </w:rPr>
            </w:pPr>
            <w:hyperlink w:anchor="page5">
              <w:r>
                <w:rPr>
                  <w:rFonts w:ascii="Arial" w:cs="Arial" w:eastAsia="Arial" w:hAnsi="Arial"/>
                  <w:sz w:val="20"/>
                  <w:szCs w:val="20"/>
                  <w:color w:val="0000FF"/>
                  <w:w w:val="92"/>
                </w:rPr>
                <w:t>Part I - Financial Information</w:t>
              </w:r>
            </w:hyperlink>
          </w:p>
        </w:tc>
        <w:tc>
          <w:tcPr>
            <w:tcW w:w="7820" w:type="dxa"/>
            <w:vAlign w:val="bottom"/>
            <w:gridSpan w:val="9"/>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340" w:type="dxa"/>
            <w:vAlign w:val="bottom"/>
            <w:tcBorders>
              <w:bottom w:val="single" w:sz="8" w:color="0000FF"/>
            </w:tcBorders>
            <w:gridSpan w:val="5"/>
            <w:vMerge w:val="continue"/>
          </w:tcPr>
          <w:p>
            <w:pPr>
              <w:spacing w:after="0"/>
              <w:rPr>
                <w:sz w:val="18"/>
                <w:szCs w:val="18"/>
                <w:color w:val="auto"/>
              </w:rPr>
            </w:pPr>
          </w:p>
        </w:tc>
        <w:tc>
          <w:tcPr>
            <w:tcW w:w="7820" w:type="dxa"/>
            <w:vAlign w:val="bottom"/>
            <w:gridSpan w:val="9"/>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2320" w:type="dxa"/>
            <w:vAlign w:val="bottom"/>
            <w:tcBorders>
              <w:bottom w:val="single" w:sz="8" w:color="0000FF"/>
            </w:tcBorders>
            <w:gridSpan w:val="7"/>
          </w:tcPr>
          <w:p>
            <w:pPr>
              <w:spacing w:after="0"/>
              <w:rPr>
                <w:rFonts w:ascii="Arial" w:cs="Arial" w:eastAsia="Arial" w:hAnsi="Arial"/>
                <w:sz w:val="20"/>
                <w:szCs w:val="20"/>
                <w:color w:val="0000FF"/>
                <w:w w:val="88"/>
              </w:rPr>
            </w:pPr>
            <w:hyperlink w:anchor="page6">
              <w:r>
                <w:rPr>
                  <w:rFonts w:ascii="Arial" w:cs="Arial" w:eastAsia="Arial" w:hAnsi="Arial"/>
                  <w:sz w:val="20"/>
                  <w:szCs w:val="20"/>
                  <w:color w:val="0000FF"/>
                  <w:w w:val="88"/>
                </w:rPr>
                <w:t>Item 1. Financial Statements.</w:t>
              </w:r>
            </w:hyperlink>
          </w:p>
        </w:tc>
        <w:tc>
          <w:tcPr>
            <w:tcW w:w="7300" w:type="dxa"/>
            <w:vAlign w:val="bottom"/>
            <w:gridSpan w:val="6"/>
          </w:tcPr>
          <w:p>
            <w:pPr>
              <w:spacing w:after="0"/>
              <w:rPr>
                <w:sz w:val="24"/>
                <w:szCs w:val="24"/>
                <w:color w:val="auto"/>
              </w:rPr>
            </w:pPr>
          </w:p>
        </w:tc>
        <w:tc>
          <w:tcPr>
            <w:tcW w:w="940" w:type="dxa"/>
            <w:vAlign w:val="bottom"/>
            <w:gridSpan w:val="3"/>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20"/>
                <w:szCs w:val="20"/>
                <w:color w:val="0000FF"/>
                <w:w w:val="71"/>
              </w:rPr>
            </w:pPr>
            <w:hyperlink w:anchor="page6">
              <w:r>
                <w:rPr>
                  <w:rFonts w:ascii="Arial" w:cs="Arial" w:eastAsia="Arial" w:hAnsi="Arial"/>
                  <w:sz w:val="20"/>
                  <w:szCs w:val="20"/>
                  <w:color w:val="0000FF"/>
                  <w:w w:val="71"/>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9620" w:type="dxa"/>
            <w:vAlign w:val="bottom"/>
            <w:gridSpan w:val="13"/>
          </w:tcPr>
          <w:p>
            <w:pPr>
              <w:spacing w:after="0"/>
              <w:rPr>
                <w:rFonts w:ascii="Arial" w:cs="Arial" w:eastAsia="Arial" w:hAnsi="Arial"/>
                <w:sz w:val="20"/>
                <w:szCs w:val="20"/>
                <w:color w:val="0000FF"/>
              </w:rPr>
            </w:pPr>
            <w:hyperlink w:anchor="page35">
              <w:r>
                <w:rPr>
                  <w:rFonts w:ascii="Arial" w:cs="Arial" w:eastAsia="Arial" w:hAnsi="Arial"/>
                  <w:sz w:val="20"/>
                  <w:szCs w:val="20"/>
                  <w:color w:val="0000FF"/>
                </w:rPr>
                <w:t>Item 2. Management’s Discussion and Analysis of Financial Condition and Results of Operations.</w:t>
              </w:r>
            </w:hyperlink>
          </w:p>
        </w:tc>
        <w:tc>
          <w:tcPr>
            <w:tcW w:w="1040" w:type="dxa"/>
            <w:vAlign w:val="bottom"/>
            <w:gridSpan w:val="4"/>
          </w:tcPr>
          <w:p>
            <w:pPr>
              <w:jc w:val="right"/>
              <w:spacing w:after="0"/>
              <w:rPr>
                <w:rFonts w:ascii="Arial" w:cs="Arial" w:eastAsia="Arial" w:hAnsi="Arial"/>
                <w:sz w:val="20"/>
                <w:szCs w:val="20"/>
                <w:color w:val="0000FF"/>
              </w:rPr>
            </w:pPr>
            <w:hyperlink w:anchor="page35">
              <w:r>
                <w:rPr>
                  <w:rFonts w:ascii="Arial" w:cs="Arial" w:eastAsia="Arial" w:hAnsi="Arial"/>
                  <w:sz w:val="20"/>
                  <w:szCs w:val="20"/>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5460" w:type="dxa"/>
            <w:vAlign w:val="bottom"/>
            <w:tcBorders>
              <w:top w:val="single" w:sz="8" w:color="0000FF"/>
              <w:bottom w:val="single" w:sz="8" w:color="0000FF"/>
            </w:tcBorders>
            <w:gridSpan w:val="11"/>
          </w:tcPr>
          <w:p>
            <w:pPr>
              <w:spacing w:after="0"/>
              <w:rPr>
                <w:rFonts w:ascii="Arial" w:cs="Arial" w:eastAsia="Arial" w:hAnsi="Arial"/>
                <w:sz w:val="20"/>
                <w:szCs w:val="20"/>
                <w:color w:val="0000FF"/>
                <w:w w:val="91"/>
              </w:rPr>
            </w:pPr>
            <w:hyperlink w:anchor="page58">
              <w:r>
                <w:rPr>
                  <w:rFonts w:ascii="Arial" w:cs="Arial" w:eastAsia="Arial" w:hAnsi="Arial"/>
                  <w:sz w:val="20"/>
                  <w:szCs w:val="20"/>
                  <w:color w:val="0000FF"/>
                  <w:w w:val="91"/>
                </w:rPr>
                <w:t>Item 3. Quantitative and Qualitative Disclosures About Market Risk.</w:t>
              </w:r>
            </w:hyperlink>
          </w:p>
        </w:tc>
        <w:tc>
          <w:tcPr>
            <w:tcW w:w="2300" w:type="dxa"/>
            <w:vAlign w:val="bottom"/>
            <w:tcBorders>
              <w:top w:val="single" w:sz="8" w:color="0000FF"/>
            </w:tcBorders>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20"/>
                <w:szCs w:val="20"/>
                <w:color w:val="0000FF"/>
                <w:w w:val="80"/>
              </w:rPr>
            </w:pPr>
            <w:hyperlink w:anchor="page58">
              <w:r>
                <w:rPr>
                  <w:rFonts w:ascii="Arial" w:cs="Arial" w:eastAsia="Arial" w:hAnsi="Arial"/>
                  <w:sz w:val="20"/>
                  <w:szCs w:val="20"/>
                  <w:color w:val="0000FF"/>
                  <w:w w:val="80"/>
                </w:rPr>
                <w:t>59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2620" w:type="dxa"/>
            <w:vAlign w:val="bottom"/>
            <w:tcBorders>
              <w:bottom w:val="single" w:sz="8" w:color="0000FF"/>
            </w:tcBorders>
            <w:gridSpan w:val="8"/>
          </w:tcPr>
          <w:p>
            <w:pPr>
              <w:spacing w:after="0"/>
              <w:rPr>
                <w:rFonts w:ascii="Arial" w:cs="Arial" w:eastAsia="Arial" w:hAnsi="Arial"/>
                <w:sz w:val="20"/>
                <w:szCs w:val="20"/>
                <w:color w:val="0000FF"/>
                <w:w w:val="88"/>
              </w:rPr>
            </w:pPr>
            <w:hyperlink w:anchor="page59">
              <w:r>
                <w:rPr>
                  <w:rFonts w:ascii="Arial" w:cs="Arial" w:eastAsia="Arial" w:hAnsi="Arial"/>
                  <w:sz w:val="20"/>
                  <w:szCs w:val="20"/>
                  <w:color w:val="0000FF"/>
                  <w:w w:val="88"/>
                </w:rPr>
                <w:t>Item 4. Controls and Procedures.</w:t>
              </w:r>
            </w:hyperlink>
          </w:p>
        </w:tc>
        <w:tc>
          <w:tcPr>
            <w:tcW w:w="7000" w:type="dxa"/>
            <w:vAlign w:val="bottom"/>
            <w:gridSpan w:val="5"/>
          </w:tcPr>
          <w:p>
            <w:pPr>
              <w:spacing w:after="0"/>
              <w:rPr>
                <w:sz w:val="24"/>
                <w:szCs w:val="24"/>
                <w:color w:val="auto"/>
              </w:rPr>
            </w:pPr>
          </w:p>
        </w:tc>
        <w:tc>
          <w:tcPr>
            <w:tcW w:w="840" w:type="dxa"/>
            <w:vAlign w:val="bottom"/>
            <w:gridSpan w:val="2"/>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0"/>
                <w:szCs w:val="20"/>
                <w:color w:val="0000FF"/>
                <w:w w:val="80"/>
              </w:rPr>
            </w:pPr>
            <w:hyperlink w:anchor="page59">
              <w:r>
                <w:rPr>
                  <w:rFonts w:ascii="Arial" w:cs="Arial" w:eastAsia="Arial" w:hAnsi="Arial"/>
                  <w:sz w:val="20"/>
                  <w:szCs w:val="20"/>
                  <w:color w:val="0000FF"/>
                  <w:w w:val="80"/>
                </w:rPr>
                <w:t>59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120" w:type="dxa"/>
            <w:vAlign w:val="bottom"/>
            <w:tcBorders>
              <w:bottom w:val="single" w:sz="8" w:color="0000FF"/>
            </w:tcBorders>
            <w:gridSpan w:val="4"/>
          </w:tcPr>
          <w:p>
            <w:pPr>
              <w:spacing w:after="0"/>
              <w:rPr>
                <w:rFonts w:ascii="Arial" w:cs="Arial" w:eastAsia="Arial" w:hAnsi="Arial"/>
                <w:sz w:val="20"/>
                <w:szCs w:val="20"/>
                <w:color w:val="0000FF"/>
                <w:w w:val="92"/>
              </w:rPr>
            </w:pPr>
            <w:hyperlink w:anchor="page60">
              <w:r>
                <w:rPr>
                  <w:rFonts w:ascii="Arial" w:cs="Arial" w:eastAsia="Arial" w:hAnsi="Arial"/>
                  <w:sz w:val="20"/>
                  <w:szCs w:val="20"/>
                  <w:color w:val="0000FF"/>
                  <w:w w:val="92"/>
                </w:rPr>
                <w:t>Part II - Other Information</w:t>
              </w:r>
            </w:hyperlink>
          </w:p>
        </w:tc>
        <w:tc>
          <w:tcPr>
            <w:tcW w:w="8040" w:type="dxa"/>
            <w:vAlign w:val="bottom"/>
            <w:gridSpan w:val="10"/>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rFonts w:ascii="Arial" w:cs="Arial" w:eastAsia="Arial" w:hAnsi="Arial"/>
                <w:sz w:val="20"/>
                <w:szCs w:val="20"/>
                <w:color w:val="0000FF"/>
                <w:w w:val="89"/>
              </w:rPr>
            </w:pPr>
            <w:hyperlink w:anchor="page61">
              <w:r>
                <w:rPr>
                  <w:rFonts w:ascii="Arial" w:cs="Arial" w:eastAsia="Arial" w:hAnsi="Arial"/>
                  <w:sz w:val="20"/>
                  <w:szCs w:val="20"/>
                  <w:color w:val="0000FF"/>
                  <w:w w:val="89"/>
                </w:rPr>
                <w:t>Item 1. Legal Proceedings.</w:t>
              </w:r>
            </w:hyperlink>
          </w:p>
        </w:tc>
        <w:tc>
          <w:tcPr>
            <w:tcW w:w="7480" w:type="dxa"/>
            <w:vAlign w:val="bottom"/>
            <w:gridSpan w:val="7"/>
          </w:tcPr>
          <w:p>
            <w:pPr>
              <w:spacing w:after="0"/>
              <w:rPr>
                <w:sz w:val="24"/>
                <w:szCs w:val="24"/>
                <w:color w:val="auto"/>
              </w:rPr>
            </w:pPr>
          </w:p>
        </w:tc>
        <w:tc>
          <w:tcPr>
            <w:tcW w:w="840" w:type="dxa"/>
            <w:vAlign w:val="bottom"/>
            <w:gridSpan w:val="2"/>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20"/>
                <w:szCs w:val="20"/>
                <w:color w:val="0000FF"/>
                <w:w w:val="80"/>
              </w:rPr>
            </w:pPr>
            <w:hyperlink w:anchor="page61">
              <w:r>
                <w:rPr>
                  <w:rFonts w:ascii="Arial" w:cs="Arial" w:eastAsia="Arial" w:hAnsi="Arial"/>
                  <w:sz w:val="20"/>
                  <w:szCs w:val="20"/>
                  <w:color w:val="0000FF"/>
                  <w:w w:val="80"/>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9620" w:type="dxa"/>
            <w:vAlign w:val="bottom"/>
            <w:gridSpan w:val="13"/>
          </w:tcPr>
          <w:p>
            <w:pPr>
              <w:spacing w:after="0"/>
              <w:rPr>
                <w:rFonts w:ascii="Arial" w:cs="Arial" w:eastAsia="Arial" w:hAnsi="Arial"/>
                <w:sz w:val="20"/>
                <w:szCs w:val="20"/>
                <w:color w:val="0000FF"/>
              </w:rPr>
            </w:pPr>
            <w:hyperlink w:anchor="page61">
              <w:r>
                <w:rPr>
                  <w:rFonts w:ascii="Arial" w:cs="Arial" w:eastAsia="Arial" w:hAnsi="Arial"/>
                  <w:sz w:val="20"/>
                  <w:szCs w:val="20"/>
                  <w:color w:val="0000FF"/>
                </w:rPr>
                <w:t>Item 1A. Risk Factors.</w:t>
              </w:r>
            </w:hyperlink>
          </w:p>
        </w:tc>
        <w:tc>
          <w:tcPr>
            <w:tcW w:w="1040" w:type="dxa"/>
            <w:vAlign w:val="bottom"/>
            <w:gridSpan w:val="4"/>
          </w:tcPr>
          <w:p>
            <w:pPr>
              <w:jc w:val="right"/>
              <w:spacing w:after="0"/>
              <w:rPr>
                <w:rFonts w:ascii="Arial" w:cs="Arial" w:eastAsia="Arial" w:hAnsi="Arial"/>
                <w:sz w:val="20"/>
                <w:szCs w:val="20"/>
                <w:color w:val="0000FF"/>
              </w:rPr>
            </w:pPr>
            <w:hyperlink w:anchor="page61">
              <w:r>
                <w:rPr>
                  <w:rFonts w:ascii="Arial" w:cs="Arial" w:eastAsia="Arial" w:hAnsi="Arial"/>
                  <w:sz w:val="20"/>
                  <w:szCs w:val="20"/>
                  <w:color w:val="0000FF"/>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tcPr>
          <w:p>
            <w:pPr>
              <w:spacing w:after="0"/>
              <w:rPr>
                <w:sz w:val="24"/>
                <w:szCs w:val="24"/>
                <w:color w:val="auto"/>
              </w:rPr>
            </w:pPr>
          </w:p>
        </w:tc>
        <w:tc>
          <w:tcPr>
            <w:tcW w:w="9620" w:type="dxa"/>
            <w:vAlign w:val="bottom"/>
            <w:gridSpan w:val="13"/>
          </w:tcPr>
          <w:p>
            <w:pPr>
              <w:spacing w:after="0"/>
              <w:rPr>
                <w:rFonts w:ascii="Arial" w:cs="Arial" w:eastAsia="Arial" w:hAnsi="Arial"/>
                <w:sz w:val="20"/>
                <w:szCs w:val="20"/>
                <w:color w:val="0000FF"/>
              </w:rPr>
            </w:pPr>
            <w:hyperlink w:anchor="page106">
              <w:r>
                <w:rPr>
                  <w:rFonts w:ascii="Arial" w:cs="Arial" w:eastAsia="Arial" w:hAnsi="Arial"/>
                  <w:sz w:val="20"/>
                  <w:szCs w:val="20"/>
                  <w:color w:val="0000FF"/>
                </w:rPr>
                <w:t>Item 2. Unregistered Sales of Equity Securities and Use of Proceeds.</w:t>
              </w:r>
            </w:hyperlink>
          </w:p>
        </w:tc>
        <w:tc>
          <w:tcPr>
            <w:tcW w:w="1040" w:type="dxa"/>
            <w:vAlign w:val="bottom"/>
            <w:gridSpan w:val="4"/>
          </w:tcPr>
          <w:p>
            <w:pPr>
              <w:jc w:val="right"/>
              <w:spacing w:after="0"/>
              <w:rPr>
                <w:rFonts w:ascii="Arial" w:cs="Arial" w:eastAsia="Arial" w:hAnsi="Arial"/>
                <w:sz w:val="20"/>
                <w:szCs w:val="20"/>
                <w:color w:val="0000FF"/>
              </w:rPr>
            </w:pPr>
            <w:hyperlink w:anchor="page106">
              <w:r>
                <w:rPr>
                  <w:rFonts w:ascii="Arial" w:cs="Arial" w:eastAsia="Arial" w:hAnsi="Arial"/>
                  <w:sz w:val="20"/>
                  <w:szCs w:val="20"/>
                  <w:color w:val="0000FF"/>
                </w:rPr>
                <w:t>106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5440" w:type="dxa"/>
            <w:vAlign w:val="bottom"/>
            <w:tcBorders>
              <w:top w:val="single" w:sz="8" w:color="0000FF"/>
            </w:tcBorders>
            <w:gridSpan w:val="10"/>
          </w:tcPr>
          <w:p>
            <w:pPr>
              <w:spacing w:after="0"/>
              <w:rPr>
                <w:rFonts w:ascii="Arial" w:cs="Arial" w:eastAsia="Arial" w:hAnsi="Arial"/>
                <w:sz w:val="20"/>
                <w:szCs w:val="20"/>
                <w:color w:val="0000FF"/>
              </w:rPr>
            </w:pPr>
            <w:hyperlink w:anchor="page107">
              <w:r>
                <w:rPr>
                  <w:rFonts w:ascii="Arial" w:cs="Arial" w:eastAsia="Arial" w:hAnsi="Arial"/>
                  <w:sz w:val="20"/>
                  <w:szCs w:val="20"/>
                  <w:color w:val="0000FF"/>
                </w:rPr>
                <w:t>Item 3. Defaults Upon Senior Securities.</w:t>
              </w:r>
            </w:hyperlink>
          </w:p>
        </w:tc>
        <w:tc>
          <w:tcPr>
            <w:tcW w:w="418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Borders>
              <w:top w:val="single" w:sz="8" w:color="0000FF"/>
            </w:tcBorders>
            <w:gridSpan w:val="3"/>
          </w:tcPr>
          <w:p>
            <w:pPr>
              <w:jc w:val="right"/>
              <w:spacing w:after="0"/>
              <w:rPr>
                <w:rFonts w:ascii="Arial" w:cs="Arial" w:eastAsia="Arial" w:hAnsi="Arial"/>
                <w:sz w:val="20"/>
                <w:szCs w:val="20"/>
                <w:color w:val="0000FF"/>
                <w:w w:val="77"/>
              </w:rPr>
            </w:pPr>
            <w:hyperlink w:anchor="page107">
              <w:r>
                <w:rPr>
                  <w:rFonts w:ascii="Arial" w:cs="Arial" w:eastAsia="Arial" w:hAnsi="Arial"/>
                  <w:sz w:val="20"/>
                  <w:szCs w:val="20"/>
                  <w:color w:val="0000FF"/>
                  <w:w w:val="77"/>
                </w:rPr>
                <w:t>107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8"/>
          </w:tcPr>
          <w:p>
            <w:pPr>
              <w:spacing w:after="0"/>
              <w:rPr>
                <w:rFonts w:ascii="Arial" w:cs="Arial" w:eastAsia="Arial" w:hAnsi="Arial"/>
                <w:sz w:val="20"/>
                <w:szCs w:val="20"/>
                <w:color w:val="0000FF"/>
                <w:w w:val="90"/>
              </w:rPr>
            </w:pPr>
            <w:hyperlink w:anchor="page107">
              <w:r>
                <w:rPr>
                  <w:rFonts w:ascii="Arial" w:cs="Arial" w:eastAsia="Arial" w:hAnsi="Arial"/>
                  <w:sz w:val="20"/>
                  <w:szCs w:val="20"/>
                  <w:color w:val="0000FF"/>
                  <w:w w:val="90"/>
                </w:rPr>
                <w:t>Item 4. Mine Safety Disclosures.</w:t>
              </w:r>
            </w:hyperlink>
          </w:p>
        </w:tc>
        <w:tc>
          <w:tcPr>
            <w:tcW w:w="600" w:type="dxa"/>
            <w:vAlign w:val="bottom"/>
            <w:tcBorders>
              <w:top w:val="single" w:sz="8" w:color="0000FF"/>
            </w:tcBorders>
          </w:tcPr>
          <w:p>
            <w:pPr>
              <w:spacing w:after="0"/>
              <w:rPr>
                <w:sz w:val="24"/>
                <w:szCs w:val="24"/>
                <w:color w:val="auto"/>
              </w:rPr>
            </w:pPr>
          </w:p>
        </w:tc>
        <w:tc>
          <w:tcPr>
            <w:tcW w:w="64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Borders>
              <w:top w:val="single" w:sz="8" w:color="0000FF"/>
              <w:bottom w:val="single" w:sz="8" w:color="0000FF"/>
            </w:tcBorders>
            <w:gridSpan w:val="3"/>
          </w:tcPr>
          <w:p>
            <w:pPr>
              <w:jc w:val="right"/>
              <w:spacing w:after="0"/>
              <w:rPr>
                <w:rFonts w:ascii="Arial" w:cs="Arial" w:eastAsia="Arial" w:hAnsi="Arial"/>
                <w:sz w:val="20"/>
                <w:szCs w:val="20"/>
                <w:color w:val="0000FF"/>
                <w:w w:val="77"/>
              </w:rPr>
            </w:pPr>
            <w:hyperlink w:anchor="page107">
              <w:r>
                <w:rPr>
                  <w:rFonts w:ascii="Arial" w:cs="Arial" w:eastAsia="Arial" w:hAnsi="Arial"/>
                  <w:sz w:val="20"/>
                  <w:szCs w:val="20"/>
                  <w:color w:val="0000FF"/>
                  <w:w w:val="77"/>
                </w:rPr>
                <w:t>107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2120" w:type="dxa"/>
            <w:vAlign w:val="bottom"/>
            <w:tcBorders>
              <w:bottom w:val="single" w:sz="8" w:color="0000FF"/>
            </w:tcBorders>
            <w:gridSpan w:val="5"/>
          </w:tcPr>
          <w:p>
            <w:pPr>
              <w:spacing w:after="0"/>
              <w:rPr>
                <w:rFonts w:ascii="Arial" w:cs="Arial" w:eastAsia="Arial" w:hAnsi="Arial"/>
                <w:sz w:val="20"/>
                <w:szCs w:val="20"/>
                <w:color w:val="0000FF"/>
                <w:w w:val="92"/>
              </w:rPr>
            </w:pPr>
            <w:hyperlink w:anchor="page107">
              <w:r>
                <w:rPr>
                  <w:rFonts w:ascii="Arial" w:cs="Arial" w:eastAsia="Arial" w:hAnsi="Arial"/>
                  <w:sz w:val="20"/>
                  <w:szCs w:val="20"/>
                  <w:color w:val="0000FF"/>
                  <w:w w:val="92"/>
                </w:rPr>
                <w:t>Item 5. Other Information.</w:t>
              </w:r>
            </w:hyperlink>
          </w:p>
        </w:tc>
        <w:tc>
          <w:tcPr>
            <w:tcW w:w="75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Borders>
              <w:bottom w:val="single" w:sz="8" w:color="0000FF"/>
            </w:tcBorders>
            <w:gridSpan w:val="3"/>
          </w:tcPr>
          <w:p>
            <w:pPr>
              <w:jc w:val="right"/>
              <w:spacing w:after="0"/>
              <w:rPr>
                <w:rFonts w:ascii="Arial" w:cs="Arial" w:eastAsia="Arial" w:hAnsi="Arial"/>
                <w:sz w:val="20"/>
                <w:szCs w:val="20"/>
                <w:color w:val="0000FF"/>
                <w:w w:val="77"/>
              </w:rPr>
            </w:pPr>
            <w:hyperlink w:anchor="page107">
              <w:r>
                <w:rPr>
                  <w:rFonts w:ascii="Arial" w:cs="Arial" w:eastAsia="Arial" w:hAnsi="Arial"/>
                  <w:sz w:val="20"/>
                  <w:szCs w:val="20"/>
                  <w:color w:val="0000FF"/>
                  <w:w w:val="77"/>
                </w:rPr>
                <w:t>107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9620" w:type="dxa"/>
            <w:vAlign w:val="bottom"/>
            <w:gridSpan w:val="13"/>
          </w:tcPr>
          <w:p>
            <w:pPr>
              <w:spacing w:after="0"/>
              <w:rPr>
                <w:rFonts w:ascii="Arial" w:cs="Arial" w:eastAsia="Arial" w:hAnsi="Arial"/>
                <w:sz w:val="20"/>
                <w:szCs w:val="20"/>
                <w:color w:val="0000FF"/>
              </w:rPr>
            </w:pPr>
            <w:hyperlink w:anchor="page107">
              <w:r>
                <w:rPr>
                  <w:rFonts w:ascii="Arial" w:cs="Arial" w:eastAsia="Arial" w:hAnsi="Arial"/>
                  <w:sz w:val="20"/>
                  <w:szCs w:val="20"/>
                  <w:color w:val="0000FF"/>
                </w:rPr>
                <w:t>Item 6. Exhibits.</w:t>
              </w:r>
            </w:hyperlink>
          </w:p>
        </w:tc>
        <w:tc>
          <w:tcPr>
            <w:tcW w:w="1040" w:type="dxa"/>
            <w:vAlign w:val="bottom"/>
            <w:gridSpan w:val="4"/>
          </w:tcPr>
          <w:p>
            <w:pPr>
              <w:jc w:val="right"/>
              <w:spacing w:after="0"/>
              <w:rPr>
                <w:rFonts w:ascii="Arial" w:cs="Arial" w:eastAsia="Arial" w:hAnsi="Arial"/>
                <w:sz w:val="20"/>
                <w:szCs w:val="20"/>
                <w:color w:val="0000FF"/>
              </w:rPr>
            </w:pPr>
            <w:hyperlink w:anchor="page107">
              <w:r>
                <w:rPr>
                  <w:rFonts w:ascii="Arial" w:cs="Arial" w:eastAsia="Arial" w:hAnsi="Arial"/>
                  <w:sz w:val="20"/>
                  <w:szCs w:val="20"/>
                  <w:color w:val="0000FF"/>
                </w:rPr>
                <w:t>108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160" w:type="dxa"/>
            <w:vAlign w:val="bottom"/>
            <w:gridSpan w:val="14"/>
          </w:tcPr>
          <w:p>
            <w:pPr>
              <w:spacing w:after="0"/>
              <w:rPr>
                <w:rFonts w:ascii="Arial" w:cs="Arial" w:eastAsia="Arial" w:hAnsi="Arial"/>
                <w:sz w:val="20"/>
                <w:szCs w:val="20"/>
                <w:color w:val="0000FF"/>
              </w:rPr>
            </w:pPr>
            <w:hyperlink w:anchor="page109">
              <w:r>
                <w:rPr>
                  <w:rFonts w:ascii="Arial" w:cs="Arial" w:eastAsia="Arial" w:hAnsi="Arial"/>
                  <w:sz w:val="20"/>
                  <w:szCs w:val="20"/>
                  <w:color w:val="0000FF"/>
                </w:rPr>
                <w:t>Signatures</w:t>
              </w:r>
            </w:hyperlink>
          </w:p>
        </w:tc>
        <w:tc>
          <w:tcPr>
            <w:tcW w:w="1060" w:type="dxa"/>
            <w:vAlign w:val="bottom"/>
            <w:gridSpan w:val="5"/>
          </w:tcPr>
          <w:p>
            <w:pPr>
              <w:jc w:val="right"/>
              <w:ind w:right="20"/>
              <w:spacing w:after="0"/>
              <w:rPr>
                <w:rFonts w:ascii="Arial" w:cs="Arial" w:eastAsia="Arial" w:hAnsi="Arial"/>
                <w:sz w:val="20"/>
                <w:szCs w:val="20"/>
                <w:color w:val="0000FF"/>
              </w:rPr>
            </w:pPr>
            <w:hyperlink w:anchor="page109">
              <w:r>
                <w:rPr>
                  <w:rFonts w:ascii="Arial" w:cs="Arial" w:eastAsia="Arial" w:hAnsi="Arial"/>
                  <w:sz w:val="20"/>
                  <w:szCs w:val="20"/>
                  <w:color w:val="0000FF"/>
                </w:rPr>
                <w:t>110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 w:name="page3"/>
    <w:bookmarkEnd w:id="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Quarterly Report on Form 10-Q contains forward-looking statements. All statements other than statements of historical facts contained in this report may be forward-looking statements. Statements regarding our future results of operations and financial position, business strategy, and plans and objectives of management for future operations, including, among others, statements regarding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the important factors described in the section titled “Risk Factors” and elsewhere in this Quarterly Report on Form 10-Q. Moreover, we operate in a very competitive and rapidly changing environment.New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 looking statements speak only as of the date of this Quarterly Report on Form 10-Q. Except as required by applicable law, we undertake no obligation to update or revise any forward-looking statements contained in this Quarterly Report on Form 10- Q,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SUMMARY RISK FACTORS</w:t>
      </w:r>
    </w:p>
    <w:p>
      <w:pPr>
        <w:spacing w:after="0" w:line="246"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Investors should carefully consider these risks and uncertainties when investing in our Class A common stock. The principal risks and uncertainties affecting our business include the following:</w:t>
      </w:r>
    </w:p>
    <w:p>
      <w:pPr>
        <w:spacing w:after="0" w:line="209" w:lineRule="exact"/>
        <w:rPr>
          <w:sz w:val="20"/>
          <w:szCs w:val="20"/>
          <w:color w:val="auto"/>
        </w:rPr>
      </w:pPr>
    </w:p>
    <w:p>
      <w:pPr>
        <w:ind w:left="660" w:right="1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203" w:lineRule="exact"/>
        <w:rPr>
          <w:rFonts w:ascii="Arial" w:cs="Arial" w:eastAsia="Arial" w:hAnsi="Arial"/>
          <w:sz w:val="22"/>
          <w:szCs w:val="22"/>
          <w:color w:val="auto"/>
        </w:rPr>
      </w:pPr>
    </w:p>
    <w:p>
      <w:pPr>
        <w:ind w:left="660" w:right="38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Increases in the costs of diamonds, other gemstones and precious metals, lead times, supply shortages, and supply changes could disrupt our business and have an adverse effect on our operations, financial condition, and results;</w:t>
      </w:r>
    </w:p>
    <w:p>
      <w:pPr>
        <w:spacing w:after="0" w:line="202" w:lineRule="exact"/>
        <w:rPr>
          <w:rFonts w:ascii="Arial" w:cs="Arial" w:eastAsia="Arial" w:hAnsi="Arial"/>
          <w:sz w:val="20"/>
          <w:szCs w:val="20"/>
          <w:color w:val="auto"/>
        </w:rPr>
      </w:pPr>
    </w:p>
    <w:p>
      <w:pPr>
        <w:ind w:left="660" w:right="300" w:hanging="328"/>
        <w:spacing w:after="0" w:line="252"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7"/>
          <w:szCs w:val="17"/>
          <w:color w:val="auto"/>
        </w:rPr>
        <w:t>Our business model relies on maintaining a low cost of production and distribution. 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earnings and cash availability; .</w:t>
      </w:r>
    </w:p>
    <w:p>
      <w:pPr>
        <w:spacing w:after="0" w:line="194" w:lineRule="exact"/>
        <w:rPr>
          <w:rFonts w:ascii="Arial" w:cs="Arial" w:eastAsia="Arial" w:hAnsi="Arial"/>
          <w:sz w:val="19"/>
          <w:szCs w:val="19"/>
          <w:color w:val="auto"/>
        </w:rPr>
      </w:pPr>
    </w:p>
    <w:p>
      <w:pPr>
        <w:ind w:left="660" w:right="32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If we fail to cost-effectively turn existing customers into repeat customers or to acquire new customers, our business, financial condition, and results of operations would be harmed;</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We plan to expand showrooms in the U.S., which may expose us to significant risks;</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COVID-19 pandemic has had, and may in the future continue to have, a material adverse impact on our business;</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We have a history of losses, and we may be unable to sustain profitability;</w:t>
      </w:r>
    </w:p>
    <w:p>
      <w:pPr>
        <w:spacing w:after="0" w:line="20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The fine jewelry retail industry is highly competitive, and if we do not compete successfully, our business may be adversely impacted;</w:t>
      </w:r>
    </w:p>
    <w:p>
      <w:pPr>
        <w:spacing w:after="0" w:line="213" w:lineRule="exact"/>
        <w:rPr>
          <w:rFonts w:ascii="Arial" w:cs="Arial" w:eastAsia="Arial" w:hAnsi="Arial"/>
          <w:sz w:val="19"/>
          <w:szCs w:val="19"/>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profitability and cash flows may be negatively affected if we are not successful in managing our inventory balances and inventory shrinkage;</w:t>
      </w:r>
    </w:p>
    <w:p>
      <w:pPr>
        <w:spacing w:after="0" w:line="225" w:lineRule="exact"/>
        <w:rPr>
          <w:rFonts w:ascii="Arial" w:cs="Arial" w:eastAsia="Arial" w:hAnsi="Arial"/>
          <w:sz w:val="18"/>
          <w:szCs w:val="18"/>
          <w:color w:val="auto"/>
        </w:rPr>
      </w:pPr>
    </w:p>
    <w:p>
      <w:pPr>
        <w:ind w:left="660" w:right="12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We derive a significant portion of our revenue from sales of our Create Your Own rings. A decline in sales of our Create Your Own rings would negatively affect our business, financial condition, and results of operations;</w:t>
      </w:r>
    </w:p>
    <w:p>
      <w:pPr>
        <w:spacing w:after="0" w:line="202" w:lineRule="exact"/>
        <w:rPr>
          <w:rFonts w:ascii="Arial" w:cs="Arial" w:eastAsia="Arial" w:hAnsi="Arial"/>
          <w:sz w:val="20"/>
          <w:szCs w:val="20"/>
          <w:color w:val="auto"/>
        </w:rPr>
      </w:pPr>
    </w:p>
    <w:p>
      <w:pPr>
        <w:ind w:left="660" w:right="100" w:hanging="328"/>
        <w:spacing w:after="0" w:line="23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If we fail to maintain and enhance our brand, our ability to engage or expand our base of customers may be impaired and our business, financial condition, and results of operations may suffer;</w:t>
      </w:r>
    </w:p>
    <w:p>
      <w:pPr>
        <w:spacing w:after="0" w:line="310" w:lineRule="exact"/>
        <w:rPr>
          <w:rFonts w:ascii="Arial" w:cs="Arial" w:eastAsia="Arial" w:hAnsi="Arial"/>
          <w:sz w:val="20"/>
          <w:szCs w:val="20"/>
          <w:color w:val="auto"/>
        </w:rPr>
      </w:pPr>
    </w:p>
    <w:p>
      <w:pPr>
        <w:ind w:left="660" w:right="260" w:hanging="328"/>
        <w:spacing w:after="0" w:line="23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marketing efforts to help grow our business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20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Environmental, social, and governance matters may impact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28"/>
        <w:spacing w:after="0" w:line="23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Our e-commerce and omnichannel business faces distinct risks, and our failure to successfully manage those risks could have a negative impact on our profitability;</w:t>
      </w:r>
    </w:p>
    <w:p>
      <w:pPr>
        <w:spacing w:after="0" w:line="202" w:lineRule="exact"/>
        <w:rPr>
          <w:rFonts w:ascii="Arial" w:cs="Arial" w:eastAsia="Arial" w:hAnsi="Arial"/>
          <w:sz w:val="20"/>
          <w:szCs w:val="20"/>
          <w:color w:val="auto"/>
        </w:rPr>
      </w:pPr>
    </w:p>
    <w:p>
      <w:pPr>
        <w:ind w:left="660" w:right="220" w:hanging="328"/>
        <w:spacing w:after="0" w:line="263"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7"/>
          <w:szCs w:val="17"/>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26" w:lineRule="exact"/>
        <w:rPr>
          <w:rFonts w:ascii="Arial" w:cs="Arial" w:eastAsia="Arial" w:hAnsi="Arial"/>
          <w:sz w:val="19"/>
          <w:szCs w:val="19"/>
          <w:color w:val="auto"/>
        </w:rPr>
      </w:pPr>
    </w:p>
    <w:p>
      <w:pPr>
        <w:ind w:left="660" w:right="80" w:hanging="328"/>
        <w:spacing w:after="0" w:line="23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We expect a number of factors to cause our results of operations and operating cash flows to fluctuate on a quarterly and annual basis, which may make it difficult to predict our future performance;</w:t>
      </w:r>
    </w:p>
    <w:p>
      <w:pPr>
        <w:spacing w:after="0" w:line="94" w:lineRule="exact"/>
        <w:rPr>
          <w:rFonts w:ascii="Arial" w:cs="Arial" w:eastAsia="Arial" w:hAnsi="Arial"/>
          <w:sz w:val="20"/>
          <w:szCs w:val="20"/>
          <w:color w:val="auto"/>
        </w:rPr>
      </w:pPr>
    </w:p>
    <w:p>
      <w:pPr>
        <w:ind w:left="660" w:right="200" w:hanging="328"/>
        <w:spacing w:after="0" w:line="23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311" w:lineRule="exact"/>
        <w:rPr>
          <w:rFonts w:ascii="Arial" w:cs="Arial" w:eastAsia="Arial" w:hAnsi="Arial"/>
          <w:sz w:val="20"/>
          <w:szCs w:val="20"/>
          <w:color w:val="auto"/>
        </w:rPr>
      </w:pPr>
    </w:p>
    <w:p>
      <w:pPr>
        <w:ind w:left="660" w:hanging="328"/>
        <w:spacing w:after="0" w:line="23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The Tax Receivable Agreement with the Continuing Equity Owners requires us to make cash payments to them in respect of certain tax benefits to which we may become entitled, and we expect that such payments will be substantial; and</w:t>
      </w:r>
    </w:p>
    <w:p>
      <w:pPr>
        <w:spacing w:after="0" w:line="243" w:lineRule="exact"/>
        <w:rPr>
          <w:rFonts w:ascii="Arial" w:cs="Arial" w:eastAsia="Arial" w:hAnsi="Arial"/>
          <w:sz w:val="20"/>
          <w:szCs w:val="20"/>
          <w:color w:val="auto"/>
        </w:rPr>
      </w:pPr>
    </w:p>
    <w:p>
      <w:pPr>
        <w:ind w:left="660" w:right="160" w:hanging="328"/>
        <w:spacing w:after="0" w:line="279"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7"/>
          <w:szCs w:val="17"/>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Brilliant Earth Group,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and in thousands except share and per share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161,087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66,269</w:t>
            </w: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205</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13,559</w:t>
            </w:r>
          </w:p>
        </w:tc>
        <w:tc>
          <w:tcPr>
            <w:tcW w:w="0" w:type="dxa"/>
            <w:vAlign w:val="bottom"/>
          </w:tcPr>
          <w:p>
            <w:pPr>
              <w:spacing w:after="0"/>
              <w:rPr>
                <w:sz w:val="1"/>
                <w:szCs w:val="1"/>
                <w:color w:val="auto"/>
              </w:rPr>
            </w:pPr>
          </w:p>
        </w:tc>
      </w:tr>
      <w:tr>
        <w:trPr>
          <w:trHeight w:val="224"/>
        </w:trPr>
        <w:tc>
          <w:tcPr>
            <w:tcW w:w="76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7,682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2,939</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189,031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82,972</w:t>
            </w:r>
          </w:p>
        </w:tc>
        <w:tc>
          <w:tcPr>
            <w:tcW w:w="0" w:type="dxa"/>
            <w:vAlign w:val="bottom"/>
          </w:tcPr>
          <w:p>
            <w:pPr>
              <w:spacing w:after="0"/>
              <w:rPr>
                <w:sz w:val="1"/>
                <w:szCs w:val="1"/>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5,983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1,986</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199,941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85,216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b w:val="1"/>
                <w:bCs w:val="1"/>
                <w:color w:val="auto"/>
                <w:w w:val="94"/>
              </w:rPr>
              <w:t>Liabilities, redeemable convertible preferred units, and stockholders' equity/members' equity/(deficit)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10,972</w:t>
            </w:r>
          </w:p>
        </w:tc>
        <w:tc>
          <w:tcPr>
            <w:tcW w:w="0" w:type="dxa"/>
            <w:vAlign w:val="bottom"/>
          </w:tcPr>
          <w:p>
            <w:pPr>
              <w:spacing w:after="0"/>
              <w:rPr>
                <w:sz w:val="1"/>
                <w:szCs w:val="1"/>
                <w:color w:val="auto"/>
              </w:rPr>
            </w:pPr>
          </w:p>
        </w:tc>
      </w:tr>
      <w:tr>
        <w:trPr>
          <w:trHeight w:val="224"/>
        </w:trPr>
        <w:tc>
          <w:tcPr>
            <w:tcW w:w="76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24,758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16,961</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Current portion of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10,775</w:t>
            </w:r>
          </w:p>
        </w:tc>
        <w:tc>
          <w:tcPr>
            <w:tcW w:w="0" w:type="dxa"/>
            <w:vAlign w:val="bottom"/>
          </w:tcPr>
          <w:p>
            <w:pPr>
              <w:spacing w:after="0"/>
              <w:rPr>
                <w:sz w:val="1"/>
                <w:szCs w:val="1"/>
                <w:color w:val="auto"/>
              </w:rPr>
            </w:pPr>
          </w:p>
        </w:tc>
      </w:tr>
      <w:tr>
        <w:trPr>
          <w:trHeight w:val="224"/>
        </w:trPr>
        <w:tc>
          <w:tcPr>
            <w:tcW w:w="760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78,604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38,708</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debt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42,708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62,211</w:t>
            </w:r>
          </w:p>
        </w:tc>
        <w:tc>
          <w:tcPr>
            <w:tcW w:w="0" w:type="dxa"/>
            <w:vAlign w:val="bottom"/>
          </w:tcPr>
          <w:p>
            <w:pPr>
              <w:spacing w:after="0"/>
              <w:rPr>
                <w:sz w:val="1"/>
                <w:szCs w:val="1"/>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rent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Warrant liability</w:t>
            </w:r>
          </w:p>
        </w:tc>
        <w:tc>
          <w:tcPr>
            <w:tcW w:w="2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 pursuant to the Tax Receivable Agreement</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2,701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2,440</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104,284</w:t>
            </w:r>
          </w:p>
        </w:tc>
        <w:tc>
          <w:tcPr>
            <w:tcW w:w="0" w:type="dxa"/>
            <w:vAlign w:val="bottom"/>
          </w:tcPr>
          <w:p>
            <w:pPr>
              <w:spacing w:after="0"/>
              <w:rPr>
                <w:sz w:val="1"/>
                <w:szCs w:val="1"/>
                <w:color w:val="auto"/>
              </w:rPr>
            </w:pPr>
          </w:p>
        </w:tc>
      </w:tr>
      <w:tr>
        <w:trPr>
          <w:trHeight w:val="250"/>
        </w:trPr>
        <w:tc>
          <w:tcPr>
            <w:tcW w:w="7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11)</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Redeemable convertible preferred units (Class P Units) </w:t>
            </w: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66,327</w:t>
            </w:r>
          </w:p>
        </w:tc>
        <w:tc>
          <w:tcPr>
            <w:tcW w:w="0" w:type="dxa"/>
            <w:vAlign w:val="bottom"/>
          </w:tcPr>
          <w:p>
            <w:pPr>
              <w:spacing w:after="0"/>
              <w:rPr>
                <w:sz w:val="1"/>
                <w:szCs w:val="1"/>
                <w:color w:val="auto"/>
              </w:rPr>
            </w:pPr>
          </w:p>
        </w:tc>
      </w:tr>
      <w:tr>
        <w:trPr>
          <w:trHeight w:val="239"/>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33,162,444 units authorized, 32,435,595 units issued and outstanding at December 31, 2020</w:t>
            </w: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Members' deficit -</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Class F Units - 50,954,445 units authorized, 50,232,863 units issued and outstanding at December 31, 2020; and</w:t>
            </w:r>
          </w:p>
        </w:tc>
        <w:tc>
          <w:tcPr>
            <w:tcW w:w="24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(85,395)</w:t>
            </w:r>
          </w:p>
        </w:tc>
        <w:tc>
          <w:tcPr>
            <w:tcW w:w="0" w:type="dxa"/>
            <w:vAlign w:val="bottom"/>
          </w:tcPr>
          <w:p>
            <w:pPr>
              <w:spacing w:after="0"/>
              <w:rPr>
                <w:sz w:val="1"/>
                <w:szCs w:val="1"/>
                <w:color w:val="auto"/>
              </w:rPr>
            </w:pPr>
          </w:p>
        </w:tc>
      </w:tr>
      <w:tr>
        <w:trPr>
          <w:trHeight w:val="206"/>
        </w:trPr>
        <w:tc>
          <w:tcPr>
            <w:tcW w:w="76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Class M Units - 4,638,881 units authorized, 2,537,791 units issued and outstanding at December 31, 2020</w:t>
            </w:r>
          </w:p>
        </w:tc>
        <w:tc>
          <w:tcPr>
            <w:tcW w:w="240" w:type="dxa"/>
            <w:vAlign w:val="bottom"/>
            <w:shd w:val="clear" w:color="auto" w:fill="CCEEFF"/>
          </w:tcPr>
          <w:p>
            <w:pPr>
              <w:spacing w:after="0"/>
              <w:rPr>
                <w:sz w:val="17"/>
                <w:szCs w:val="17"/>
                <w:color w:val="auto"/>
              </w:rPr>
            </w:pPr>
          </w:p>
        </w:tc>
        <w:tc>
          <w:tcPr>
            <w:tcW w:w="16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6" w:name="page7"/>
    <w:bookmarkEnd w:id="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Preferred stock, $0.0001 par value per share, 10,000,000 shares authorized at September 30, 2021, none issued and</w:t>
            </w:r>
          </w:p>
        </w:tc>
        <w:tc>
          <w:tcPr>
            <w:tcW w:w="6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at September 30, 2021</w:t>
            </w:r>
          </w:p>
        </w:tc>
        <w:tc>
          <w:tcPr>
            <w:tcW w:w="6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vMerge w:val="continue"/>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ind w:left="140"/>
              <w:spacing w:after="0"/>
              <w:rPr>
                <w:sz w:val="20"/>
                <w:szCs w:val="20"/>
                <w:color w:val="auto"/>
              </w:rPr>
            </w:pPr>
            <w:r>
              <w:rPr>
                <w:rFonts w:ascii="Arial" w:cs="Arial" w:eastAsia="Arial" w:hAnsi="Arial"/>
                <w:sz w:val="16"/>
                <w:szCs w:val="16"/>
                <w:color w:val="auto"/>
                <w:w w:val="97"/>
              </w:rPr>
              <w:t>Class A common stock, $0.0001 par value - 1,200,000,000 shares authorized; 9,583,332 shares issued and</w:t>
            </w:r>
          </w:p>
        </w:tc>
        <w:tc>
          <w:tcPr>
            <w:tcW w:w="6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6"/>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as of September 30, 2021</w:t>
            </w:r>
          </w:p>
        </w:tc>
        <w:tc>
          <w:tcPr>
            <w:tcW w:w="6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Class B common stock, $0.0001 par value - 150,000,000 shares authorized; 35,576,400 shares issued and</w:t>
            </w:r>
          </w:p>
        </w:tc>
        <w:tc>
          <w:tcPr>
            <w:tcW w:w="62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as of September 30, 2021</w:t>
            </w:r>
          </w:p>
        </w:tc>
        <w:tc>
          <w:tcPr>
            <w:tcW w:w="6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00" w:type="dxa"/>
            <w:vAlign w:val="bottom"/>
          </w:tcPr>
          <w:p>
            <w:pPr>
              <w:ind w:left="140"/>
              <w:spacing w:after="0"/>
              <w:rPr>
                <w:sz w:val="20"/>
                <w:szCs w:val="20"/>
                <w:color w:val="auto"/>
              </w:rPr>
            </w:pPr>
            <w:r>
              <w:rPr>
                <w:rFonts w:ascii="Arial" w:cs="Arial" w:eastAsia="Arial" w:hAnsi="Arial"/>
                <w:sz w:val="16"/>
                <w:szCs w:val="16"/>
                <w:color w:val="auto"/>
                <w:w w:val="98"/>
              </w:rPr>
              <w:t>Class C common stock, $0.0001 par value - 150,000,000 shares authorized; 49,505,250 shares issued and</w:t>
            </w:r>
          </w:p>
        </w:tc>
        <w:tc>
          <w:tcPr>
            <w:tcW w:w="6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6"/>
        </w:trPr>
        <w:tc>
          <w:tcPr>
            <w:tcW w:w="7600" w:type="dxa"/>
            <w:vAlign w:val="bottom"/>
          </w:tcPr>
          <w:p>
            <w:pPr>
              <w:ind w:left="140"/>
              <w:spacing w:after="0"/>
              <w:rPr>
                <w:sz w:val="20"/>
                <w:szCs w:val="20"/>
                <w:color w:val="auto"/>
              </w:rPr>
            </w:pPr>
            <w:r>
              <w:rPr>
                <w:rFonts w:ascii="Arial" w:cs="Arial" w:eastAsia="Arial" w:hAnsi="Arial"/>
                <w:sz w:val="16"/>
                <w:szCs w:val="16"/>
                <w:color w:val="auto"/>
              </w:rPr>
              <w:t>outstanding as of September 30, 2021</w:t>
            </w:r>
          </w:p>
        </w:tc>
        <w:tc>
          <w:tcPr>
            <w:tcW w:w="6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Class D common stock, $0.0001 par value - 150,000,000 shares authorized; none issued and outstanding as of</w:t>
            </w:r>
          </w:p>
        </w:tc>
        <w:tc>
          <w:tcPr>
            <w:tcW w:w="6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September 30, 2021</w:t>
            </w:r>
          </w:p>
        </w:tc>
        <w:tc>
          <w:tcPr>
            <w:tcW w:w="6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vMerge w:val="continue"/>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7,012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6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240"/>
              <w:spacing w:after="0"/>
              <w:rPr>
                <w:sz w:val="20"/>
                <w:szCs w:val="20"/>
                <w:color w:val="auto"/>
              </w:rPr>
            </w:pPr>
            <w:r>
              <w:rPr>
                <w:rFonts w:ascii="Arial" w:cs="Arial" w:eastAsia="Arial" w:hAnsi="Arial"/>
                <w:sz w:val="16"/>
                <w:szCs w:val="16"/>
                <w:b w:val="1"/>
                <w:bCs w:val="1"/>
                <w:color w:val="auto"/>
              </w:rPr>
              <w:t>Equity attributable to Brilliant Earth Group, Inc.</w:t>
            </w:r>
          </w:p>
        </w:tc>
        <w:tc>
          <w:tcPr>
            <w:tcW w:w="6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7,088</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NCI attributable to Brilliant Earth, LLC</w:t>
            </w:r>
          </w:p>
        </w:tc>
        <w:tc>
          <w:tcPr>
            <w:tcW w:w="6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62,899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240"/>
              <w:spacing w:after="0"/>
              <w:rPr>
                <w:sz w:val="20"/>
                <w:szCs w:val="20"/>
                <w:color w:val="auto"/>
              </w:rPr>
            </w:pPr>
            <w:r>
              <w:rPr>
                <w:rFonts w:ascii="Arial" w:cs="Arial" w:eastAsia="Arial" w:hAnsi="Arial"/>
                <w:sz w:val="16"/>
                <w:szCs w:val="16"/>
                <w:b w:val="1"/>
                <w:bCs w:val="1"/>
                <w:color w:val="auto"/>
              </w:rPr>
              <w:t>Total redeemable convertible preferred units and stockholders' equity/members' (deficit)</w:t>
            </w:r>
          </w:p>
        </w:tc>
        <w:tc>
          <w:tcPr>
            <w:tcW w:w="6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69,987</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(19,068)</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convertible preferred units, and stockholders' equity/members' (deficit)</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199,941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85,216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Brilliant Earth Group, Inc.</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8"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(Unaudited and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7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95,239</w:t>
            </w:r>
          </w:p>
        </w:tc>
        <w:tc>
          <w:tcPr>
            <w:tcW w:w="6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71,445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258,283</w:t>
            </w:r>
          </w:p>
        </w:tc>
        <w:tc>
          <w:tcPr>
            <w:tcW w:w="6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163,209</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47,224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40,599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133,148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92,569</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48,015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30,846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125,135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70,640</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38,147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21,532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97,961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58,735</w:t>
            </w:r>
          </w:p>
        </w:tc>
        <w:tc>
          <w:tcPr>
            <w:tcW w:w="0" w:type="dxa"/>
            <w:vAlign w:val="bottom"/>
          </w:tcPr>
          <w:p>
            <w:pPr>
              <w:spacing w:after="0"/>
              <w:rPr>
                <w:sz w:val="1"/>
                <w:szCs w:val="1"/>
                <w:color w:val="auto"/>
              </w:rPr>
            </w:pPr>
          </w:p>
        </w:tc>
      </w:tr>
      <w:tr>
        <w:trPr>
          <w:trHeight w:val="217"/>
        </w:trPr>
        <w:tc>
          <w:tcPr>
            <w:tcW w:w="4480" w:type="dxa"/>
            <w:vAlign w:val="bottom"/>
          </w:tcPr>
          <w:p>
            <w:pPr>
              <w:ind w:left="680"/>
              <w:spacing w:after="0"/>
              <w:rPr>
                <w:sz w:val="20"/>
                <w:szCs w:val="20"/>
                <w:color w:val="auto"/>
              </w:rPr>
            </w:pPr>
            <w:r>
              <w:rPr>
                <w:rFonts w:ascii="Arial" w:cs="Arial" w:eastAsia="Arial" w:hAnsi="Arial"/>
                <w:sz w:val="16"/>
                <w:szCs w:val="16"/>
                <w:b w:val="1"/>
                <w:bCs w:val="1"/>
                <w:color w:val="auto"/>
              </w:rPr>
              <w:t>Income from operations</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9,868</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9,314</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27,174</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11,905</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(5,786)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(3,607)</w:t>
            </w:r>
          </w:p>
        </w:tc>
        <w:tc>
          <w:tcPr>
            <w:tcW w:w="0" w:type="dxa"/>
            <w:vAlign w:val="bottom"/>
          </w:tcPr>
          <w:p>
            <w:pPr>
              <w:spacing w:after="0"/>
              <w:rPr>
                <w:sz w:val="1"/>
                <w:szCs w:val="1"/>
                <w:color w:val="auto"/>
              </w:rPr>
            </w:pPr>
          </w:p>
        </w:tc>
      </w:tr>
      <w:tr>
        <w:trPr>
          <w:trHeight w:val="224"/>
        </w:trPr>
        <w:tc>
          <w:tcPr>
            <w:tcW w:w="4480" w:type="dxa"/>
            <w:vAlign w:val="bottom"/>
          </w:tcPr>
          <w:p>
            <w:pPr>
              <w:ind w:left="360"/>
              <w:spacing w:after="0"/>
              <w:rPr>
                <w:sz w:val="20"/>
                <w:szCs w:val="20"/>
                <w:color w:val="auto"/>
              </w:rPr>
            </w:pPr>
            <w:r>
              <w:rPr>
                <w:rFonts w:ascii="Arial" w:cs="Arial" w:eastAsia="Arial" w:hAnsi="Arial"/>
                <w:sz w:val="16"/>
                <w:szCs w:val="16"/>
                <w:color w:val="auto"/>
              </w:rPr>
              <w:t>Other expense,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(3,971)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(6,518)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Income before tax</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8,223</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48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Net income</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3,962</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8,041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14,847</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8,223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allocable to non-controlling interest</w:t>
            </w: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rPr>
              <w:t>3,896</w:t>
            </w: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b w:val="1"/>
                <w:bCs w:val="1"/>
                <w:color w:val="auto"/>
              </w:rPr>
              <w:t>14,781</w:t>
            </w: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Net income allocable to Brilliant Earth Group, Inc.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Period from</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September 23,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2021 to</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9,583,332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96,621,427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240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36" w:right="79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Brilliant Earth Group, Inc.</w:t>
      </w:r>
    </w:p>
    <w:p>
      <w:pPr>
        <w:spacing w:after="0" w:line="26"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CONDENSED CONSOLIDATED STATEMENTS OF CHANGES IN EQUITY (DEFICIT)</w:t>
      </w:r>
    </w:p>
    <w:p>
      <w:pPr>
        <w:spacing w:after="0" w:line="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(Unaudited and in thousands except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080" w:type="dxa"/>
            <w:vAlign w:val="bottom"/>
          </w:tcPr>
          <w:p>
            <w:pPr>
              <w:spacing w:after="0"/>
              <w:rPr>
                <w:sz w:val="9"/>
                <w:szCs w:val="9"/>
                <w:color w:val="auto"/>
              </w:rPr>
            </w:pPr>
          </w:p>
        </w:tc>
        <w:tc>
          <w:tcPr>
            <w:tcW w:w="2320" w:type="dxa"/>
            <w:vAlign w:val="bottom"/>
            <w:gridSpan w:val="10"/>
          </w:tcPr>
          <w:p>
            <w:pPr>
              <w:jc w:val="center"/>
              <w:ind w:right="80"/>
              <w:spacing w:after="0"/>
              <w:rPr>
                <w:sz w:val="20"/>
                <w:szCs w:val="20"/>
                <w:color w:val="auto"/>
              </w:rPr>
            </w:pPr>
            <w:r>
              <w:rPr>
                <w:rFonts w:ascii="Arial" w:cs="Arial" w:eastAsia="Arial" w:hAnsi="Arial"/>
                <w:sz w:val="9"/>
                <w:szCs w:val="9"/>
                <w:b w:val="1"/>
                <w:bCs w:val="1"/>
                <w:color w:val="auto"/>
                <w:w w:val="94"/>
              </w:rPr>
              <w:t>Brilliant Earth, LLC (prior to Reorganization</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9"/>
                <w:szCs w:val="9"/>
                <w:b w:val="1"/>
                <w:bCs w:val="1"/>
                <w:color w:val="auto"/>
                <w:w w:val="89"/>
              </w:rPr>
              <w:t>Transactions) Note 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320" w:type="dxa"/>
            <w:vAlign w:val="bottom"/>
            <w:gridSpan w:val="12"/>
          </w:tcPr>
          <w:p>
            <w:pPr>
              <w:ind w:left="40"/>
              <w:spacing w:after="0"/>
              <w:rPr>
                <w:sz w:val="20"/>
                <w:szCs w:val="20"/>
                <w:color w:val="auto"/>
              </w:rPr>
            </w:pPr>
            <w:r>
              <w:rPr>
                <w:rFonts w:ascii="Arial" w:cs="Arial" w:eastAsia="Arial" w:hAnsi="Arial"/>
                <w:sz w:val="9"/>
                <w:szCs w:val="9"/>
                <w:b w:val="1"/>
                <w:bCs w:val="1"/>
                <w:color w:val="auto"/>
              </w:rPr>
              <w:t>Brilliant Earth Group, Inc. Stockholders' Equity</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Non-</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40" w:type="dxa"/>
            <w:vAlign w:val="bottom"/>
            <w:gridSpan w:val="5"/>
          </w:tcPr>
          <w:p>
            <w:pPr>
              <w:ind w:left="20"/>
              <w:spacing w:after="0"/>
              <w:rPr>
                <w:sz w:val="20"/>
                <w:szCs w:val="20"/>
                <w:color w:val="auto"/>
              </w:rPr>
            </w:pPr>
            <w:r>
              <w:rPr>
                <w:rFonts w:ascii="Arial" w:cs="Arial" w:eastAsia="Arial" w:hAnsi="Arial"/>
                <w:sz w:val="9"/>
                <w:szCs w:val="9"/>
                <w:b w:val="1"/>
                <w:bCs w:val="1"/>
                <w:color w:val="auto"/>
                <w:w w:val="98"/>
              </w:rPr>
              <w:t>Class F Units and Class M</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Controlling</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1180" w:type="dxa"/>
            <w:vAlign w:val="bottom"/>
            <w:tcBorders>
              <w:right w:val="single" w:sz="8" w:color="auto"/>
            </w:tcBorders>
            <w:gridSpan w:val="5"/>
          </w:tcPr>
          <w:p>
            <w:pPr>
              <w:ind w:left="280"/>
              <w:spacing w:after="0"/>
              <w:rPr>
                <w:sz w:val="20"/>
                <w:szCs w:val="20"/>
                <w:color w:val="auto"/>
              </w:rPr>
            </w:pPr>
            <w:r>
              <w:rPr>
                <w:rFonts w:ascii="Arial" w:cs="Arial" w:eastAsia="Arial" w:hAnsi="Arial"/>
                <w:sz w:val="9"/>
                <w:szCs w:val="9"/>
                <w:b w:val="1"/>
                <w:bCs w:val="1"/>
                <w:color w:val="auto"/>
              </w:rPr>
              <w:t>Class P Units</w:t>
            </w:r>
          </w:p>
        </w:tc>
        <w:tc>
          <w:tcPr>
            <w:tcW w:w="640" w:type="dxa"/>
            <w:vAlign w:val="bottom"/>
            <w:gridSpan w:val="3"/>
          </w:tcPr>
          <w:p>
            <w:pPr>
              <w:jc w:val="right"/>
              <w:spacing w:after="0"/>
              <w:rPr>
                <w:sz w:val="20"/>
                <w:szCs w:val="20"/>
                <w:color w:val="auto"/>
              </w:rPr>
            </w:pPr>
            <w:r>
              <w:rPr>
                <w:rFonts w:ascii="Arial" w:cs="Arial" w:eastAsia="Arial" w:hAnsi="Arial"/>
                <w:sz w:val="9"/>
                <w:szCs w:val="9"/>
                <w:b w:val="1"/>
                <w:bCs w:val="1"/>
                <w:color w:val="auto"/>
              </w:rPr>
              <w:t>Units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ind w:left="60"/>
              <w:spacing w:after="0"/>
              <w:rPr>
                <w:sz w:val="20"/>
                <w:szCs w:val="20"/>
                <w:color w:val="auto"/>
              </w:rPr>
            </w:pPr>
            <w:r>
              <w:rPr>
                <w:rFonts w:ascii="Arial" w:cs="Arial" w:eastAsia="Arial" w:hAnsi="Arial"/>
                <w:sz w:val="9"/>
                <w:szCs w:val="9"/>
                <w:b w:val="1"/>
                <w:bCs w:val="1"/>
                <w:color w:val="auto"/>
              </w:rPr>
              <w:t>Class A Common Stock</w:t>
            </w:r>
          </w:p>
        </w:tc>
        <w:tc>
          <w:tcPr>
            <w:tcW w:w="1100" w:type="dxa"/>
            <w:vAlign w:val="bottom"/>
            <w:gridSpan w:val="5"/>
          </w:tcPr>
          <w:p>
            <w:pPr>
              <w:ind w:left="60"/>
              <w:spacing w:after="0"/>
              <w:rPr>
                <w:sz w:val="20"/>
                <w:szCs w:val="20"/>
                <w:color w:val="auto"/>
              </w:rPr>
            </w:pPr>
            <w:r>
              <w:rPr>
                <w:rFonts w:ascii="Arial" w:cs="Arial" w:eastAsia="Arial" w:hAnsi="Arial"/>
                <w:sz w:val="9"/>
                <w:szCs w:val="9"/>
                <w:b w:val="1"/>
                <w:bCs w:val="1"/>
                <w:color w:val="auto"/>
              </w:rPr>
              <w:t>Class B Common Stock</w:t>
            </w:r>
          </w:p>
        </w:tc>
        <w:tc>
          <w:tcPr>
            <w:tcW w:w="1080" w:type="dxa"/>
            <w:vAlign w:val="bottom"/>
            <w:gridSpan w:val="5"/>
          </w:tcPr>
          <w:p>
            <w:pPr>
              <w:ind w:left="40"/>
              <w:spacing w:after="0"/>
              <w:rPr>
                <w:sz w:val="20"/>
                <w:szCs w:val="20"/>
                <w:color w:val="auto"/>
              </w:rPr>
            </w:pPr>
            <w:r>
              <w:rPr>
                <w:rFonts w:ascii="Arial" w:cs="Arial" w:eastAsia="Arial" w:hAnsi="Arial"/>
                <w:sz w:val="9"/>
                <w:szCs w:val="9"/>
                <w:b w:val="1"/>
                <w:bCs w:val="1"/>
                <w:color w:val="auto"/>
              </w:rPr>
              <w:t>Class C Common Stock</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Interest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9"/>
                <w:szCs w:val="9"/>
                <w:color w:val="auto"/>
              </w:rPr>
            </w:pPr>
          </w:p>
        </w:tc>
        <w:tc>
          <w:tcPr>
            <w:tcW w:w="520" w:type="dxa"/>
            <w:vAlign w:val="bottom"/>
            <w:gridSpan w:val="2"/>
          </w:tcPr>
          <w:p>
            <w:pPr>
              <w:spacing w:after="0"/>
              <w:rPr>
                <w:sz w:val="20"/>
                <w:szCs w:val="20"/>
                <w:color w:val="auto"/>
              </w:rPr>
            </w:pPr>
            <w:r>
              <w:rPr>
                <w:rFonts w:ascii="Arial" w:cs="Arial" w:eastAsia="Arial" w:hAnsi="Arial"/>
                <w:sz w:val="9"/>
                <w:szCs w:val="9"/>
                <w:b w:val="1"/>
                <w:bCs w:val="1"/>
                <w:color w:val="auto"/>
              </w:rPr>
              <w:t>Retained</w:t>
            </w:r>
          </w:p>
        </w:tc>
        <w:tc>
          <w:tcPr>
            <w:tcW w:w="70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91"/>
              </w:rPr>
              <w:t>Stockholders'</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ind w:right="13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58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60" w:type="dxa"/>
            <w:vAlign w:val="bottom"/>
          </w:tcPr>
          <w:p>
            <w:pPr>
              <w:spacing w:after="0"/>
              <w:rPr>
                <w:sz w:val="10"/>
                <w:szCs w:val="10"/>
                <w:color w:val="auto"/>
              </w:rPr>
            </w:pPr>
          </w:p>
        </w:tc>
        <w:tc>
          <w:tcPr>
            <w:tcW w:w="540" w:type="dxa"/>
            <w:vAlign w:val="bottom"/>
            <w:tcBorders>
              <w:right w:val="single" w:sz="8" w:color="auto"/>
            </w:tcBorders>
            <w:gridSpan w:val="2"/>
          </w:tcPr>
          <w:p>
            <w:pPr>
              <w:spacing w:after="0"/>
              <w:rPr>
                <w:sz w:val="20"/>
                <w:szCs w:val="20"/>
                <w:color w:val="auto"/>
              </w:rPr>
            </w:pPr>
            <w:r>
              <w:rPr>
                <w:rFonts w:ascii="Arial" w:cs="Arial" w:eastAsia="Arial" w:hAnsi="Arial"/>
                <w:sz w:val="9"/>
                <w:szCs w:val="9"/>
                <w:b w:val="1"/>
                <w:bCs w:val="1"/>
                <w:color w:val="auto"/>
              </w:rPr>
              <w:t>Amounts</w:t>
            </w:r>
          </w:p>
        </w:tc>
        <w:tc>
          <w:tcPr>
            <w:tcW w:w="560" w:type="dxa"/>
            <w:vAlign w:val="bottom"/>
            <w:gridSpan w:val="2"/>
          </w:tcPr>
          <w:p>
            <w:pPr>
              <w:ind w:left="20"/>
              <w:spacing w:after="0"/>
              <w:rPr>
                <w:sz w:val="20"/>
                <w:szCs w:val="20"/>
                <w:color w:val="auto"/>
              </w:rPr>
            </w:pPr>
            <w:r>
              <w:rPr>
                <w:rFonts w:ascii="Arial" w:cs="Arial" w:eastAsia="Arial" w:hAnsi="Arial"/>
                <w:sz w:val="9"/>
                <w:szCs w:val="9"/>
                <w:b w:val="1"/>
                <w:bCs w:val="1"/>
                <w:color w:val="auto"/>
              </w:rPr>
              <w:t>Total Units</w:t>
            </w:r>
          </w:p>
        </w:tc>
        <w:tc>
          <w:tcPr>
            <w:tcW w:w="80" w:type="dxa"/>
            <w:vAlign w:val="bottom"/>
          </w:tcPr>
          <w:p>
            <w:pPr>
              <w:spacing w:after="0"/>
              <w:rPr>
                <w:sz w:val="10"/>
                <w:szCs w:val="10"/>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Amounts</w:t>
            </w:r>
          </w:p>
        </w:tc>
        <w:tc>
          <w:tcPr>
            <w:tcW w:w="56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480" w:type="dxa"/>
            <w:vAlign w:val="bottom"/>
          </w:tcPr>
          <w:p>
            <w:pPr>
              <w:jc w:val="right"/>
              <w:ind w:right="75"/>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54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Arial" w:cs="Arial" w:eastAsia="Arial" w:hAnsi="Arial"/>
                <w:sz w:val="9"/>
                <w:szCs w:val="9"/>
                <w:b w:val="1"/>
                <w:bCs w:val="1"/>
                <w:color w:val="auto"/>
              </w:rPr>
              <w:t>Earnings</w:t>
            </w:r>
          </w:p>
        </w:tc>
        <w:tc>
          <w:tcPr>
            <w:tcW w:w="120" w:type="dxa"/>
            <w:vAlign w:val="bottom"/>
          </w:tcPr>
          <w:p>
            <w:pPr>
              <w:spacing w:after="0"/>
              <w:rPr>
                <w:sz w:val="10"/>
                <w:szCs w:val="10"/>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10"/>
                <w:szCs w:val="10"/>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Amounts</w:t>
            </w:r>
          </w:p>
        </w:tc>
        <w:tc>
          <w:tcPr>
            <w:tcW w:w="100" w:type="dxa"/>
            <w:vAlign w:val="bottom"/>
          </w:tcPr>
          <w:p>
            <w:pPr>
              <w:spacing w:after="0"/>
              <w:rPr>
                <w:sz w:val="10"/>
                <w:szCs w:val="10"/>
                <w:color w:val="auto"/>
              </w:rPr>
            </w:pPr>
          </w:p>
        </w:tc>
        <w:tc>
          <w:tcPr>
            <w:tcW w:w="440" w:type="dxa"/>
            <w:vAlign w:val="bottom"/>
          </w:tcPr>
          <w:p>
            <w:pPr>
              <w:jc w:val="right"/>
              <w:ind w:right="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8"/>
        </w:trPr>
        <w:tc>
          <w:tcPr>
            <w:tcW w:w="2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Balance, June 30, 2020</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3"/>
              </w:rPr>
              <w:t>32,435,595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58,940</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3"/>
              </w:rPr>
              <w:t>52,649,011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(69,434)</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(69,434)</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rPr>
                <w:sz w:val="20"/>
                <w:szCs w:val="20"/>
                <w:color w:val="auto"/>
              </w:rPr>
            </w:pPr>
            <w:r>
              <w:rPr>
                <w:rFonts w:ascii="Arial" w:cs="Arial" w:eastAsia="Arial" w:hAnsi="Arial"/>
                <w:sz w:val="9"/>
                <w:szCs w:val="9"/>
                <w:color w:val="auto"/>
              </w:rPr>
              <w:t>Vested Class M Units</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25,493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Equity-based compensation</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8,041</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8,041</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Adjustment of redeemable convertible preferred units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(10,279)</w:t>
            </w:r>
          </w:p>
        </w:tc>
        <w:tc>
          <w:tcPr>
            <w:tcW w:w="0" w:type="dxa"/>
            <w:vAlign w:val="bottom"/>
          </w:tcPr>
          <w:p>
            <w:pPr>
              <w:spacing w:after="0"/>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redemption value</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10,279</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(10,279)</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80" w:type="dxa"/>
            <w:vAlign w:val="bottom"/>
          </w:tcPr>
          <w:p>
            <w:pPr>
              <w:ind w:left="20"/>
              <w:spacing w:after="0"/>
              <w:rPr>
                <w:sz w:val="20"/>
                <w:szCs w:val="20"/>
                <w:color w:val="auto"/>
              </w:rPr>
            </w:pPr>
            <w:r>
              <w:rPr>
                <w:rFonts w:ascii="Arial" w:cs="Arial" w:eastAsia="Arial" w:hAnsi="Arial"/>
                <w:sz w:val="9"/>
                <w:szCs w:val="9"/>
                <w:b w:val="1"/>
                <w:bCs w:val="1"/>
                <w:color w:val="auto"/>
              </w:rPr>
              <w:t>Balance, September 30, 2020</w:t>
            </w: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93"/>
              </w:rPr>
              <w:t>32,435,595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rPr>
              <w:t>69,219</w:t>
            </w:r>
          </w:p>
        </w:tc>
        <w:tc>
          <w:tcPr>
            <w:tcW w:w="100" w:type="dxa"/>
            <w:vAlign w:val="bottom"/>
            <w:tcBorders>
              <w:right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93"/>
              </w:rPr>
              <w:t>52,674,504</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(71,665)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(71,665)</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Balance, June 30, 2021</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3"/>
              </w:rPr>
              <w:t>32,435,595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250,746</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3"/>
              </w:rPr>
              <w:t>53,235,187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8"/>
              </w:rPr>
              <w:t>(277,342)</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(277,342)</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rPr>
                <w:sz w:val="20"/>
                <w:szCs w:val="20"/>
                <w:color w:val="auto"/>
              </w:rPr>
            </w:pPr>
            <w:r>
              <w:rPr>
                <w:rFonts w:ascii="Arial" w:cs="Arial" w:eastAsia="Arial" w:hAnsi="Arial"/>
                <w:sz w:val="9"/>
                <w:szCs w:val="9"/>
                <w:color w:val="auto"/>
              </w:rPr>
              <w:t>Tax distributions to members</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(1,100)</w:t>
            </w:r>
          </w:p>
        </w:tc>
        <w:tc>
          <w:tcPr>
            <w:tcW w:w="100" w:type="dxa"/>
            <w:vAlign w:val="bottom"/>
            <w:tcBorders>
              <w:right w:val="single" w:sz="8" w:color="auto"/>
            </w:tcBorders>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(1,697)</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(1,697)</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Vested Class M Units</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91,913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rPr>
                <w:sz w:val="20"/>
                <w:szCs w:val="20"/>
                <w:color w:val="auto"/>
              </w:rPr>
            </w:pPr>
            <w:r>
              <w:rPr>
                <w:rFonts w:ascii="Arial" w:cs="Arial" w:eastAsia="Arial" w:hAnsi="Arial"/>
                <w:sz w:val="9"/>
                <w:szCs w:val="9"/>
                <w:color w:val="auto"/>
              </w:rPr>
              <w:t>Equity-based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58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58</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w w:val="96"/>
              </w:rPr>
              <w:t>Net income prior to Reorganization Transactions and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1,893</w:t>
            </w:r>
          </w:p>
        </w:tc>
        <w:tc>
          <w:tcPr>
            <w:tcW w:w="0" w:type="dxa"/>
            <w:vAlign w:val="bottom"/>
          </w:tcPr>
          <w:p>
            <w:pPr>
              <w:spacing w:after="0"/>
              <w:rPr>
                <w:sz w:val="1"/>
                <w:szCs w:val="1"/>
                <w:color w:val="auto"/>
              </w:rPr>
            </w:pPr>
          </w:p>
        </w:tc>
      </w:tr>
      <w:tr>
        <w:trPr>
          <w:trHeight w:val="12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IPO</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1,214</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1,893</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w w:val="92"/>
              </w:rPr>
              <w:t>Adjustment of redeemable convertible preferred units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(138,367)</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redemption value</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40" w:type="dxa"/>
            <w:vAlign w:val="bottom"/>
          </w:tcPr>
          <w:p>
            <w:pPr>
              <w:jc w:val="right"/>
              <w:ind w:right="15"/>
              <w:spacing w:after="0"/>
              <w:rPr>
                <w:sz w:val="20"/>
                <w:szCs w:val="20"/>
                <w:color w:val="auto"/>
              </w:rPr>
            </w:pPr>
            <w:r>
              <w:rPr>
                <w:rFonts w:ascii="Arial" w:cs="Arial" w:eastAsia="Arial" w:hAnsi="Arial"/>
                <w:sz w:val="9"/>
                <w:szCs w:val="9"/>
                <w:color w:val="auto"/>
              </w:rPr>
              <w:t>138,367</w:t>
            </w:r>
          </w:p>
        </w:tc>
        <w:tc>
          <w:tcPr>
            <w:tcW w:w="100" w:type="dxa"/>
            <w:vAlign w:val="bottom"/>
            <w:tcBorders>
              <w:right w:val="single" w:sz="8" w:color="auto"/>
            </w:tcBorders>
          </w:tcPr>
          <w:p>
            <w:pPr>
              <w:spacing w:after="0"/>
              <w:rPr>
                <w:sz w:val="9"/>
                <w:szCs w:val="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w w:val="98"/>
              </w:rPr>
              <w:t>(138,367)</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Reorganization Transactions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(32,435,595)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8"/>
              </w:rPr>
              <w:t>(389,227)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(53,327,100)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415,455</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88"/>
              </w:rPr>
              <w:t>36,064,421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8"/>
              </w:rPr>
              <w:t>50,232,863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(19,813)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395,651</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rPr>
                <w:sz w:val="20"/>
                <w:szCs w:val="20"/>
                <w:color w:val="auto"/>
              </w:rPr>
            </w:pPr>
            <w:r>
              <w:rPr>
                <w:rFonts w:ascii="Arial" w:cs="Arial" w:eastAsia="Arial" w:hAnsi="Arial"/>
                <w:sz w:val="9"/>
                <w:szCs w:val="9"/>
                <w:color w:val="auto"/>
              </w:rPr>
              <w:t>IPO Transactions</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9,583,332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(522,386)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(727,613)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40" w:type="dxa"/>
            <w:vAlign w:val="bottom"/>
          </w:tcPr>
          <w:p>
            <w:pPr>
              <w:jc w:val="right"/>
              <w:ind w:right="15"/>
              <w:spacing w:after="0"/>
              <w:rPr>
                <w:sz w:val="20"/>
                <w:szCs w:val="20"/>
                <w:color w:val="auto"/>
              </w:rPr>
            </w:pPr>
            <w:r>
              <w:rPr>
                <w:rFonts w:ascii="Arial" w:cs="Arial" w:eastAsia="Arial" w:hAnsi="Arial"/>
                <w:sz w:val="9"/>
                <w:szCs w:val="9"/>
                <w:color w:val="auto"/>
              </w:rPr>
              <w:t>5,936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5,937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13"/>
              <w:spacing w:after="0"/>
              <w:rPr>
                <w:sz w:val="20"/>
                <w:szCs w:val="20"/>
                <w:color w:val="auto"/>
              </w:rPr>
            </w:pPr>
            <w:r>
              <w:rPr>
                <w:rFonts w:ascii="Arial" w:cs="Arial" w:eastAsia="Arial" w:hAnsi="Arial"/>
                <w:sz w:val="9"/>
                <w:szCs w:val="9"/>
                <w:color w:val="auto"/>
              </w:rPr>
              <w:t>81,917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87,854</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w w:val="97"/>
              </w:rPr>
              <w:t>Increase in deferred tax asset from step-up tax basis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w w:val="95"/>
              </w:rPr>
              <w:t>related to redemption of LLC Units and set-up of TRA</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456</w:t>
            </w:r>
          </w:p>
        </w:tc>
        <w:tc>
          <w:tcPr>
            <w:tcW w:w="0" w:type="dxa"/>
            <w:vAlign w:val="bottom"/>
          </w:tcPr>
          <w:p>
            <w:pPr>
              <w:spacing w:after="0"/>
              <w:rPr>
                <w:sz w:val="1"/>
                <w:szCs w:val="1"/>
                <w:color w:val="auto"/>
              </w:rPr>
            </w:pPr>
          </w:p>
        </w:tc>
      </w:tr>
      <w:tr>
        <w:trPr>
          <w:trHeight w:val="12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liability</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456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456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9"/>
                <w:szCs w:val="9"/>
                <w:color w:val="auto"/>
              </w:rPr>
              <w:t>LLC Units vesting during period</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4"/>
                <w:szCs w:val="14"/>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34,365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52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Equity-based compensation</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620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620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626</w:t>
            </w:r>
          </w:p>
        </w:tc>
        <w:tc>
          <w:tcPr>
            <w:tcW w:w="0" w:type="dxa"/>
            <w:vAlign w:val="bottom"/>
          </w:tcPr>
          <w:p>
            <w:pPr>
              <w:spacing w:after="0"/>
              <w:rPr>
                <w:sz w:val="1"/>
                <w:szCs w:val="1"/>
                <w:color w:val="auto"/>
              </w:rPr>
            </w:pPr>
          </w:p>
        </w:tc>
      </w:tr>
      <w:tr>
        <w:trPr>
          <w:trHeight w:val="128"/>
        </w:trPr>
        <w:tc>
          <w:tcPr>
            <w:tcW w:w="2080" w:type="dxa"/>
            <w:vAlign w:val="bottom"/>
          </w:tcPr>
          <w:p>
            <w:pPr>
              <w:ind w:left="20"/>
              <w:spacing w:after="0"/>
              <w:rPr>
                <w:sz w:val="20"/>
                <w:szCs w:val="20"/>
                <w:color w:val="auto"/>
              </w:rPr>
            </w:pPr>
            <w:r>
              <w:rPr>
                <w:rFonts w:ascii="Arial" w:cs="Arial" w:eastAsia="Arial" w:hAnsi="Arial"/>
                <w:sz w:val="9"/>
                <w:szCs w:val="9"/>
                <w:color w:val="auto"/>
                <w:w w:val="92"/>
              </w:rPr>
              <w:t>Net income subsequent to Reorganization Transactions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855</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and IPO</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tcPr>
          <w:p>
            <w:pPr>
              <w:ind w:left="300"/>
              <w:spacing w:after="0"/>
              <w:rPr>
                <w:sz w:val="20"/>
                <w:szCs w:val="20"/>
                <w:color w:val="auto"/>
              </w:rPr>
            </w:pPr>
            <w:r>
              <w:rPr>
                <w:rFonts w:ascii="Arial" w:cs="Arial" w:eastAsia="Arial" w:hAnsi="Arial"/>
                <w:sz w:val="9"/>
                <w:szCs w:val="9"/>
                <w:color w:val="auto"/>
              </w:rPr>
              <w:t>66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66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13"/>
              <w:spacing w:after="0"/>
              <w:rPr>
                <w:sz w:val="20"/>
                <w:szCs w:val="20"/>
                <w:color w:val="auto"/>
              </w:rPr>
            </w:pPr>
            <w:r>
              <w:rPr>
                <w:rFonts w:ascii="Arial" w:cs="Arial" w:eastAsia="Arial" w:hAnsi="Arial"/>
                <w:sz w:val="9"/>
                <w:szCs w:val="9"/>
                <w:color w:val="auto"/>
              </w:rPr>
              <w:t>789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Balance, September 30, 2021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9"/>
                <w:szCs w:val="9"/>
                <w:b w:val="1"/>
                <w:bCs w:val="1"/>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9,583,332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88"/>
              </w:rPr>
              <w:t>35,576,400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88"/>
              </w:rPr>
              <w:t>49,505,250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7,012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shd w:val="clear" w:color="auto" w:fill="CCEEFF"/>
          </w:tcPr>
          <w:p>
            <w:pPr>
              <w:ind w:left="300"/>
              <w:spacing w:after="0"/>
              <w:rPr>
                <w:sz w:val="20"/>
                <w:szCs w:val="20"/>
                <w:color w:val="auto"/>
              </w:rPr>
            </w:pPr>
            <w:r>
              <w:rPr>
                <w:rFonts w:ascii="Arial" w:cs="Arial" w:eastAsia="Arial" w:hAnsi="Arial"/>
                <w:sz w:val="9"/>
                <w:szCs w:val="9"/>
                <w:b w:val="1"/>
                <w:bCs w:val="1"/>
                <w:color w:val="auto"/>
              </w:rPr>
              <w:t>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78"/>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7,088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rPr>
              <w:t>62,899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69,987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40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36" w:right="81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2120" w:type="dxa"/>
            <w:vAlign w:val="bottom"/>
          </w:tcPr>
          <w:p>
            <w:pPr>
              <w:spacing w:after="0"/>
              <w:rPr>
                <w:sz w:val="9"/>
                <w:szCs w:val="9"/>
                <w:color w:val="auto"/>
              </w:rPr>
            </w:pPr>
          </w:p>
        </w:tc>
        <w:tc>
          <w:tcPr>
            <w:tcW w:w="2300" w:type="dxa"/>
            <w:vAlign w:val="bottom"/>
            <w:gridSpan w:val="10"/>
          </w:tcPr>
          <w:p>
            <w:pPr>
              <w:ind w:left="220"/>
              <w:spacing w:after="0"/>
              <w:rPr>
                <w:sz w:val="20"/>
                <w:szCs w:val="20"/>
                <w:color w:val="auto"/>
              </w:rPr>
            </w:pPr>
            <w:r>
              <w:rPr>
                <w:rFonts w:ascii="Arial" w:cs="Arial" w:eastAsia="Arial" w:hAnsi="Arial"/>
                <w:sz w:val="9"/>
                <w:szCs w:val="9"/>
                <w:b w:val="1"/>
                <w:bCs w:val="1"/>
                <w:color w:val="auto"/>
              </w:rPr>
              <w:t>Brilliant Earth, LLC (prior to Reorganization</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ind w:left="80"/>
              <w:spacing w:after="0"/>
              <w:rPr>
                <w:sz w:val="20"/>
                <w:szCs w:val="20"/>
                <w:color w:val="auto"/>
              </w:rPr>
            </w:pPr>
            <w:r>
              <w:rPr>
                <w:rFonts w:ascii="Arial" w:cs="Arial" w:eastAsia="Arial" w:hAnsi="Arial"/>
                <w:sz w:val="9"/>
                <w:szCs w:val="9"/>
                <w:b w:val="1"/>
                <w:bCs w:val="1"/>
                <w:color w:val="auto"/>
              </w:rPr>
              <w:t>Transactions) Note 8</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340" w:type="dxa"/>
            <w:vAlign w:val="bottom"/>
            <w:gridSpan w:val="12"/>
          </w:tcPr>
          <w:p>
            <w:pPr>
              <w:ind w:left="60"/>
              <w:spacing w:after="0"/>
              <w:rPr>
                <w:sz w:val="20"/>
                <w:szCs w:val="20"/>
                <w:color w:val="auto"/>
              </w:rPr>
            </w:pPr>
            <w:r>
              <w:rPr>
                <w:rFonts w:ascii="Arial" w:cs="Arial" w:eastAsia="Arial" w:hAnsi="Arial"/>
                <w:sz w:val="9"/>
                <w:szCs w:val="9"/>
                <w:b w:val="1"/>
                <w:bCs w:val="1"/>
                <w:color w:val="auto"/>
              </w:rPr>
              <w:t>Brilliant Earth Group, Inc. Stockholders' Equity</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7"/>
              </w:rPr>
              <w:t>Non-</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40" w:type="dxa"/>
            <w:vAlign w:val="bottom"/>
            <w:gridSpan w:val="5"/>
          </w:tcPr>
          <w:p>
            <w:pPr>
              <w:ind w:left="20"/>
              <w:spacing w:after="0"/>
              <w:rPr>
                <w:sz w:val="20"/>
                <w:szCs w:val="20"/>
                <w:color w:val="auto"/>
              </w:rPr>
            </w:pPr>
            <w:r>
              <w:rPr>
                <w:rFonts w:ascii="Arial" w:cs="Arial" w:eastAsia="Arial" w:hAnsi="Arial"/>
                <w:sz w:val="9"/>
                <w:szCs w:val="9"/>
                <w:b w:val="1"/>
                <w:bCs w:val="1"/>
                <w:color w:val="auto"/>
                <w:w w:val="98"/>
              </w:rPr>
              <w:t>Class F Units and Class M</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9"/>
                <w:szCs w:val="9"/>
                <w:b w:val="1"/>
                <w:bCs w:val="1"/>
                <w:color w:val="auto"/>
                <w:w w:val="91"/>
              </w:rPr>
              <w:t>Controlling</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1160" w:type="dxa"/>
            <w:vAlign w:val="bottom"/>
            <w:tcBorders>
              <w:right w:val="single" w:sz="8" w:color="auto"/>
            </w:tcBorders>
            <w:gridSpan w:val="5"/>
          </w:tcPr>
          <w:p>
            <w:pPr>
              <w:ind w:left="280"/>
              <w:spacing w:after="0"/>
              <w:rPr>
                <w:sz w:val="20"/>
                <w:szCs w:val="20"/>
                <w:color w:val="auto"/>
              </w:rPr>
            </w:pPr>
            <w:r>
              <w:rPr>
                <w:rFonts w:ascii="Arial" w:cs="Arial" w:eastAsia="Arial" w:hAnsi="Arial"/>
                <w:sz w:val="9"/>
                <w:szCs w:val="9"/>
                <w:b w:val="1"/>
                <w:bCs w:val="1"/>
                <w:color w:val="auto"/>
              </w:rPr>
              <w:t>Class P Units</w:t>
            </w:r>
          </w:p>
        </w:tc>
        <w:tc>
          <w:tcPr>
            <w:tcW w:w="640" w:type="dxa"/>
            <w:vAlign w:val="bottom"/>
            <w:gridSpan w:val="3"/>
          </w:tcPr>
          <w:p>
            <w:pPr>
              <w:jc w:val="right"/>
              <w:spacing w:after="0"/>
              <w:rPr>
                <w:sz w:val="20"/>
                <w:szCs w:val="20"/>
                <w:color w:val="auto"/>
              </w:rPr>
            </w:pPr>
            <w:r>
              <w:rPr>
                <w:rFonts w:ascii="Arial" w:cs="Arial" w:eastAsia="Arial" w:hAnsi="Arial"/>
                <w:sz w:val="9"/>
                <w:szCs w:val="9"/>
                <w:b w:val="1"/>
                <w:bCs w:val="1"/>
                <w:color w:val="auto"/>
              </w:rPr>
              <w:t>Units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ind w:left="60"/>
              <w:spacing w:after="0"/>
              <w:rPr>
                <w:sz w:val="20"/>
                <w:szCs w:val="20"/>
                <w:color w:val="auto"/>
              </w:rPr>
            </w:pPr>
            <w:r>
              <w:rPr>
                <w:rFonts w:ascii="Arial" w:cs="Arial" w:eastAsia="Arial" w:hAnsi="Arial"/>
                <w:sz w:val="9"/>
                <w:szCs w:val="9"/>
                <w:b w:val="1"/>
                <w:bCs w:val="1"/>
                <w:color w:val="auto"/>
              </w:rPr>
              <w:t>Class A Common Stock</w:t>
            </w:r>
          </w:p>
        </w:tc>
        <w:tc>
          <w:tcPr>
            <w:tcW w:w="1080" w:type="dxa"/>
            <w:vAlign w:val="bottom"/>
            <w:gridSpan w:val="5"/>
          </w:tcPr>
          <w:p>
            <w:pPr>
              <w:ind w:left="60"/>
              <w:spacing w:after="0"/>
              <w:rPr>
                <w:sz w:val="20"/>
                <w:szCs w:val="20"/>
                <w:color w:val="auto"/>
              </w:rPr>
            </w:pPr>
            <w:r>
              <w:rPr>
                <w:rFonts w:ascii="Arial" w:cs="Arial" w:eastAsia="Arial" w:hAnsi="Arial"/>
                <w:sz w:val="9"/>
                <w:szCs w:val="9"/>
                <w:b w:val="1"/>
                <w:bCs w:val="1"/>
                <w:color w:val="auto"/>
                <w:w w:val="98"/>
              </w:rPr>
              <w:t>Class B Common Stock</w:t>
            </w:r>
          </w:p>
        </w:tc>
        <w:tc>
          <w:tcPr>
            <w:tcW w:w="1100" w:type="dxa"/>
            <w:vAlign w:val="bottom"/>
            <w:gridSpan w:val="5"/>
          </w:tcPr>
          <w:p>
            <w:pPr>
              <w:ind w:left="60"/>
              <w:spacing w:after="0"/>
              <w:rPr>
                <w:sz w:val="20"/>
                <w:szCs w:val="20"/>
                <w:color w:val="auto"/>
              </w:rPr>
            </w:pPr>
            <w:r>
              <w:rPr>
                <w:rFonts w:ascii="Arial" w:cs="Arial" w:eastAsia="Arial" w:hAnsi="Arial"/>
                <w:sz w:val="9"/>
                <w:szCs w:val="9"/>
                <w:b w:val="1"/>
                <w:bCs w:val="1"/>
                <w:color w:val="auto"/>
              </w:rPr>
              <w:t>Class C Common Stock</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Interest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3"/>
            <w:vMerge w:val="restart"/>
          </w:tcPr>
          <w:p>
            <w:pPr>
              <w:jc w:val="center"/>
              <w:ind w:right="80"/>
              <w:spacing w:after="0"/>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Total</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Total</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9"/>
              </w:rPr>
              <w:t>Paid-In</w:t>
            </w:r>
          </w:p>
        </w:tc>
        <w:tc>
          <w:tcPr>
            <w:tcW w:w="60" w:type="dxa"/>
            <w:vAlign w:val="bottom"/>
          </w:tcPr>
          <w:p>
            <w:pPr>
              <w:spacing w:after="0"/>
              <w:rPr>
                <w:sz w:val="9"/>
                <w:szCs w:val="9"/>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Retained</w:t>
            </w:r>
          </w:p>
        </w:tc>
        <w:tc>
          <w:tcPr>
            <w:tcW w:w="680" w:type="dxa"/>
            <w:vAlign w:val="bottom"/>
            <w:gridSpan w:val="3"/>
          </w:tcPr>
          <w:p>
            <w:pPr>
              <w:jc w:val="center"/>
              <w:ind w:right="80"/>
              <w:spacing w:after="0"/>
              <w:rPr>
                <w:sz w:val="20"/>
                <w:szCs w:val="20"/>
                <w:color w:val="auto"/>
              </w:rPr>
            </w:pPr>
            <w:r>
              <w:rPr>
                <w:rFonts w:ascii="Arial" w:cs="Arial" w:eastAsia="Arial" w:hAnsi="Arial"/>
                <w:sz w:val="9"/>
                <w:szCs w:val="9"/>
                <w:b w:val="1"/>
                <w:bCs w:val="1"/>
                <w:color w:val="auto"/>
                <w:w w:val="87"/>
              </w:rPr>
              <w:t>Stockholders'</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ind w:right="1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16"/>
        </w:trPr>
        <w:tc>
          <w:tcPr>
            <w:tcW w:w="212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9"/>
                <w:szCs w:val="9"/>
                <w:b w:val="1"/>
                <w:bCs w:val="1"/>
                <w:color w:val="auto"/>
              </w:rPr>
              <w:t>Total Units</w:t>
            </w:r>
          </w:p>
        </w:tc>
        <w:tc>
          <w:tcPr>
            <w:tcW w:w="60" w:type="dxa"/>
            <w:vAlign w:val="bottom"/>
          </w:tcPr>
          <w:p>
            <w:pPr>
              <w:spacing w:after="0"/>
              <w:rPr>
                <w:sz w:val="10"/>
                <w:szCs w:val="10"/>
                <w:color w:val="auto"/>
              </w:rPr>
            </w:pPr>
          </w:p>
        </w:tc>
        <w:tc>
          <w:tcPr>
            <w:tcW w:w="520" w:type="dxa"/>
            <w:vAlign w:val="bottom"/>
            <w:tcBorders>
              <w:right w:val="single" w:sz="8" w:color="auto"/>
            </w:tcBorders>
            <w:gridSpan w:val="2"/>
          </w:tcPr>
          <w:p>
            <w:pPr>
              <w:spacing w:after="0"/>
              <w:rPr>
                <w:sz w:val="20"/>
                <w:szCs w:val="20"/>
                <w:color w:val="auto"/>
              </w:rPr>
            </w:pPr>
            <w:r>
              <w:rPr>
                <w:rFonts w:ascii="Arial" w:cs="Arial" w:eastAsia="Arial" w:hAnsi="Arial"/>
                <w:sz w:val="9"/>
                <w:szCs w:val="9"/>
                <w:b w:val="1"/>
                <w:bCs w:val="1"/>
                <w:color w:val="auto"/>
              </w:rPr>
              <w:t>Amounts</w:t>
            </w:r>
          </w:p>
        </w:tc>
        <w:tc>
          <w:tcPr>
            <w:tcW w:w="580" w:type="dxa"/>
            <w:vAlign w:val="bottom"/>
            <w:gridSpan w:val="2"/>
          </w:tcPr>
          <w:p>
            <w:pPr>
              <w:ind w:left="40"/>
              <w:spacing w:after="0"/>
              <w:rPr>
                <w:sz w:val="20"/>
                <w:szCs w:val="20"/>
                <w:color w:val="auto"/>
              </w:rPr>
            </w:pPr>
            <w:r>
              <w:rPr>
                <w:rFonts w:ascii="Arial" w:cs="Arial" w:eastAsia="Arial" w:hAnsi="Arial"/>
                <w:sz w:val="9"/>
                <w:szCs w:val="9"/>
                <w:b w:val="1"/>
                <w:bCs w:val="1"/>
                <w:color w:val="auto"/>
              </w:rPr>
              <w:t>Total Units</w:t>
            </w:r>
          </w:p>
        </w:tc>
        <w:tc>
          <w:tcPr>
            <w:tcW w:w="60" w:type="dxa"/>
            <w:vAlign w:val="bottom"/>
          </w:tcPr>
          <w:p>
            <w:pPr>
              <w:spacing w:after="0"/>
              <w:rPr>
                <w:sz w:val="10"/>
                <w:szCs w:val="10"/>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Amounts</w:t>
            </w:r>
          </w:p>
        </w:tc>
        <w:tc>
          <w:tcPr>
            <w:tcW w:w="5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460" w:type="dxa"/>
            <w:vAlign w:val="bottom"/>
          </w:tcPr>
          <w:p>
            <w:pPr>
              <w:jc w:val="right"/>
              <w:ind w:right="55"/>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56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Capital</w:t>
            </w:r>
          </w:p>
        </w:tc>
        <w:tc>
          <w:tcPr>
            <w:tcW w:w="6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Earnings</w:t>
            </w:r>
          </w:p>
        </w:tc>
        <w:tc>
          <w:tcPr>
            <w:tcW w:w="120" w:type="dxa"/>
            <w:vAlign w:val="bottom"/>
          </w:tcPr>
          <w:p>
            <w:pPr>
              <w:spacing w:after="0"/>
              <w:rPr>
                <w:sz w:val="10"/>
                <w:szCs w:val="10"/>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10"/>
                <w:szCs w:val="10"/>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Amounts</w:t>
            </w:r>
          </w:p>
        </w:tc>
        <w:tc>
          <w:tcPr>
            <w:tcW w:w="100" w:type="dxa"/>
            <w:vAlign w:val="bottom"/>
          </w:tcPr>
          <w:p>
            <w:pPr>
              <w:spacing w:after="0"/>
              <w:rPr>
                <w:sz w:val="10"/>
                <w:szCs w:val="10"/>
                <w:color w:val="auto"/>
              </w:rPr>
            </w:pPr>
          </w:p>
        </w:tc>
        <w:tc>
          <w:tcPr>
            <w:tcW w:w="440" w:type="dxa"/>
            <w:vAlign w:val="bottom"/>
          </w:tcPr>
          <w:p>
            <w:pPr>
              <w:jc w:val="right"/>
              <w:ind w:right="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8"/>
        </w:trPr>
        <w:tc>
          <w:tcPr>
            <w:tcW w:w="2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Balance, January 1, 2020</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3"/>
              </w:rPr>
              <w:t>32,435,595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80,829</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3"/>
              </w:rPr>
              <w:t>52,595,807</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(91,519)</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(91,519)</w:t>
            </w: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Arial" w:cs="Arial" w:eastAsia="Arial" w:hAnsi="Arial"/>
                <w:sz w:val="9"/>
                <w:szCs w:val="9"/>
                <w:color w:val="auto"/>
              </w:rPr>
              <w:t>Vested Class M Units</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15"/>
              <w:spacing w:after="0"/>
              <w:rPr>
                <w:sz w:val="20"/>
                <w:szCs w:val="20"/>
                <w:color w:val="auto"/>
              </w:rPr>
            </w:pPr>
            <w:r>
              <w:rPr>
                <w:rFonts w:ascii="Arial" w:cs="Arial" w:eastAsia="Arial" w:hAnsi="Arial"/>
                <w:sz w:val="9"/>
                <w:szCs w:val="9"/>
                <w:color w:val="auto"/>
              </w:rPr>
              <w:t>78,697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Equity-based compensation</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21</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21</w:t>
            </w: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Arial" w:cs="Arial" w:eastAsia="Arial" w:hAnsi="Arial"/>
                <w:sz w:val="9"/>
                <w:szCs w:val="9"/>
                <w:color w:val="auto"/>
              </w:rPr>
              <w:t>Net income</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8,223</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8,223</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w w:val="93"/>
              </w:rPr>
              <w:t>Adjustment of redeemable convertible preferred units to</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11,610</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redemption value</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(11,610)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11,610</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20" w:type="dxa"/>
            <w:vAlign w:val="bottom"/>
          </w:tcPr>
          <w:p>
            <w:pPr>
              <w:ind w:left="20"/>
              <w:spacing w:after="0"/>
              <w:rPr>
                <w:sz w:val="20"/>
                <w:szCs w:val="20"/>
                <w:color w:val="auto"/>
              </w:rPr>
            </w:pPr>
            <w:r>
              <w:rPr>
                <w:rFonts w:ascii="Arial" w:cs="Arial" w:eastAsia="Arial" w:hAnsi="Arial"/>
                <w:sz w:val="9"/>
                <w:szCs w:val="9"/>
                <w:b w:val="1"/>
                <w:bCs w:val="1"/>
                <w:color w:val="auto"/>
              </w:rPr>
              <w:t>Balance, September 30, 2020</w:t>
            </w: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93"/>
              </w:rPr>
              <w:t>32,435,595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69,219</w:t>
            </w:r>
          </w:p>
        </w:tc>
        <w:tc>
          <w:tcPr>
            <w:tcW w:w="100" w:type="dxa"/>
            <w:vAlign w:val="bottom"/>
            <w:tcBorders>
              <w:right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b w:val="1"/>
                <w:bCs w:val="1"/>
                <w:color w:val="auto"/>
                <w:w w:val="93"/>
              </w:rPr>
              <w:t>52,674,504</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(71,665)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rPr>
              <w:t>(71,665)</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rPr>
              <w:t>Balance, January 1, 2021</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3"/>
              </w:rPr>
              <w:t>32,435,595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66,327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3"/>
              </w:rPr>
              <w:t>52,770,654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(85,395)</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(85,395)</w:t>
            </w: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Arial" w:cs="Arial" w:eastAsia="Arial" w:hAnsi="Arial"/>
                <w:sz w:val="9"/>
                <w:szCs w:val="9"/>
                <w:color w:val="auto"/>
              </w:rPr>
              <w:t>Tax distributions to members</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(9,755)</w:t>
            </w:r>
          </w:p>
        </w:tc>
        <w:tc>
          <w:tcPr>
            <w:tcW w:w="100" w:type="dxa"/>
            <w:vAlign w:val="bottom"/>
            <w:tcBorders>
              <w:right w:val="single" w:sz="8" w:color="auto"/>
            </w:tcBorders>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(11,643)</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(11,643)</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Vested Class M Units</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556,446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Arial" w:cs="Arial" w:eastAsia="Arial" w:hAnsi="Arial"/>
                <w:sz w:val="9"/>
                <w:szCs w:val="9"/>
                <w:color w:val="auto"/>
              </w:rPr>
              <w:t>Equity-based compensation</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246</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246</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Net income prior to the Reorganization Transactions and</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8,526</w:t>
            </w:r>
          </w:p>
        </w:tc>
        <w:tc>
          <w:tcPr>
            <w:tcW w:w="0" w:type="dxa"/>
            <w:vAlign w:val="bottom"/>
          </w:tcPr>
          <w:p>
            <w:pPr>
              <w:spacing w:after="0"/>
              <w:rPr>
                <w:sz w:val="1"/>
                <w:szCs w:val="1"/>
                <w:color w:val="auto"/>
              </w:rPr>
            </w:pPr>
          </w:p>
        </w:tc>
      </w:tr>
      <w:tr>
        <w:trPr>
          <w:trHeight w:val="12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IPO</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5,466</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8,526</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w w:val="93"/>
              </w:rPr>
              <w:t>Adjustment of redeemable convertible preferred units to</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(327,189)</w:t>
            </w:r>
          </w:p>
        </w:tc>
        <w:tc>
          <w:tcPr>
            <w:tcW w:w="0" w:type="dxa"/>
            <w:vAlign w:val="bottom"/>
          </w:tcPr>
          <w:p>
            <w:pPr>
              <w:spacing w:after="0"/>
              <w:rPr>
                <w:sz w:val="1"/>
                <w:szCs w:val="1"/>
                <w:color w:val="auto"/>
              </w:rPr>
            </w:pPr>
          </w:p>
        </w:tc>
      </w:tr>
      <w:tr>
        <w:trPr>
          <w:trHeight w:val="114"/>
        </w:trPr>
        <w:tc>
          <w:tcPr>
            <w:tcW w:w="2120" w:type="dxa"/>
            <w:vAlign w:val="bottom"/>
          </w:tcPr>
          <w:p>
            <w:pPr>
              <w:ind w:left="20"/>
              <w:spacing w:after="0"/>
              <w:rPr>
                <w:sz w:val="20"/>
                <w:szCs w:val="20"/>
                <w:color w:val="auto"/>
              </w:rPr>
            </w:pPr>
            <w:r>
              <w:rPr>
                <w:rFonts w:ascii="Arial" w:cs="Arial" w:eastAsia="Arial" w:hAnsi="Arial"/>
                <w:sz w:val="9"/>
                <w:szCs w:val="9"/>
                <w:color w:val="auto"/>
              </w:rPr>
              <w:t>redemption value</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327,189</w:t>
            </w:r>
          </w:p>
        </w:tc>
        <w:tc>
          <w:tcPr>
            <w:tcW w:w="100" w:type="dxa"/>
            <w:vAlign w:val="bottom"/>
            <w:tcBorders>
              <w:right w:val="single" w:sz="8" w:color="auto"/>
            </w:tcBorders>
          </w:tcPr>
          <w:p>
            <w:pPr>
              <w:spacing w:after="0"/>
              <w:rPr>
                <w:sz w:val="9"/>
                <w:szCs w:val="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w w:val="98"/>
              </w:rPr>
              <w:t>(327,189)</w:t>
            </w: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Reorganization Transactions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(32,435,595)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8"/>
              </w:rPr>
              <w:t>(389,227)</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(53,327,100)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415,455</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88"/>
              </w:rPr>
              <w:t>36,064,421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3"/>
              </w:rPr>
              <w:t>50,232,863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(19,813)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395,651</w:t>
            </w:r>
          </w:p>
        </w:tc>
        <w:tc>
          <w:tcPr>
            <w:tcW w:w="0" w:type="dxa"/>
            <w:vAlign w:val="bottom"/>
          </w:tcPr>
          <w:p>
            <w:pPr>
              <w:spacing w:after="0"/>
              <w:rPr>
                <w:sz w:val="1"/>
                <w:szCs w:val="1"/>
                <w:color w:val="auto"/>
              </w:rPr>
            </w:pPr>
          </w:p>
        </w:tc>
      </w:tr>
      <w:tr>
        <w:trPr>
          <w:trHeight w:val="134"/>
        </w:trPr>
        <w:tc>
          <w:tcPr>
            <w:tcW w:w="2120" w:type="dxa"/>
            <w:vAlign w:val="bottom"/>
          </w:tcPr>
          <w:p>
            <w:pPr>
              <w:ind w:left="20"/>
              <w:spacing w:after="0"/>
              <w:rPr>
                <w:sz w:val="20"/>
                <w:szCs w:val="20"/>
                <w:color w:val="auto"/>
              </w:rPr>
            </w:pPr>
            <w:r>
              <w:rPr>
                <w:rFonts w:ascii="Arial" w:cs="Arial" w:eastAsia="Arial" w:hAnsi="Arial"/>
                <w:sz w:val="9"/>
                <w:szCs w:val="9"/>
                <w:color w:val="auto"/>
              </w:rPr>
              <w:t>IPO Transactions</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jc w:val="right"/>
              <w:ind w:right="15"/>
              <w:spacing w:after="0"/>
              <w:rPr>
                <w:sz w:val="20"/>
                <w:szCs w:val="20"/>
                <w:color w:val="auto"/>
              </w:rPr>
            </w:pPr>
            <w:r>
              <w:rPr>
                <w:rFonts w:ascii="Arial" w:cs="Arial" w:eastAsia="Arial" w:hAnsi="Arial"/>
                <w:sz w:val="9"/>
                <w:szCs w:val="9"/>
                <w:color w:val="auto"/>
                <w:w w:val="99"/>
              </w:rPr>
              <w:t>9,583,332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(522,386)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(727,613)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5,936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ind w:left="3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5,937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81,917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87,854</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w w:val="99"/>
              </w:rPr>
              <w:t>Increase in deferred tax asset from step-up tax basis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color w:val="auto"/>
                <w:w w:val="97"/>
              </w:rPr>
              <w:t>related to redemption of LLC Units and set-up of TRA</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456</w:t>
            </w:r>
          </w:p>
        </w:tc>
        <w:tc>
          <w:tcPr>
            <w:tcW w:w="0" w:type="dxa"/>
            <w:vAlign w:val="bottom"/>
          </w:tcPr>
          <w:p>
            <w:pPr>
              <w:spacing w:after="0"/>
              <w:rPr>
                <w:sz w:val="1"/>
                <w:szCs w:val="1"/>
                <w:color w:val="auto"/>
              </w:rPr>
            </w:pPr>
          </w:p>
        </w:tc>
      </w:tr>
      <w:tr>
        <w:trPr>
          <w:trHeight w:val="12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liability</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456</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456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20"/>
              <w:spacing w:after="0"/>
              <w:rPr>
                <w:sz w:val="20"/>
                <w:szCs w:val="20"/>
                <w:color w:val="auto"/>
              </w:rPr>
            </w:pPr>
            <w:r>
              <w:rPr>
                <w:rFonts w:ascii="Arial" w:cs="Arial" w:eastAsia="Arial" w:hAnsi="Arial"/>
                <w:sz w:val="9"/>
                <w:szCs w:val="9"/>
                <w:color w:val="auto"/>
              </w:rPr>
              <w:t>LLC Units vesting during period</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34,365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4"/>
                <w:szCs w:val="14"/>
                <w:color w:val="auto"/>
              </w:rPr>
            </w:pPr>
          </w:p>
        </w:tc>
        <w:tc>
          <w:tcPr>
            <w:tcW w:w="540" w:type="dxa"/>
            <w:vAlign w:val="bottom"/>
            <w:gridSpan w:val="2"/>
          </w:tcPr>
          <w:p>
            <w:pPr>
              <w:ind w:left="3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8"/>
        </w:trPr>
        <w:tc>
          <w:tcPr>
            <w:tcW w:w="2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Equity-based compensation</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620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620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626</w:t>
            </w:r>
          </w:p>
        </w:tc>
        <w:tc>
          <w:tcPr>
            <w:tcW w:w="0" w:type="dxa"/>
            <w:vAlign w:val="bottom"/>
          </w:tcPr>
          <w:p>
            <w:pPr>
              <w:spacing w:after="0"/>
              <w:rPr>
                <w:sz w:val="1"/>
                <w:szCs w:val="1"/>
                <w:color w:val="auto"/>
              </w:rPr>
            </w:pPr>
          </w:p>
        </w:tc>
      </w:tr>
      <w:tr>
        <w:trPr>
          <w:trHeight w:val="128"/>
        </w:trPr>
        <w:tc>
          <w:tcPr>
            <w:tcW w:w="2120" w:type="dxa"/>
            <w:vAlign w:val="bottom"/>
          </w:tcPr>
          <w:p>
            <w:pPr>
              <w:ind w:left="20"/>
              <w:spacing w:after="0"/>
              <w:rPr>
                <w:sz w:val="20"/>
                <w:szCs w:val="20"/>
                <w:color w:val="auto"/>
              </w:rPr>
            </w:pPr>
            <w:r>
              <w:rPr>
                <w:rFonts w:ascii="Arial" w:cs="Arial" w:eastAsia="Arial" w:hAnsi="Arial"/>
                <w:sz w:val="9"/>
                <w:szCs w:val="9"/>
                <w:color w:val="auto"/>
                <w:w w:val="93"/>
              </w:rPr>
              <w:t>Net income subsequent to Reorganization Transactions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855</w:t>
            </w:r>
          </w:p>
        </w:tc>
        <w:tc>
          <w:tcPr>
            <w:tcW w:w="0" w:type="dxa"/>
            <w:vAlign w:val="bottom"/>
          </w:tcPr>
          <w:p>
            <w:pPr>
              <w:spacing w:after="0"/>
              <w:rPr>
                <w:sz w:val="1"/>
                <w:szCs w:val="1"/>
                <w:color w:val="auto"/>
              </w:rPr>
            </w:pPr>
          </w:p>
        </w:tc>
      </w:tr>
      <w:tr>
        <w:trPr>
          <w:trHeight w:val="114"/>
        </w:trPr>
        <w:tc>
          <w:tcPr>
            <w:tcW w:w="2120" w:type="dxa"/>
            <w:vAlign w:val="bottom"/>
          </w:tcPr>
          <w:p>
            <w:pPr>
              <w:ind w:left="20"/>
              <w:spacing w:after="0"/>
              <w:rPr>
                <w:sz w:val="20"/>
                <w:szCs w:val="20"/>
                <w:color w:val="auto"/>
              </w:rPr>
            </w:pPr>
            <w:r>
              <w:rPr>
                <w:rFonts w:ascii="Arial" w:cs="Arial" w:eastAsia="Arial" w:hAnsi="Arial"/>
                <w:sz w:val="9"/>
                <w:szCs w:val="9"/>
                <w:color w:val="auto"/>
              </w:rPr>
              <w:t>and IPO</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Arial" w:cs="Arial" w:eastAsia="Arial" w:hAnsi="Arial"/>
                <w:sz w:val="9"/>
                <w:szCs w:val="9"/>
                <w:color w:val="auto"/>
              </w:rPr>
              <w:t>66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789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Balance, September 30, 2021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5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b w:val="1"/>
                <w:bCs w:val="1"/>
                <w:color w:val="auto"/>
              </w:rPr>
              <w:t>—</w:t>
            </w: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99"/>
              </w:rPr>
              <w:t>9,583,332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rPr>
              <w:t>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88"/>
              </w:rPr>
              <w:t>35,576,400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3"/>
              </w:rPr>
              <w:t>49,505,250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7,012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9"/>
                <w:szCs w:val="9"/>
                <w:b w:val="1"/>
                <w:bCs w:val="1"/>
                <w:color w:val="auto"/>
              </w:rPr>
              <w:t>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b w:val="1"/>
                <w:bCs w:val="1"/>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7,088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62,899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69,987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40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36" w:right="81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Brilliant Earth Group, Inc.</w:t>
      </w:r>
    </w:p>
    <w:p>
      <w:pPr>
        <w:spacing w:after="0" w:line="26" w:lineRule="exact"/>
        <w:rPr>
          <w:sz w:val="20"/>
          <w:szCs w:val="20"/>
          <w:color w:val="auto"/>
        </w:rPr>
      </w:pPr>
    </w:p>
    <w:p>
      <w:pPr>
        <w:jc w:val="center"/>
        <w:ind w:right="-45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(Unaudited and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40" w:type="dxa"/>
            <w:vAlign w:val="bottom"/>
          </w:tcPr>
          <w:p>
            <w:pPr>
              <w:spacing w:after="0"/>
              <w:rPr>
                <w:sz w:val="14"/>
                <w:szCs w:val="14"/>
                <w:color w:val="auto"/>
              </w:rPr>
            </w:pPr>
          </w:p>
        </w:tc>
        <w:tc>
          <w:tcPr>
            <w:tcW w:w="2960" w:type="dxa"/>
            <w:vAlign w:val="bottom"/>
            <w:gridSpan w:val="4"/>
          </w:tcPr>
          <w:p>
            <w:pPr>
              <w:jc w:val="right"/>
              <w:ind w:right="217"/>
              <w:spacing w:after="0"/>
              <w:rPr>
                <w:sz w:val="20"/>
                <w:szCs w:val="20"/>
                <w:color w:val="auto"/>
              </w:rPr>
            </w:pPr>
            <w:r>
              <w:rPr>
                <w:rFonts w:ascii="Arial" w:cs="Arial" w:eastAsia="Arial" w:hAnsi="Arial"/>
                <w:sz w:val="13"/>
                <w:szCs w:val="13"/>
                <w:b w:val="1"/>
                <w:bCs w:val="1"/>
                <w:color w:val="auto"/>
              </w:rPr>
              <w:t>Nine months ended September 30,</w:t>
            </w:r>
          </w:p>
        </w:tc>
        <w:tc>
          <w:tcPr>
            <w:tcW w:w="580" w:type="dxa"/>
            <w:vAlign w:val="bottom"/>
          </w:tcPr>
          <w:p>
            <w:pPr>
              <w:spacing w:after="0"/>
              <w:rPr>
                <w:sz w:val="14"/>
                <w:szCs w:val="14"/>
                <w:color w:val="auto"/>
              </w:rPr>
            </w:pPr>
          </w:p>
        </w:tc>
      </w:tr>
      <w:tr>
        <w:trPr>
          <w:trHeight w:val="29"/>
        </w:trPr>
        <w:tc>
          <w:tcPr>
            <w:tcW w:w="7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7"/>
        </w:trPr>
        <w:tc>
          <w:tcPr>
            <w:tcW w:w="724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4"/>
                <w:szCs w:val="14"/>
                <w:color w:val="auto"/>
              </w:rPr>
            </w:pPr>
          </w:p>
        </w:tc>
      </w:tr>
      <w:tr>
        <w:trPr>
          <w:trHeight w:val="29"/>
        </w:trPr>
        <w:tc>
          <w:tcPr>
            <w:tcW w:w="7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73"/>
        </w:trPr>
        <w:tc>
          <w:tcPr>
            <w:tcW w:w="72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14,847</w:t>
            </w:r>
          </w:p>
        </w:tc>
        <w:tc>
          <w:tcPr>
            <w:tcW w:w="100" w:type="dxa"/>
            <w:vAlign w:val="bottom"/>
          </w:tcPr>
          <w:p>
            <w:pPr>
              <w:spacing w:after="0"/>
              <w:rPr>
                <w:sz w:val="15"/>
                <w:szCs w:val="15"/>
                <w:color w:val="auto"/>
              </w:rPr>
            </w:pPr>
          </w:p>
        </w:tc>
        <w:tc>
          <w:tcPr>
            <w:tcW w:w="1140" w:type="dxa"/>
            <w:vAlign w:val="bottom"/>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8,223</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Depreciation expense</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489</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Equity-based compensation expense</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872</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Change in fair value of warrants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6,331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Amortization of debt issuance costs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822</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Other</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73"/>
        </w:trPr>
        <w:tc>
          <w:tcPr>
            <w:tcW w:w="7240" w:type="dxa"/>
            <w:vAlign w:val="bottom"/>
          </w:tcPr>
          <w:p>
            <w:pPr>
              <w:ind w:left="360"/>
              <w:spacing w:after="0"/>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(6,501)</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(4,167)</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Prepaid expenses and other current assets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w:t>
            </w:r>
          </w:p>
        </w:tc>
      </w:tr>
      <w:tr>
        <w:trPr>
          <w:trHeight w:val="173"/>
        </w:trPr>
        <w:tc>
          <w:tcPr>
            <w:tcW w:w="7240" w:type="dxa"/>
            <w:vAlign w:val="bottom"/>
          </w:tcPr>
          <w:p>
            <w:pPr>
              <w:ind w:left="360"/>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Accounts payable, accrued expenses and other current liabilities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3,565</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73"/>
        </w:trPr>
        <w:tc>
          <w:tcPr>
            <w:tcW w:w="7240" w:type="dxa"/>
            <w:vAlign w:val="bottom"/>
          </w:tcPr>
          <w:p>
            <w:pPr>
              <w:ind w:left="360"/>
              <w:spacing w:after="0"/>
              <w:rPr>
                <w:sz w:val="20"/>
                <w:szCs w:val="20"/>
                <w:color w:val="auto"/>
              </w:rPr>
            </w:pPr>
            <w:r>
              <w:rPr>
                <w:rFonts w:ascii="Arial" w:cs="Arial" w:eastAsia="Arial" w:hAnsi="Arial"/>
                <w:sz w:val="13"/>
                <w:szCs w:val="13"/>
                <w:color w:val="auto"/>
              </w:rPr>
              <w:t>Deferred revenue</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11,098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9,449</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Deferred rent</w:t>
            </w: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67"/>
        </w:trPr>
        <w:tc>
          <w:tcPr>
            <w:tcW w:w="7240" w:type="dxa"/>
            <w:vAlign w:val="bottom"/>
          </w:tcPr>
          <w:p>
            <w:pPr>
              <w:ind w:left="460"/>
              <w:spacing w:after="0"/>
              <w:rPr>
                <w:sz w:val="20"/>
                <w:szCs w:val="20"/>
                <w:color w:val="auto"/>
              </w:rPr>
            </w:pPr>
            <w:r>
              <w:rPr>
                <w:rFonts w:ascii="Arial" w:cs="Arial" w:eastAsia="Arial" w:hAnsi="Arial"/>
                <w:sz w:val="13"/>
                <w:szCs w:val="13"/>
                <w:b w:val="1"/>
                <w:bCs w:val="1"/>
                <w:color w:val="auto"/>
              </w:rPr>
              <w:t>Net cash provided by operating activities</w:t>
            </w:r>
          </w:p>
        </w:tc>
        <w:tc>
          <w:tcPr>
            <w:tcW w:w="1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33,821</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15,190</w:t>
            </w:r>
          </w:p>
        </w:tc>
      </w:tr>
      <w:tr>
        <w:trPr>
          <w:trHeight w:val="29"/>
        </w:trPr>
        <w:tc>
          <w:tcPr>
            <w:tcW w:w="7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(4,385)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(529)</w:t>
            </w:r>
          </w:p>
        </w:tc>
      </w:tr>
      <w:tr>
        <w:trPr>
          <w:trHeight w:val="29"/>
        </w:trPr>
        <w:tc>
          <w:tcPr>
            <w:tcW w:w="7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b w:val="1"/>
                <w:bCs w:val="1"/>
                <w:color w:val="auto"/>
              </w:rPr>
              <w:t>Net cash used in investing activities</w:t>
            </w: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(4,385)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(529)</w:t>
            </w:r>
          </w:p>
        </w:tc>
      </w:tr>
      <w:tr>
        <w:trPr>
          <w:trHeight w:val="153"/>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Issuance of Class A common stock in IPO, net of underwriting discounts and offering costs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101,879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Redemption of LLC Units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(14,025)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Issuance of Class B and C shares of common stock</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Tax distributions to members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(21,398)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Payment of offering costs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Borrowings from PPP loan</w:t>
            </w:r>
          </w:p>
        </w:tc>
        <w:tc>
          <w:tcPr>
            <w:tcW w:w="1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2,657</w:t>
            </w:r>
          </w:p>
        </w:tc>
      </w:tr>
      <w:tr>
        <w:trPr>
          <w:trHeight w:val="30"/>
        </w:trPr>
        <w:tc>
          <w:tcPr>
            <w:tcW w:w="7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b w:val="1"/>
                <w:bCs w:val="1"/>
                <w:color w:val="auto"/>
              </w:rPr>
              <w:t>Net cash provided by financing activities</w:t>
            </w: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65,382</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2,657</w:t>
            </w:r>
          </w:p>
        </w:tc>
      </w:tr>
      <w:tr>
        <w:trPr>
          <w:trHeight w:val="167"/>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1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94,818</w:t>
            </w: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17,318</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66,474</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40,598</w:t>
            </w:r>
          </w:p>
        </w:tc>
      </w:tr>
      <w:tr>
        <w:trPr>
          <w:trHeight w:val="166"/>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1120" w:type="dxa"/>
            <w:vAlign w:val="bottom"/>
            <w:tcBorders>
              <w:top w:val="single" w:sz="8" w:color="auto"/>
            </w:tcBorders>
          </w:tcPr>
          <w:p>
            <w:pPr>
              <w:jc w:val="right"/>
              <w:ind w:right="97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161,292</w:t>
            </w: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ind w:right="99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57,916</w:t>
            </w:r>
          </w:p>
        </w:tc>
      </w:tr>
      <w:tr>
        <w:trPr>
          <w:trHeight w:val="30"/>
        </w:trPr>
        <w:tc>
          <w:tcPr>
            <w:tcW w:w="7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173"/>
        </w:trPr>
        <w:tc>
          <w:tcPr>
            <w:tcW w:w="724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Adjustment of redeemable convertible preferred units to redemption value</w:t>
            </w:r>
          </w:p>
        </w:tc>
        <w:tc>
          <w:tcPr>
            <w:tcW w:w="112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327,189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11,610</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Conversion of Class F and Class M Units to Common LLC Units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415,455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Conversion of Class P Units to Common LLC Units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389,227</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Net exercise of warrants on common LLC Units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6,415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Deferred offering costs included in accounts payable and accrued liabilities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4,563</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Deferred tax assets associated with redemption of LLC Units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4,375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TRA Obligation associated with redemption of LLC Units</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3,919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Credit to APIC related to redemption of LLC Units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9"/>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Debt issuance costs capitalized to principal of long-term debt</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Purchases of property and equipment included in accounts payable and accrued liabilities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30"/>
        </w:trPr>
        <w:tc>
          <w:tcPr>
            <w:tcW w:w="7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1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73"/>
        </w:trPr>
        <w:tc>
          <w:tcPr>
            <w:tcW w:w="7240" w:type="dxa"/>
            <w:vAlign w:val="bottom"/>
          </w:tcPr>
          <w:p>
            <w:pPr>
              <w:ind w:left="240"/>
              <w:spacing w:after="0"/>
              <w:rPr>
                <w:sz w:val="20"/>
                <w:szCs w:val="20"/>
                <w:color w:val="auto"/>
              </w:rPr>
            </w:pPr>
            <w:r>
              <w:rPr>
                <w:rFonts w:ascii="Arial" w:cs="Arial" w:eastAsia="Arial" w:hAnsi="Arial"/>
                <w:sz w:val="13"/>
                <w:szCs w:val="13"/>
                <w:color w:val="auto"/>
              </w:rPr>
              <w:t>Cash paid for interest</w:t>
            </w:r>
          </w:p>
        </w:tc>
        <w:tc>
          <w:tcPr>
            <w:tcW w:w="1120" w:type="dxa"/>
            <w:vAlign w:val="bottom"/>
          </w:tcPr>
          <w:p>
            <w:pPr>
              <w:jc w:val="right"/>
              <w:ind w:right="97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4,539</w:t>
            </w:r>
          </w:p>
        </w:tc>
        <w:tc>
          <w:tcPr>
            <w:tcW w:w="100" w:type="dxa"/>
            <w:vAlign w:val="bottom"/>
          </w:tcPr>
          <w:p>
            <w:pPr>
              <w:spacing w:after="0"/>
              <w:rPr>
                <w:sz w:val="15"/>
                <w:szCs w:val="15"/>
                <w:color w:val="auto"/>
              </w:rPr>
            </w:pPr>
          </w:p>
        </w:tc>
        <w:tc>
          <w:tcPr>
            <w:tcW w:w="1140" w:type="dxa"/>
            <w:vAlign w:val="bottom"/>
          </w:tcPr>
          <w:p>
            <w:pPr>
              <w:jc w:val="right"/>
              <w:ind w:right="9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2,769</w:t>
            </w:r>
          </w:p>
        </w:tc>
      </w:tr>
    </w:tbl>
    <w:p>
      <w:pPr>
        <w:spacing w:after="0" w:line="357" w:lineRule="exact"/>
        <w:rPr>
          <w:sz w:val="20"/>
          <w:szCs w:val="20"/>
          <w:color w:val="auto"/>
        </w:rPr>
      </w:pPr>
    </w:p>
    <w:p>
      <w:pPr>
        <w:ind w:left="240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0780"/>
          </w:cols>
          <w:pgMar w:left="320" w:top="136"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36" w:right="79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Brilliant Earth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BUSINESS AND ORGANIZATION</w:t>
      </w:r>
    </w:p>
    <w:p>
      <w:pPr>
        <w:spacing w:after="0" w:line="244"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22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 designs, procures and sells ethically-sourced diamonds, gemstones and jewelry online and through showrooms operated in San Francisco, Los Angeles, Boston, Chicago, San Diego, Washington DC, Denver, Philadelphia, Atlanta, Seattle, Portland, Austin, Dallas, and New York. Co-headquarters are located in San Francisco, California and Denver, Colorado.</w:t>
      </w:r>
    </w:p>
    <w:p>
      <w:pPr>
        <w:spacing w:after="0" w:line="213"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The Company operates in one operating and reporting segment which is the retail sale of diamonds, gemstones and jewelry. Over 90% of sales are to customers in the United States (“US”); sales to non-US customers immediately settle in US dollars and no cash balances are carried in foreign currencies.</w:t>
      </w:r>
    </w:p>
    <w:p>
      <w:pPr>
        <w:spacing w:after="0" w:line="21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accordance with accounting principles generally accepted in the United States of America ("U.S. GAAP") since the members of Brilliant Earth, LLC (the "Continuing Equity Owners”) prior to the IPO and merger continue to hold a controlling interest in Brilliant Earth, LLC after the merger (i.e., there was no change in control of Brilliant Earth, LLC) and since Brilliant Earth Group, Inc. was considered a “shell company” which does not meet the definition of a business, the financial statements of the combined entity represent a continuation of the financial position and results of operations of Brilliant Earth, LLC. Accordingly, the historical cost basis of assets, liabilities, and equity of Brilliant Earth, LLC are carried over to the condensed consolidated financial statements of the merged company as a common control transaction. Also, after consummation of the IPO, Brilliant Earth Group, Inc. became subject to U.S. federal, state, and local income taxes with respect to its allocable share of any taxable income of Brilliant Earth, LLC assessed at the prevailing corporate tax rates.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 and purchase of LLC Interests</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On September 27, 2021, the Company completed its IPO of 9,583,332 shares of Class A common stock at an offering price of $12.00 per share, (excluding the underwriting discount), including 1,249,999 shares of Class A common stock issued pursuant to the underwriters' over-allotment option. The Company received $101.9 million in proceeds after a deduction for underwriting discounts and offering costs totaling $13.1 million.</w:t>
      </w:r>
    </w:p>
    <w:p>
      <w:pPr>
        <w:spacing w:after="0" w:line="21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net proceeds were used to purchase 8,333,333 newly-issued membership units (the “LLC Units” or “LLC Interests”) from Brilliant Earth, LLC and 1,249,999 LLC Units in the form of a redemption from the Continuing Equity Owners at a price per unit equal to the IPO price of $11.22 per share after deducting the underwriting discount, and represents a 10.1% economic interest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 of Class F, P and M units at time of IPO</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At the time of the IPO, the existing limited liability company agreement of Brilliant Earth, LLC was amended and restated to, among other things, recapitalize all existing Class F, P and M Units in Brilliant Earth, LLC into 86,297,284 common LLC Units after applying a conversion ratio of 1.8588 with a further adjustment for a distribution threshold related to the M Units (which impacted their allocation of value so the economic effect of the exchange was a like-for-like value); the net conversion ratio was 1.8942, 1.9080 and 1.7735 for the Class F Units, P Units and M Units, respectively. The number of Class F, P and M Units presented in these financial statements for periods prior to the IPO have been retroactively adjusted to reflect the conversion ratios (as discussed in the preceding sentence) similar to the presentation of a stock-split.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the restructuring, offering and other transactions completed in connection with the IPO</w:t>
      </w:r>
    </w:p>
    <w:p>
      <w:pPr>
        <w:spacing w:after="0" w:line="243"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color w:val="auto"/>
        </w:rPr>
        <w:t>In connection with the IPO, Brilliant Earth Group, Inc. and Brilliant Earth, LLC completed a series of transactions that comprise of reorganization, offering and other financing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reorganization transactions which occurred as of the date of IPO (the "Reorganization Transactions"):</w:t>
      </w:r>
    </w:p>
    <w:p>
      <w:pPr>
        <w:spacing w:after="0" w:line="254" w:lineRule="exact"/>
        <w:rPr>
          <w:sz w:val="20"/>
          <w:szCs w:val="20"/>
          <w:color w:val="auto"/>
        </w:rPr>
      </w:pPr>
    </w:p>
    <w:p>
      <w:pPr>
        <w:ind w:left="660" w:right="60" w:hanging="328"/>
        <w:spacing w:after="0" w:line="24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Amended and restated the existing limited liability company agreement of Brilliant Earth, LLC (the "LLC Agreement"),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221" w:lineRule="exact"/>
        <w:rPr>
          <w:rFonts w:ascii="Arial" w:cs="Arial" w:eastAsia="Arial" w:hAnsi="Arial"/>
          <w:sz w:val="20"/>
          <w:szCs w:val="20"/>
          <w:color w:val="auto"/>
        </w:rPr>
      </w:pPr>
    </w:p>
    <w:p>
      <w:pPr>
        <w:ind w:left="660" w:right="360" w:hanging="328"/>
        <w:spacing w:after="0" w:line="316"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56" w:lineRule="exact"/>
        <w:rPr>
          <w:rFonts w:ascii="Arial" w:cs="Arial" w:eastAsia="Arial" w:hAnsi="Arial"/>
          <w:sz w:val="18"/>
          <w:szCs w:val="18"/>
          <w:color w:val="auto"/>
        </w:rPr>
      </w:pPr>
    </w:p>
    <w:p>
      <w:pPr>
        <w:ind w:left="660" w:right="20" w:hanging="328"/>
        <w:spacing w:after="0" w:line="246"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Issued 36,064,421 shares of Class B common stock (prior to the redemption of 522,386 shares pursuant to the exercise of underwriters’ overallotment options discussed below) to the Continuing Equity Owners, excluding the founders, Beth Gerstein, Co-Founder and Chief Executive Officer, Eric Grossberg, Co-Founder and Executive Chairman, and Just Rocks, a Delaware corporation which is jointly owned and controlled by the founders (collectively, the "Founders"), which is equal to the number of LLC Units held by such Continuing Equity Owners excluding the Founders, for nominal consideration.</w:t>
      </w:r>
    </w:p>
    <w:p>
      <w:pPr>
        <w:spacing w:after="0" w:line="203" w:lineRule="exact"/>
        <w:rPr>
          <w:rFonts w:ascii="Arial" w:cs="Arial" w:eastAsia="Arial" w:hAnsi="Arial"/>
          <w:sz w:val="19"/>
          <w:szCs w:val="19"/>
          <w:color w:val="auto"/>
        </w:rPr>
      </w:pPr>
    </w:p>
    <w:p>
      <w:pPr>
        <w:ind w:left="660" w:right="480" w:hanging="328"/>
        <w:spacing w:after="0" w:line="23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09"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Entered into a Tax Receivable Agreement (the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IPO and other transactions:</w:t>
      </w:r>
    </w:p>
    <w:p>
      <w:pPr>
        <w:spacing w:after="0" w:line="243" w:lineRule="exact"/>
        <w:rPr>
          <w:sz w:val="20"/>
          <w:szCs w:val="20"/>
          <w:color w:val="auto"/>
        </w:rPr>
      </w:pPr>
    </w:p>
    <w:p>
      <w:pPr>
        <w:jc w:val="both"/>
        <w:ind w:left="660" w:right="34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Issued 9,583,332 shares of Class A common stock, including 1,249,999 shares of Class A common stock from the exercise of the underwriters' overallotment, in exchange for net proceeds of approximately $101.9 million at $12.00 per share, less underwriting discount and offering expenses.</w:t>
      </w:r>
    </w:p>
    <w:p>
      <w:pPr>
        <w:spacing w:after="0" w:line="212" w:lineRule="exact"/>
        <w:rPr>
          <w:rFonts w:ascii="Arial" w:cs="Arial" w:eastAsia="Arial" w:hAnsi="Arial"/>
          <w:sz w:val="20"/>
          <w:szCs w:val="20"/>
          <w:color w:val="auto"/>
        </w:rPr>
      </w:pPr>
    </w:p>
    <w:p>
      <w:pPr>
        <w:ind w:left="660" w:right="8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Used net proceeds from the IPO to purchase 8,333,333 newly issued LLC Units for approximately $93.5 million directly from Brilliant Earth, LLC at a price per unit equal to the initial public offering price per share of Class A common stock less underwriting discount.</w:t>
      </w:r>
    </w:p>
    <w:p>
      <w:pPr>
        <w:spacing w:after="0" w:line="212" w:lineRule="exact"/>
        <w:rPr>
          <w:rFonts w:ascii="Arial" w:cs="Arial" w:eastAsia="Arial" w:hAnsi="Arial"/>
          <w:sz w:val="20"/>
          <w:szCs w:val="20"/>
          <w:color w:val="auto"/>
        </w:rPr>
      </w:pPr>
    </w:p>
    <w:p>
      <w:pPr>
        <w:ind w:left="660" w:right="100" w:hanging="328"/>
        <w:spacing w:after="0" w:line="24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Used net proceeds from the exercise of the underwriters’ overallotment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221"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Corresponding cancellation of a total of 1,249,999 shares of Class B common stock and Class C common stock resulting from the purchase of 1,249,999 LLC Units from the Continuing Equity Owners.</w:t>
      </w:r>
    </w:p>
    <w:p>
      <w:pPr>
        <w:spacing w:after="0" w:line="203" w:lineRule="exact"/>
        <w:rPr>
          <w:rFonts w:ascii="Arial" w:cs="Arial" w:eastAsia="Arial" w:hAnsi="Arial"/>
          <w:sz w:val="20"/>
          <w:szCs w:val="20"/>
          <w:color w:val="auto"/>
        </w:rPr>
      </w:pPr>
    </w:p>
    <w:p>
      <w:pPr>
        <w:ind w:left="660" w:right="12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Exercise of warrants on convertible preferred units ("Class P Units") with a carrying value of $6.4 million as of September 22, 2021 (after the mark-to-market adjustment as of the date of exercise) into 534,589 newly issued LLC Units on a net settlement basis, elected at the option of the holder.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and Uncertainties – COVID-19</w:t>
      </w:r>
    </w:p>
    <w:p>
      <w:pPr>
        <w:spacing w:after="0" w:line="24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In March 2020, the World Health Organization declared the novel coronavirus (“COVID-19”) a global pandemic based on the spread of the virus worldwide, including to the US, where the Company’s principal operations occur.</w:t>
      </w:r>
    </w:p>
    <w:p>
      <w:pPr>
        <w:spacing w:after="0" w:line="204"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On March 16, 2020, the Company temporarily closed its showrooms to the public, but continued to fulfill orders during this period of time. COVID-19 also temporarily disrupted the Company’s supply chain operations resulting in some delays to jewelry production and delivery timelines in 2020. While the Company re-opened all of its showrooms to the public in 2020, the Company’s operations are still subject to local or regional public health orders that could include temporary government-mandated closures which may impact the Company’s showrooms or other operations.</w:t>
      </w:r>
    </w:p>
    <w:p>
      <w:pPr>
        <w:spacing w:after="0" w:line="22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Company’s financial performance was adversely impacted by COVID-19 in 2020. The COVID-19 pandemic remains ongoing and the potential duration and magnitude of the pandemic’s future impact on the jewelry industry and on the Company’s operations and supply chain remains unknown and depends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on factors outside of the Company’s control including the duration and intensity of the pandemic, the availability and efficacy of treatments and vaccines, and the impact of COVID-19 on financial markets, industry supply chains and consumer behavior. The potential impact of these factors on the Company’s future liquidity, financial condition and results of operations cannot be estimated.</w:t>
      </w:r>
    </w:p>
    <w:p>
      <w:pPr>
        <w:spacing w:after="0" w:line="19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On March 27, 2020, the Coronavirus Aid, Relief, and Economic Security Act (the “CARES Act”) was signed into law in response to the COVID-19 pandemic. The CARES Act includes many measures to provide relief to companies. The Company has not participated in any such measures, other than obtaining a U.S. Small Business Administration Paycheck Protection Program Loan (“PPP Loan”) under the CARES Act, which was fully repaid in December 2020.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unaudited condensed consolidated financial statements for the periods prior to the Reorganization Transactions and IPO have been presented to combine the previously separate entities. These unaudited condensed consolidated financial statements have been prepared in accordance with U.S. GAAP and the requirements of the Securities and Exchange Commission (the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2021, or for any other interim period or for any other future year.</w:t>
      </w:r>
    </w:p>
    <w:p>
      <w:pPr>
        <w:spacing w:after="0" w:line="195"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The condensed consolidated balance sheet as of December 31, 2020 has been derived from the audited financial statements and should be read in conjunction with the Company’s audited financial statements and the notes thereto included in the final prospectus, dated September 22, 2021, filed with the SEC in accordance with Rule 424(b) of the Securities Act of 1933, as amended, on September 24, 2021 (the "Prospectus") in connection with our IPO.</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Principles of Consolidation and non-controlling interest</w:t>
      </w:r>
    </w:p>
    <w:p>
      <w:pPr>
        <w:spacing w:after="0" w:line="227"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color w:val="auto"/>
        </w:rPr>
        <w:t>The condensed consolidated financial statements include the accounts of the Company and its subsidiary, Brilliant Earth, LLC, which it controls due to ownership of the voting interest or pursuant to variable interest entity (“VIE”) accounting guidance. All intercompany balances and transactions have been eliminated in consolidation.</w:t>
      </w:r>
    </w:p>
    <w:p>
      <w:pPr>
        <w:spacing w:after="0" w:line="21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The non-controlling interest on the condensed consolidated statement of operations represents the portion of earnings or loss attributable to the economic interest in Brilliant Earth, LLC held by the Continuing Equity Owners. The non-controlling interest on the condensed consolidated balance sheet represents the portion of net assets of the Company attributable to the Continuing Equity Owners, based on the portion of the LLC Interests owned by such unit holders. As of September 30, 2021, the non-controlling interest was 89.9%.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the allowance for sales returns, inventory valuation, useful lives and depreciation of long-lived assets, fair value of equity-based compensation, and prior to the Reorganization Transactions, the warrants and the redemption of value of the redeemable Class P Units. Actual results could differ materially from those estimates. On an ongoing basis, the Company reviews its estimates to ensure that they appropriately reflect changes in its business or new information available.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24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spacing w:after="0" w:line="21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auto"/>
        </w:rPr>
        <w:t>Level 1</w:t>
      </w:r>
      <w:r>
        <w:rPr>
          <w:sz w:val="20"/>
          <w:szCs w:val="20"/>
          <w:color w:val="auto"/>
        </w:rPr>
        <w:tab/>
      </w:r>
      <w:r>
        <w:rPr>
          <w:rFonts w:ascii="Arial" w:cs="Arial" w:eastAsia="Arial" w:hAnsi="Arial"/>
          <w:sz w:val="16"/>
          <w:szCs w:val="16"/>
          <w:color w:val="auto"/>
        </w:rPr>
        <w:t>Valuation based on quoted prices (unadjusted) observed in active markets for identical assets or liabilities.</w:t>
      </w:r>
    </w:p>
    <w:p>
      <w:pPr>
        <w:spacing w:after="0" w:line="16" w:lineRule="exact"/>
        <w:rPr>
          <w:sz w:val="20"/>
          <w:szCs w:val="20"/>
          <w:color w:val="auto"/>
        </w:rPr>
      </w:pPr>
    </w:p>
    <w:p>
      <w:pPr>
        <w:ind w:left="1440" w:right="100" w:hanging="971"/>
        <w:spacing w:after="0" w:line="239" w:lineRule="auto"/>
        <w:tabs>
          <w:tab w:leader="none" w:pos="1420" w:val="left"/>
        </w:tabs>
        <w:rPr>
          <w:sz w:val="20"/>
          <w:szCs w:val="20"/>
          <w:color w:val="auto"/>
        </w:rPr>
      </w:pPr>
      <w:r>
        <w:rPr>
          <w:rFonts w:ascii="Arial" w:cs="Arial" w:eastAsia="Arial" w:hAnsi="Arial"/>
          <w:sz w:val="20"/>
          <w:szCs w:val="20"/>
          <w:color w:val="auto"/>
        </w:rPr>
        <w:t>Level 2</w:t>
        <w:tab/>
        <w:t>Valuation techniques based on inputs that are quoted prices of similar instruments in active markets; quoted prices for identical or similar instruments 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2"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0"/>
          <w:szCs w:val="20"/>
          <w:color w:val="auto"/>
        </w:rPr>
        <w:t>Level 3</w:t>
      </w:r>
      <w:r>
        <w:rPr>
          <w:sz w:val="20"/>
          <w:szCs w:val="20"/>
          <w:color w:val="auto"/>
        </w:rPr>
        <w:tab/>
      </w:r>
      <w:r>
        <w:rPr>
          <w:rFonts w:ascii="Arial" w:cs="Arial" w:eastAsia="Arial" w:hAnsi="Arial"/>
          <w:sz w:val="18"/>
          <w:szCs w:val="18"/>
          <w:color w:val="auto"/>
        </w:rPr>
        <w:t>Valuation techniques with significant unobservable market inputs.</w:t>
      </w:r>
    </w:p>
    <w:p>
      <w:pPr>
        <w:spacing w:after="0" w:line="227"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Company is required to disclose its estimate of the fair value of material financial instruments, including those recorded as assets or liabilities in its financial statements, in accordance with U.S. GAAP.</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 xml:space="preserve">Through the date of the IPO, the Class P Units and warrants on Class P Units were the only financial instruments (assets or liabilities) measured at fair value on a recurring basis. As discussed in Note 1, </w:t>
      </w:r>
      <w:r>
        <w:rPr>
          <w:rFonts w:ascii="Arial" w:cs="Arial" w:eastAsia="Arial" w:hAnsi="Arial"/>
          <w:sz w:val="20"/>
          <w:szCs w:val="20"/>
          <w:i w:val="1"/>
          <w:iCs w:val="1"/>
          <w:color w:val="auto"/>
        </w:rPr>
        <w:t>Business and organization</w:t>
      </w:r>
      <w:r>
        <w:rPr>
          <w:rFonts w:ascii="Arial" w:cs="Arial" w:eastAsia="Arial" w:hAnsi="Arial"/>
          <w:sz w:val="20"/>
          <w:szCs w:val="20"/>
          <w:color w:val="auto"/>
        </w:rPr>
        <w:t>, the securities converted into LLC Interests in connection with the IPO and are now classified as equity. The fair value of the Class P Units and the warrants on Class P Units as of September 22, 2021 just before conversion into common LLC Units were $389.2 million and $6.4 million, respectively; these securities are no longer subject to this fair value disclosure.</w:t>
      </w:r>
    </w:p>
    <w:p>
      <w:pPr>
        <w:spacing w:after="0" w:line="22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and were classified as Level 2. Redeemable Convertible Class P Units and Class P Units underlying warrants were classified as Level 3 until the IPO at which time the securities were converted into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Income</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Comprehensive income is the change in equity of a business enterprise during a period from transactions and all other events and circumstances from non-owner sources. Other comprehensive income may include unrealized gain (loss) on available for sale securities, foreign currency items, and minimum pension liability adjustments. The Company did not have components of other comprehensive income. As a result, comprehensive income is the same as net income.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 and Restricted Cash</w:t>
      </w:r>
    </w:p>
    <w:p>
      <w:pPr>
        <w:spacing w:after="0" w:line="24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All highly liquid investments with an original maturity of three months or less and deposits in transit from banks for payments related to third-party credit and debit card transactions are considered to be cash equivalents. Credit and debit card transactions are short-term, highly liquid in nature.</w:t>
      </w:r>
    </w:p>
    <w:p>
      <w:pPr>
        <w:spacing w:after="0" w:line="213"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color w:val="auto"/>
        </w:rPr>
        <w:t>The following table provides a reconciliation of cash and cash equivalents, and restricted cash from the condensed consolidated balance sheets to the statements of cash flows for the periods ended September 30, 2021, December 31, 2020, and September 30, 2020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161,087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57,712</w:t>
            </w:r>
          </w:p>
        </w:tc>
      </w:tr>
      <w:tr>
        <w:trPr>
          <w:trHeight w:val="224"/>
        </w:trPr>
        <w:tc>
          <w:tcPr>
            <w:tcW w:w="56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7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161,292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57,916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Net sales primarily consist of revenue from diamond, gemstone and jewelry retail sales and payment is required in full prior to order fulfillment. Delivery is determined to be the time of pickup for orders picked up in showrooms, and for shipped orders, typically within one to two business days after shipment. Credit is not extended to customers except through third-party credit cards or financing offerings. A return policy of 30 days from when the item is picked up or ready for shipment is typically provided; one complimentary resizing for standard ring styles is offered within 60 days of when an order is available for shipment or pickup; a lifetime manufacturing warranty is provided on all jewelry, with the exception of estate and vintage jewelry and center diamonds/gemstones; and a lifetime diamond upgrade program is included on all independently graded natural diamonds. The complimentary resizing, lifetime manufacturing warranty claims and lifetime diamond upgrades have not historically been material. A three-year extended service plan, which provides full inspection, cleaning and certain repairs due to normal wear, is offered for an additional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total net sales by geography for the three and nine months ended September 30, 2021 and 2020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740" w:type="dxa"/>
            <w:vAlign w:val="bottom"/>
            <w:gridSpan w:val="6"/>
          </w:tcPr>
          <w:p>
            <w:pPr>
              <w:ind w:left="360"/>
              <w:spacing w:after="0"/>
              <w:rPr>
                <w:sz w:val="20"/>
                <w:szCs w:val="20"/>
                <w:color w:val="auto"/>
              </w:rPr>
            </w:pPr>
            <w:r>
              <w:rPr>
                <w:rFonts w:ascii="Arial" w:cs="Arial" w:eastAsia="Arial" w:hAnsi="Arial"/>
                <w:sz w:val="16"/>
                <w:szCs w:val="16"/>
                <w:b w:val="1"/>
                <w:bCs w:val="1"/>
                <w:color w:val="auto"/>
              </w:rPr>
              <w:t>For the three months ended September 30,</w:t>
            </w:r>
          </w:p>
        </w:tc>
        <w:tc>
          <w:tcPr>
            <w:tcW w:w="240" w:type="dxa"/>
            <w:vAlign w:val="bottom"/>
          </w:tcPr>
          <w:p>
            <w:pPr>
              <w:spacing w:after="0"/>
              <w:rPr>
                <w:sz w:val="18"/>
                <w:szCs w:val="18"/>
                <w:color w:val="auto"/>
              </w:rPr>
            </w:pPr>
          </w:p>
        </w:tc>
        <w:tc>
          <w:tcPr>
            <w:tcW w:w="34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2020</w:t>
            </w: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87,540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239,534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150,648</w:t>
            </w:r>
          </w:p>
        </w:tc>
      </w:tr>
      <w:tr>
        <w:trPr>
          <w:trHeight w:val="224"/>
        </w:trPr>
        <w:tc>
          <w:tcPr>
            <w:tcW w:w="37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12,561</w:t>
            </w: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2"/>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258,283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 xml:space="preserve">Revenue is recognized under Financial Accounting Standards Board (“FASB”) ASC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(“ASC 606”). ASC 606 requires that revenue from customers be recognized as control of the promised goods is transferred to customers, which generally occurs upon delivery if the order is shipped, or at the time the customer picks up the completed product at a showroom. Revenue arrangements generally have one performance obligation and are reported net of estimated sales returns and allowances, which are determined based on historical product return rates and current economic conditions. The Company also offers a three-year extended service plan, which gives rise to an additional performance obligation, when purchased by the customer, which is recognized over the course of the service plan. Additionally, sales taxes are collected and remitted to taxing authorities, and the Company has elected to exclude sales taxes from revenues recognized under ASC 606.</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Transactions where payment has been received from customers, but control has not transferred, are recorded as customer deposits in deferred revenue and revenue recognition is deferred until delivery has occurred. Deferred revenue also includes payments on the Company’s three-year extended service plan that customers have elected to purchase. As of September 30, 2021 and December 31, 2020, total deferred revenue was $22.1 million and $11.0 million, respectively. During the three months ended September 30, 2021 and 2020, the Company recognized $18.8 million and $14.6 million, respectively, of revenue that was deferred as of the last day of the respective prior quarter. During the nine months ended September 30, 2021 and 2020, the Company recognized $10.3 million and $7.2 million, respectively, of revenue that was deferred as of the last day of the respective prior period.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 Returns and Allowances</w:t>
      </w:r>
    </w:p>
    <w:p>
      <w:pPr>
        <w:spacing w:after="0" w:line="243"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213"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As of September 30, 2021 and December 31, 2020, refund liabilities balances were $1.3 million and $2.3 million, respectively, and are included as a provision for sales returns and allowances within accrued expenses and other current liabilities in the condensed consolidated balance sheets. As of September 30, 2021 and December 31, 2020, returns asset balances were $0.7 million and $1.2 million, respectively, and are included within prepaid expenses and other current assets in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Fulfillment Costs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generally does not bill customers separately for shipping and handling charges. Any fulfillment costs incurred by the Company when shipping to customers is reflected in cost of sales in the condensed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Consignment Inventory Sales</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Sales of consignment inventory are presented on a gross sales basis as control of the merchandise is maintained through the point of sale. The Company also provides independent advice, guidance and after-sales service to customers. Consigned products are selected at the discretion of the Company, and the determination of the selling price as well as responsibility of the physical security of the products is maintained by the Company. The products sold from consignment inventory are similar in nature to other products that the Company sells to customers and are sold on the same terms.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Advertising and Promotional Costs</w:t>
      </w:r>
    </w:p>
    <w:p>
      <w:pPr>
        <w:spacing w:after="0" w:line="243"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Marketing, advertising and promotional costs are expensed as incurred and totaled approximately $18.5 million and $11.3 million, for the three months ended September 30, 2021 and 2020, respectively, and $49.2 million and $31.6 million, for the nine months ended September 30, 2021 and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Offering Costs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an anticipated equity financing until such transaction is consummated. After consummation of an equity financing, these costs are recorded as a reduction of the proceeds received. Should a planned equity financing be abandoned, terminated or significantly delayed, the deferred offering costs are immediately written off to operating expenses in the condensed consolidated statements of operations in the period of determination.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22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Equity-based compensation is accounted for as an expense in accordance with the fair value recognition and measurement provisions of U.S. GAAP which requires compensation cost for the grant-date fair value of equity-based awards to be recognized over the requisite service period. The Company accounts for forfeitures when they occur, and any compensation expense previously recognized on unvested equity-based awards will be reversed when forfeited.</w:t>
      </w:r>
    </w:p>
    <w:p>
      <w:pPr>
        <w:spacing w:after="0" w:line="20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Company’s IPO in September 2021 was determined by considering a number of objective, subjective and highly complex factors including independent third-party valuations of the Company’s member units, operating and financial performance, the lack of liquidity of member units and general and industry specific economic outlook among other factors.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of restricted stock units ("RSUs") is based on the fair value of the Class A common stock at the time of grant.</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the Company’s industry which are of similar size, complexity and stage of development. The risk-free interest rate for the expected term of the option is based on the U.S. Treasury implied yield at the date of grant. 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nil as the Company has not paid and does not anticipate paying dividends on its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Interim Periods</w:t>
      </w:r>
    </w:p>
    <w:p>
      <w:pPr>
        <w:spacing w:after="0" w:line="243" w:lineRule="exact"/>
        <w:rPr>
          <w:sz w:val="20"/>
          <w:szCs w:val="20"/>
          <w:color w:val="auto"/>
        </w:rPr>
      </w:pPr>
    </w:p>
    <w:p>
      <w:pPr>
        <w:ind w:right="340"/>
        <w:spacing w:after="0" w:line="269" w:lineRule="auto"/>
        <w:rPr>
          <w:sz w:val="20"/>
          <w:szCs w:val="20"/>
          <w:color w:val="auto"/>
        </w:rPr>
      </w:pPr>
      <w:r>
        <w:rPr>
          <w:rFonts w:ascii="Arial" w:cs="Arial" w:eastAsia="Arial" w:hAnsi="Arial"/>
          <w:sz w:val="19"/>
          <w:szCs w:val="19"/>
          <w:color w:val="auto"/>
        </w:rPr>
        <w:t xml:space="preserve">In calculating the provision for interim income taxes, in accordance with ASC 740,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an estimated annual effective tax rate is applied to year-to-date ordinary income. At the end of each interim period, the Company estimates the effective tax rate expected to be applicable for the full fiscal year. This differs from the method utilized at the end of an annual period.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Reporting</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For annual periods, income taxes are accounted for using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In assessing the realizability of deferred tax assets, management considers whether it is more-likely-than-not that the deferred tax assets will be realized. Deferred tax assets and liabilities are calculated by applying existing tax laws and the rates expected to apply to taxable income in the years in which those temporary differences are expected to be recovered or settled. The effect of a change in tax rates on deferred tax assets and liabilities is recognized in the year of the enacted rate change.</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Uncertainty in income taxes is accounted for using a recognition and measurement threshold for tax positions taken or expected to be taken in a tax return, which are subject to examination by federal and state taxing authorities. The tax benefit from an uncertain tax position is recognized when it is more likely than not that the position will be sustained upon examination by taxing authorities based on the technical merits of the position. The amount of the tax benefit recognized is the largest amount of the benefit that has a greater than 50% likelihood of being realized upon ultimate settlement. The effective tax rate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tax basis of assets and liabilities reflect management’s estimates of the ultimate outcome of various tax uncertainties. The Company recognizes penalties and interest related to uncertain tax positions within the provision (benefit) for income taxes line in the condensed consolidated statements of operations. As of September 30, 2021, no uncertain tax positions have been recorded. The Company will continue to monitor this position each interim period.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8"/>
          <w:szCs w:val="18"/>
          <w:color w:val="201F1E"/>
        </w:rPr>
        <w:t xml:space="preserve">In February 2016, the Financial Accounting Standards Board ("FASB") issued ASU 2016-02 – </w:t>
      </w:r>
      <w:r>
        <w:rPr>
          <w:rFonts w:ascii="Arial" w:cs="Arial" w:eastAsia="Arial" w:hAnsi="Arial"/>
          <w:sz w:val="18"/>
          <w:szCs w:val="18"/>
          <w:i w:val="1"/>
          <w:iCs w:val="1"/>
          <w:color w:val="201F1E"/>
        </w:rPr>
        <w:t>Leases</w:t>
      </w:r>
      <w:r>
        <w:rPr>
          <w:rFonts w:ascii="Arial" w:cs="Arial" w:eastAsia="Arial" w:hAnsi="Arial"/>
          <w:sz w:val="18"/>
          <w:szCs w:val="18"/>
          <w:color w:val="201F1E"/>
        </w:rPr>
        <w:t>, which was amended in January 2018 and requires an entity that leases assets to recognize on the balance sheet the assets and liabilities for the rights and obligations created by those leases. Leases will be classified as either financing or operating, similar to current accounting requirements, with the applicable classification determining the pattern of expense recognition in the statement of earnings. The Company will adopt the ASU in the first quarter of 2022 by applying its provisions prospectively and recognizing any cumulative-effect adjustment to the opening balance of retained earnings as of January 1, 2022. The Company also expects to elect the package of practical expedients permitted under the transition guidance, which provides that an entity need not reassess: (i) whether any expired or existing contracts are or contain leases, (ii) the lease classification for any expired or existing leases, and (iii) initial direct costs for any existing leases. Management continues to evaluate the impact of this ASU on the condensed consolidated financial statements, but expects that adoption will result in a significant increase in the Company's assets and liabilities. The implementation project team has developed additional processes and policies to support the requirements of this ASU and has collected key data for each leased asset.</w:t>
      </w:r>
    </w:p>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Other recent accounting pronouncements not yet adopted that could have a material effect on future results of operations or financial position are presented in the audited financial statements and the notes thereto.</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244"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0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All earnings prior to September 23, 2021, the date of the IPO, were entirely allocable to the non-controlling interest and, as a result, earnings per share information is not applicable for reporting periods prior to this date. Consequently, only earnings per share for net income for periods subsequent to September 22, 2021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Basic and diluted earnings per share of common stock for the period from September 23, 2021 to September 30, 2021 have been computed as follows (in thousands, except share and per share amounts):</w:t>
      </w:r>
    </w:p>
    <w:p>
      <w:pPr>
        <w:spacing w:after="0" w:line="252"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For the period September 23, 2021 to</w:t>
      </w:r>
    </w:p>
    <w:p>
      <w:pPr>
        <w:spacing w:after="0" w:line="3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Numerator:</w:t>
      </w:r>
    </w:p>
    <w:p>
      <w:pPr>
        <w:sectPr>
          <w:pgSz w:w="11900" w:h="16838" w:orient="portrait"/>
          <w:cols w:equalWidth="0" w:num="1">
            <w:col w:w="11240"/>
          </w:cols>
          <w:pgMar w:left="320" w:top="136" w:right="339" w:bottom="1440" w:gutter="0" w:footer="0" w:header="0"/>
        </w:sectPr>
      </w:pPr>
    </w:p>
    <w:p>
      <w:pPr>
        <w:spacing w:after="0" w:line="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 attributable to Brilliant Earth Group, Inc.,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Add: Net income impact from assumed redemption of all LLC Units to common stock</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Less: Income tax expense on net income attributable to NCI at 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income attributable to Brilliant Earth Group, Inc., after adjustment for assumed conversion,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Denominator:</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Weighted average shares of common stock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Dilutive effects of:</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LLC Units that are exchangeable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Unvested LLC Units, RSUs and stock options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Weighted average shares of common stock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DILUTED earnings per share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29"/>
        </w:trPr>
        <w:tc>
          <w:tcPr>
            <w:tcW w:w="8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789</w:t>
            </w:r>
          </w:p>
        </w:tc>
      </w:tr>
      <w:tr>
        <w:trPr>
          <w:trHeight w:val="229"/>
        </w:trPr>
        <w:tc>
          <w:tcPr>
            <w:tcW w:w="8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26"/>
        </w:trPr>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8"/>
        </w:trPr>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652</w:t>
            </w:r>
          </w:p>
        </w:tc>
      </w:tr>
      <w:tr>
        <w:trPr>
          <w:trHeight w:val="26"/>
        </w:trPr>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70"/>
        </w:trPr>
        <w:tc>
          <w:tcPr>
            <w:tcW w:w="8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9,583,332</w:t>
            </w:r>
          </w:p>
        </w:tc>
      </w:tr>
      <w:tr>
        <w:trPr>
          <w:trHeight w:val="459"/>
        </w:trPr>
        <w:tc>
          <w:tcPr>
            <w:tcW w:w="8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85,051,581</w:t>
            </w:r>
          </w:p>
        </w:tc>
      </w:tr>
      <w:tr>
        <w:trPr>
          <w:trHeight w:val="229"/>
        </w:trPr>
        <w:tc>
          <w:tcPr>
            <w:tcW w:w="8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1,986,514</w:t>
            </w:r>
          </w:p>
        </w:tc>
      </w:tr>
      <w:tr>
        <w:trPr>
          <w:trHeight w:val="26"/>
        </w:trPr>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8"/>
        </w:trPr>
        <w:tc>
          <w:tcPr>
            <w:tcW w:w="8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96,621,427</w:t>
            </w:r>
          </w:p>
        </w:tc>
      </w:tr>
      <w:tr>
        <w:trPr>
          <w:trHeight w:val="26"/>
        </w:trPr>
        <w:tc>
          <w:tcPr>
            <w:tcW w:w="8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00"/>
        </w:trPr>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29"/>
        </w:trPr>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0.01</w:t>
            </w:r>
          </w:p>
        </w:tc>
      </w:tr>
    </w:tbl>
    <w:p>
      <w:pPr>
        <w:spacing w:after="0" w:line="200" w:lineRule="exact"/>
        <w:rPr>
          <w:sz w:val="20"/>
          <w:szCs w:val="20"/>
          <w:color w:val="auto"/>
        </w:rPr>
      </w:pPr>
    </w:p>
    <w:p>
      <w:pPr>
        <w:sectPr>
          <w:pgSz w:w="11900" w:h="16838" w:orient="portrait"/>
          <w:cols w:equalWidth="0" w:num="2">
            <w:col w:w="8120" w:space="720"/>
            <w:col w:w="2400"/>
          </w:cols>
          <w:pgMar w:left="320" w:top="136" w:right="339" w:bottom="1440" w:gutter="0" w:footer="0" w:header="0"/>
          <w:type w:val="continuous"/>
        </w:sectPr>
      </w:pP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Net income attributable to the non-controlling interest added back to net income in the fully dilutive computation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190"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auto"/>
        </w:rPr>
        <w:t>For the period from September 23, 2021 to September 30, 2021, the dilutive impact of LLC Units convertible into common stock were included in the computation of diluted earnings per share under the if-converted method; the dilutive impact of unvested LLC Units, RSUs and stock options were included using the treasury stock method. The impact of 1,618,064 shares underlying stock options has been excluded from the computation of earnings per share because such impact is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INVENTORIES, NET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Inventories, net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639"/>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3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959"/>
              <w:spacing w:after="0"/>
              <w:rPr>
                <w:sz w:val="20"/>
                <w:szCs w:val="20"/>
                <w:color w:val="auto"/>
              </w:rPr>
            </w:pPr>
            <w:r>
              <w:rPr>
                <w:rFonts w:ascii="Arial" w:cs="Arial" w:eastAsia="Arial" w:hAnsi="Arial"/>
                <w:sz w:val="16"/>
                <w:szCs w:val="16"/>
                <w:b w:val="1"/>
                <w:bCs w:val="1"/>
                <w:color w:val="auto"/>
              </w:rPr>
              <w:t>2020</w:t>
            </w:r>
          </w:p>
        </w:tc>
      </w:tr>
      <w:tr>
        <w:trPr>
          <w:trHeight w:val="33"/>
        </w:trPr>
        <w:tc>
          <w:tcPr>
            <w:tcW w:w="63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Loose diamonds</w:t>
            </w:r>
          </w:p>
        </w:tc>
        <w:tc>
          <w:tcPr>
            <w:tcW w:w="1800" w:type="dxa"/>
            <w:vAlign w:val="bottom"/>
            <w:tcBorders>
              <w:bottom w:val="single" w:sz="8" w:color="CCEEFF"/>
            </w:tcBorders>
            <w:shd w:val="clear" w:color="auto" w:fill="CCEEFF"/>
          </w:tcPr>
          <w:p>
            <w:pPr>
              <w:jc w:val="right"/>
              <w:ind w:right="16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Fine jewelry and other</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8,863</w:t>
            </w:r>
          </w:p>
        </w:tc>
      </w:tr>
      <w:tr>
        <w:trPr>
          <w:trHeight w:val="33"/>
        </w:trPr>
        <w:tc>
          <w:tcPr>
            <w:tcW w:w="6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inventory obsolescence</w:t>
            </w:r>
          </w:p>
        </w:tc>
        <w:tc>
          <w:tcPr>
            <w:tcW w:w="18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47"/>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Total inventories, net</w:t>
            </w:r>
          </w:p>
        </w:tc>
        <w:tc>
          <w:tcPr>
            <w:tcW w:w="1800" w:type="dxa"/>
            <w:vAlign w:val="bottom"/>
            <w:tcBorders>
              <w:top w:val="single" w:sz="8" w:color="auto"/>
              <w:bottom w:val="single" w:sz="8" w:color="auto"/>
            </w:tcBorders>
          </w:tcPr>
          <w:p>
            <w:pPr>
              <w:jc w:val="right"/>
              <w:ind w:right="16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20,057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13,559</w:t>
            </w:r>
          </w:p>
        </w:tc>
      </w:tr>
      <w:tr>
        <w:trPr>
          <w:trHeight w:val="24"/>
        </w:trPr>
        <w:tc>
          <w:tcPr>
            <w:tcW w:w="63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2" w:name="page23"/>
    <w:bookmarkEnd w:id="2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The allowance for inventory obsolescence consists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86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ind w:right="61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186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ind w:right="959"/>
              <w:spacing w:after="0"/>
              <w:rPr>
                <w:sz w:val="20"/>
                <w:szCs w:val="20"/>
                <w:color w:val="auto"/>
              </w:rPr>
            </w:pPr>
            <w:r>
              <w:rPr>
                <w:rFonts w:ascii="Arial" w:cs="Arial" w:eastAsia="Arial" w:hAnsi="Arial"/>
                <w:sz w:val="16"/>
                <w:szCs w:val="16"/>
                <w:b w:val="1"/>
                <w:bCs w:val="1"/>
                <w:color w:val="auto"/>
              </w:rPr>
              <w:t>2020</w:t>
            </w:r>
          </w:p>
        </w:tc>
      </w:tr>
      <w:tr>
        <w:trPr>
          <w:trHeight w:val="33"/>
        </w:trPr>
        <w:tc>
          <w:tcPr>
            <w:tcW w:w="63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Change in allowance for inventory obsolescence</w:t>
            </w:r>
          </w:p>
        </w:tc>
        <w:tc>
          <w:tcPr>
            <w:tcW w:w="1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63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72"/>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end of period</w:t>
            </w:r>
          </w:p>
        </w:tc>
        <w:tc>
          <w:tcPr>
            <w:tcW w:w="1860" w:type="dxa"/>
            <w:vAlign w:val="bottom"/>
            <w:tcBorders>
              <w:bottom w:val="single" w:sz="8" w:color="auto"/>
            </w:tcBorders>
            <w:shd w:val="clear" w:color="auto" w:fill="CCEEFF"/>
          </w:tcPr>
          <w:p>
            <w:pPr>
              <w:jc w:val="right"/>
              <w:ind w:right="16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Provisions for inventory obsolescence included in cost of sales in the condensed consolidated statements of operations were $27,000 and $25,000, for the three months ended September 30, 2021 and 2020, respectively, and $3,000, and $39,000 for the nine months ended September 30, 2021 and 2020, respectively.</w:t>
      </w:r>
    </w:p>
    <w:p>
      <w:pPr>
        <w:spacing w:after="0" w:line="213"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As of September 30, 2021 and December 31, 2020, the Company had $15.3 million and $11.7 million, respectively, in consigned inventory held on behalf of suppliers which is not recorded in the condensed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ACCRUED EXPENSES AND OTHER CURRENT LIABILITIES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Accrued expenses and other current liabilities consist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639"/>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3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18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jc w:val="right"/>
              <w:ind w:right="959"/>
              <w:spacing w:after="0"/>
              <w:rPr>
                <w:sz w:val="20"/>
                <w:szCs w:val="20"/>
                <w:color w:val="auto"/>
              </w:rPr>
            </w:pPr>
            <w:r>
              <w:rPr>
                <w:rFonts w:ascii="Arial" w:cs="Arial" w:eastAsia="Arial" w:hAnsi="Arial"/>
                <w:sz w:val="16"/>
                <w:szCs w:val="16"/>
                <w:b w:val="1"/>
                <w:bCs w:val="1"/>
                <w:color w:val="auto"/>
              </w:rPr>
              <w:t>2020</w:t>
            </w:r>
          </w:p>
        </w:tc>
      </w:tr>
      <w:tr>
        <w:trPr>
          <w:trHeight w:val="33"/>
        </w:trPr>
        <w:tc>
          <w:tcPr>
            <w:tcW w:w="63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vendor expenses</w:t>
            </w:r>
          </w:p>
        </w:tc>
        <w:tc>
          <w:tcPr>
            <w:tcW w:w="1800" w:type="dxa"/>
            <w:vAlign w:val="bottom"/>
            <w:tcBorders>
              <w:bottom w:val="single" w:sz="8" w:color="CCEEFF"/>
            </w:tcBorders>
            <w:shd w:val="clear" w:color="auto" w:fill="CCEEFF"/>
          </w:tcPr>
          <w:p>
            <w:pPr>
              <w:jc w:val="right"/>
              <w:ind w:right="16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5,409</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Inventory received not billed</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3,893</w:t>
            </w:r>
          </w:p>
        </w:tc>
      </w:tr>
      <w:tr>
        <w:trPr>
          <w:trHeight w:val="33"/>
        </w:trPr>
        <w:tc>
          <w:tcPr>
            <w:tcW w:w="6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Accrued offering cost </w:t>
            </w:r>
            <w:r>
              <w:rPr>
                <w:rFonts w:ascii="Arial" w:cs="Arial" w:eastAsia="Arial" w:hAnsi="Arial"/>
                <w:sz w:val="21"/>
                <w:szCs w:val="21"/>
                <w:color w:val="auto"/>
                <w:vertAlign w:val="superscript"/>
              </w:rPr>
              <w:t>(a)</w:t>
            </w:r>
          </w:p>
        </w:tc>
        <w:tc>
          <w:tcPr>
            <w:tcW w:w="18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Accrued payroll expenses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33"/>
        </w:trPr>
        <w:tc>
          <w:tcPr>
            <w:tcW w:w="6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other tax payable accrual</w:t>
            </w:r>
          </w:p>
        </w:tc>
        <w:tc>
          <w:tcPr>
            <w:tcW w:w="18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2,455</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Provision for sales returns and allowances</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2,341</w:t>
            </w:r>
          </w:p>
        </w:tc>
      </w:tr>
      <w:tr>
        <w:trPr>
          <w:trHeight w:val="33"/>
        </w:trPr>
        <w:tc>
          <w:tcPr>
            <w:tcW w:w="6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r>
      <w:tr>
        <w:trPr>
          <w:trHeight w:val="24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Total accrued expenses and other current liabilities</w:t>
            </w:r>
          </w:p>
        </w:tc>
        <w:tc>
          <w:tcPr>
            <w:tcW w:w="1800" w:type="dxa"/>
            <w:vAlign w:val="bottom"/>
            <w:tcBorders>
              <w:top w:val="single" w:sz="8" w:color="auto"/>
              <w:bottom w:val="single" w:sz="8" w:color="auto"/>
            </w:tcBorders>
          </w:tcPr>
          <w:p>
            <w:pPr>
              <w:jc w:val="right"/>
              <w:ind w:right="16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24,758</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16,961</w:t>
            </w:r>
          </w:p>
        </w:tc>
      </w:tr>
      <w:tr>
        <w:trPr>
          <w:trHeight w:val="24"/>
        </w:trPr>
        <w:tc>
          <w:tcPr>
            <w:tcW w:w="63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right="100" w:firstLine="8"/>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includes attorney and consulting fees in support of the Company’s IPO, which, at the time of the IPO, were offset against the gross proceeds of the IPO within “Additional paid-in capital” on the condensed consolidated balance sheets.</w:t>
      </w:r>
    </w:p>
    <w:p>
      <w:pPr>
        <w:spacing w:after="0" w:line="219"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auto"/>
        </w:rPr>
        <w:t>Included in accrued expenses and other current liabilities is a provision for sales returns and allowances. Returns are estimated based on past experience and current expectations and are recorded as an adjustment to revenue. Activity for the nine months ended September 30, 2021 and 2020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ind w:right="61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6340" w:type="dxa"/>
            <w:vAlign w:val="bottom"/>
          </w:tcPr>
          <w:p>
            <w:pPr>
              <w:spacing w:after="0"/>
              <w:rPr>
                <w:sz w:val="18"/>
                <w:szCs w:val="18"/>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ind w:right="959"/>
              <w:spacing w:after="0"/>
              <w:rPr>
                <w:sz w:val="20"/>
                <w:szCs w:val="20"/>
                <w:color w:val="auto"/>
              </w:rPr>
            </w:pPr>
            <w:r>
              <w:rPr>
                <w:rFonts w:ascii="Arial" w:cs="Arial" w:eastAsia="Arial" w:hAnsi="Arial"/>
                <w:sz w:val="16"/>
                <w:szCs w:val="16"/>
                <w:b w:val="1"/>
                <w:bCs w:val="1"/>
                <w:color w:val="auto"/>
              </w:rPr>
              <w:t>2020</w:t>
            </w:r>
          </w:p>
        </w:tc>
      </w:tr>
      <w:tr>
        <w:trPr>
          <w:trHeight w:val="33"/>
        </w:trPr>
        <w:tc>
          <w:tcPr>
            <w:tcW w:w="634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r>
      <w:tr>
        <w:trPr>
          <w:trHeight w:val="223"/>
        </w:trPr>
        <w:tc>
          <w:tcPr>
            <w:tcW w:w="6340" w:type="dxa"/>
            <w:vAlign w:val="bottom"/>
          </w:tcPr>
          <w:p>
            <w:pPr>
              <w:ind w:left="20"/>
              <w:spacing w:after="0"/>
              <w:rPr>
                <w:sz w:val="20"/>
                <w:szCs w:val="20"/>
                <w:color w:val="auto"/>
              </w:rPr>
            </w:pPr>
            <w:r>
              <w:rPr>
                <w:rFonts w:ascii="Arial" w:cs="Arial" w:eastAsia="Arial" w:hAnsi="Arial"/>
                <w:sz w:val="16"/>
                <w:szCs w:val="16"/>
                <w:color w:val="auto"/>
              </w:rPr>
              <w:t>Provision</w:t>
            </w:r>
          </w:p>
        </w:tc>
        <w:tc>
          <w:tcPr>
            <w:tcW w:w="17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16,450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10,373</w:t>
            </w:r>
          </w:p>
        </w:tc>
      </w:tr>
      <w:tr>
        <w:trPr>
          <w:trHeight w:val="33"/>
        </w:trPr>
        <w:tc>
          <w:tcPr>
            <w:tcW w:w="6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Returns and allowances</w:t>
            </w:r>
          </w:p>
        </w:tc>
        <w:tc>
          <w:tcPr>
            <w:tcW w:w="17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(10,993)</w:t>
            </w:r>
          </w:p>
        </w:tc>
      </w:tr>
      <w:tr>
        <w:trPr>
          <w:trHeight w:val="247"/>
        </w:trPr>
        <w:tc>
          <w:tcPr>
            <w:tcW w:w="6340" w:type="dxa"/>
            <w:vAlign w:val="bottom"/>
          </w:tcPr>
          <w:p>
            <w:pPr>
              <w:ind w:left="140"/>
              <w:spacing w:after="0"/>
              <w:rPr>
                <w:sz w:val="20"/>
                <w:szCs w:val="20"/>
                <w:color w:val="auto"/>
              </w:rPr>
            </w:pPr>
            <w:r>
              <w:rPr>
                <w:rFonts w:ascii="Arial" w:cs="Arial" w:eastAsia="Arial" w:hAnsi="Arial"/>
                <w:sz w:val="16"/>
                <w:szCs w:val="16"/>
                <w:b w:val="1"/>
                <w:bCs w:val="1"/>
                <w:color w:val="auto"/>
              </w:rPr>
              <w:t>Balance at end of period</w:t>
            </w:r>
          </w:p>
        </w:tc>
        <w:tc>
          <w:tcPr>
            <w:tcW w:w="1760" w:type="dxa"/>
            <w:vAlign w:val="bottom"/>
            <w:tcBorders>
              <w:top w:val="single" w:sz="8" w:color="auto"/>
              <w:bottom w:val="single" w:sz="8" w:color="auto"/>
            </w:tcBorders>
          </w:tcPr>
          <w:p>
            <w:pPr>
              <w:jc w:val="right"/>
              <w:ind w:right="157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w:t>
            </w:r>
          </w:p>
        </w:tc>
      </w:tr>
      <w:tr>
        <w:trPr>
          <w:trHeight w:val="23"/>
        </w:trPr>
        <w:tc>
          <w:tcPr>
            <w:tcW w:w="6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3" w:name="page24"/>
    <w:bookmarkEnd w:id="2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LEASES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nine months ended September 30, 2021, the Company entered into new lease agreements in nine locations in the US and amended certain existing leases to extend their terms.</w:t>
      </w:r>
    </w:p>
    <w:p>
      <w:pPr>
        <w:spacing w:after="0" w:line="20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Total operating lease expense recorded in selling, general and administrative expenses in the condensed consolidated statements of operations were $1.1 million and $0.6 million, for the three months ended September 30, 2021 and 2020, respectively; and $2.3 million and $1.6 million for the nine months ended September 30, 2021 and 2020, respectively.</w:t>
      </w:r>
    </w:p>
    <w:p>
      <w:pPr>
        <w:spacing w:after="0" w:line="21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aggregate future minimum lease payments under long-term non-cancelable operating leases as of September 30, 2021 are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jc w:val="right"/>
              <w:ind w:right="839"/>
              <w:spacing w:after="0"/>
              <w:rPr>
                <w:sz w:val="20"/>
                <w:szCs w:val="20"/>
                <w:color w:val="auto"/>
              </w:rPr>
            </w:pPr>
            <w:r>
              <w:rPr>
                <w:rFonts w:ascii="Arial" w:cs="Arial" w:eastAsia="Arial" w:hAnsi="Arial"/>
                <w:sz w:val="16"/>
                <w:szCs w:val="16"/>
                <w:b w:val="1"/>
                <w:bCs w:val="1"/>
                <w:color w:val="auto"/>
              </w:rPr>
              <w:t>Amount</w:t>
            </w:r>
          </w:p>
        </w:tc>
      </w:tr>
      <w:tr>
        <w:trPr>
          <w:trHeight w:val="33"/>
        </w:trPr>
        <w:tc>
          <w:tcPr>
            <w:tcW w:w="8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three months ending December 31, 2021</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w:t>
            </w:r>
          </w:p>
        </w:tc>
      </w:tr>
      <w:tr>
        <w:trPr>
          <w:trHeight w:val="224"/>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5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3"/>
        </w:trPr>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2022</w:t>
            </w:r>
          </w:p>
        </w:tc>
        <w:tc>
          <w:tcPr>
            <w:tcW w:w="5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w:t>
            </w:r>
          </w:p>
        </w:tc>
      </w:tr>
      <w:tr>
        <w:trPr>
          <w:trHeight w:val="224"/>
        </w:trPr>
        <w:tc>
          <w:tcPr>
            <w:tcW w:w="8840" w:type="dxa"/>
            <w:vAlign w:val="bottom"/>
          </w:tcPr>
          <w:p>
            <w:pPr>
              <w:ind w:left="14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3,670</w:t>
            </w:r>
          </w:p>
        </w:tc>
      </w:tr>
      <w:tr>
        <w:trPr>
          <w:trHeight w:val="33"/>
        </w:trPr>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6"/>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5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3,518</w:t>
            </w:r>
          </w:p>
        </w:tc>
      </w:tr>
      <w:tr>
        <w:trPr>
          <w:trHeight w:val="224"/>
        </w:trPr>
        <w:tc>
          <w:tcPr>
            <w:tcW w:w="8840" w:type="dxa"/>
            <w:vAlign w:val="bottom"/>
          </w:tcPr>
          <w:p>
            <w:pPr>
              <w:ind w:left="140"/>
              <w:spacing w:after="0"/>
              <w:rPr>
                <w:sz w:val="20"/>
                <w:szCs w:val="20"/>
                <w:color w:val="auto"/>
              </w:rPr>
            </w:pPr>
            <w:r>
              <w:rPr>
                <w:rFonts w:ascii="Arial" w:cs="Arial" w:eastAsia="Arial" w:hAnsi="Arial"/>
                <w:sz w:val="16"/>
                <w:szCs w:val="16"/>
                <w:color w:val="auto"/>
              </w:rPr>
              <w:t>2025</w:t>
            </w:r>
          </w:p>
        </w:tc>
        <w:tc>
          <w:tcPr>
            <w:tcW w:w="5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3,437</w:t>
            </w:r>
          </w:p>
        </w:tc>
      </w:tr>
      <w:tr>
        <w:trPr>
          <w:trHeight w:val="33"/>
        </w:trPr>
        <w:tc>
          <w:tcPr>
            <w:tcW w:w="8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5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r>
      <w:tr>
        <w:trPr>
          <w:trHeight w:val="224"/>
        </w:trPr>
        <w:tc>
          <w:tcPr>
            <w:tcW w:w="8840" w:type="dxa"/>
            <w:vAlign w:val="bottom"/>
          </w:tcPr>
          <w:p>
            <w:pPr>
              <w:ind w:left="140"/>
              <w:spacing w:after="0"/>
              <w:rPr>
                <w:sz w:val="20"/>
                <w:szCs w:val="20"/>
                <w:color w:val="auto"/>
              </w:rPr>
            </w:pPr>
            <w:r>
              <w:rPr>
                <w:rFonts w:ascii="Arial" w:cs="Arial" w:eastAsia="Arial" w:hAnsi="Arial"/>
                <w:sz w:val="16"/>
                <w:szCs w:val="16"/>
                <w:color w:val="auto"/>
              </w:rPr>
              <w:t>Thereafter</w:t>
            </w:r>
          </w:p>
        </w:tc>
        <w:tc>
          <w:tcPr>
            <w:tcW w:w="5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7,112</w:t>
            </w:r>
          </w:p>
        </w:tc>
      </w:tr>
      <w:tr>
        <w:trPr>
          <w:trHeight w:val="33"/>
        </w:trPr>
        <w:tc>
          <w:tcPr>
            <w:tcW w:w="88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72"/>
        </w:trPr>
        <w:tc>
          <w:tcPr>
            <w:tcW w:w="8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minimum lease payments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LONG-TERM DEBT</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following table summarizes the net carrying amount of the Term Loan (as defined below) as of September 30, 2021 and December 31, 2020, net of debt issuance costs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2021</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December 31, 2020</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Outstanding</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Net carrying</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principal</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Debt issuance costs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amount</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principal</w:t>
            </w: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87"/>
              </w:rPr>
              <w:t>Debt issuance costs</w:t>
            </w:r>
          </w:p>
        </w:tc>
        <w:tc>
          <w:tcPr>
            <w:tcW w:w="20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amount</w:t>
            </w:r>
          </w:p>
        </w:tc>
      </w:tr>
      <w:tr>
        <w:trPr>
          <w:trHeight w:val="33"/>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62,211</w:t>
            </w:r>
          </w:p>
        </w:tc>
      </w:tr>
      <w:tr>
        <w:trPr>
          <w:trHeight w:val="247"/>
        </w:trPr>
        <w:tc>
          <w:tcPr>
            <w:tcW w:w="2180" w:type="dxa"/>
            <w:vAlign w:val="bottom"/>
          </w:tcPr>
          <w:p>
            <w:pPr>
              <w:ind w:left="1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(2,789)</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62,211</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0"/>
        </w:trPr>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6"/>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180" w:type="dxa"/>
            <w:vAlign w:val="bottom"/>
          </w:tcPr>
          <w:p>
            <w:pPr>
              <w:ind w:left="20"/>
              <w:spacing w:after="0"/>
              <w:rPr>
                <w:sz w:val="20"/>
                <w:szCs w:val="20"/>
                <w:color w:val="auto"/>
              </w:rPr>
            </w:pPr>
            <w:r>
              <w:rPr>
                <w:rFonts w:ascii="Arial" w:cs="Arial" w:eastAsia="Arial" w:hAnsi="Arial"/>
                <w:sz w:val="16"/>
                <w:szCs w:val="16"/>
                <w:color w:val="auto"/>
              </w:rPr>
              <w:t>Long term</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44,474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62,211</w:t>
            </w:r>
          </w:p>
        </w:tc>
      </w:tr>
      <w:tr>
        <w:trPr>
          <w:trHeight w:val="33"/>
        </w:trPr>
        <w:tc>
          <w:tcPr>
            <w:tcW w:w="2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Total debt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8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62,211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Company entered into a Loan and Security Agreement (the “Term Loan Agreement”) on September 30, 2019 with Runway Growth Credit Fund Inc. (the “Lender”) for a $40.0 million term loan, of which $35.0 million was defined as the First Tranche Term Loan and $5.0 million was the Second Tranche Term Loan. The $35.0 million First Tranche Term Loan was drawn on September 30, 2019. Payments were interest only through October 15, 2021 (first scheduled amortization payment) after which equal monthly payments of principal were due through April 15, 2023 (maturity date). Interest was at a variable rate equal to LIBOR (floor of 2.15%) plus 8.25%.</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4" w:name="page25"/>
    <w:bookmarkEnd w:id="2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Term Loan (the "Term Loan") under the Term Loan Agreement was secured by substantially all assets of the Company, and the Company is required to comply with certain covenants, including a covenant that requires the Company to reach certain minimum liquidity requirements of cash and cash equivalents as defined in the Term Loan Agreement. Prepayment fees of 3.00% declining to 0.00% were provided based on the anniversary date of payment.</w:t>
      </w:r>
    </w:p>
    <w:p>
      <w:pPr>
        <w:spacing w:after="0" w:line="218"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Debt issuance costs of $2.6 million were capitalized and are being amortized to interest expense as an adjustment to yield using the effective interest method. Included in the debt issuance costs is the present value of a $1.6 million final payment due on April 15, 2023 (the “Final Payment”) which is being accreted to full value over the term.</w:t>
      </w:r>
    </w:p>
    <w:p>
      <w:pPr>
        <w:spacing w:after="0" w:line="21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In connection with the origination of the Term Loan Agreement, a warrant for 333,333 Class P Units was issued. The fair value of the warrant was $83,000 at the time of issuance which was accounted for as a debt origination cost (contra-liability). The warrants had a carrying value of $6.4 million as of September 22, 2021 (after the mark-to-market adjustment as of the date of exercise) and were converted upon exercise into 534,589 newly issued LLC Units on a net settlement basis, elected at the option of the holder.</w:t>
      </w:r>
    </w:p>
    <w:p>
      <w:pPr>
        <w:spacing w:after="0" w:line="20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Lender also has a right to invest as is necessary for it to maintain the same percentage ownership of the Company’s equity interest on a fully diluted basis, in any next round on the same terms, conditions and same pricing as offered to the lead investor in the applicable next round.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On December 17, 2020, the Company entered into a First Amendment to the Term Loan Agreement with the Lender (the “First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Amendment”) to expand the Second Tranche Term Loan from $5.0 million to $30.0 million for a total commitment of $65.0 million. Up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million of the proceeds from the Second Tranche Term Loan could be distributed to the holders of the equity interests within 90 days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closing. Other modifications in the First Amendment include:</w:t>
      </w:r>
    </w:p>
    <w:p>
      <w:pPr>
        <w:spacing w:after="0" w:line="22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Closing fee of $0.3 million related to this new facility;</w:t>
      </w:r>
    </w:p>
    <w:p>
      <w:pPr>
        <w:spacing w:after="0" w:line="15" w:lineRule="exact"/>
        <w:rPr>
          <w:rFonts w:ascii="Arial" w:cs="Arial" w:eastAsia="Arial" w:hAnsi="Arial"/>
          <w:sz w:val="20"/>
          <w:szCs w:val="20"/>
          <w:color w:val="auto"/>
        </w:rPr>
      </w:pPr>
    </w:p>
    <w:p>
      <w:pPr>
        <w:ind w:left="660" w:right="44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Reduction in the LIBOR Floor on the entire facility from 2.15% to 1.00% (effective interest rate reduced from 10.40% to 9.25% based on LIBOR);</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Extension of the maturity to October 15, 2023;</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Extension of the interest-only period by six months (first scheduled amortization payment on April 15, 2022);</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Allowance of quarterly tax distributions to members;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Extension of the prepayment term trigger dates by six months;</w:t>
      </w:r>
    </w:p>
    <w:p>
      <w:pPr>
        <w:ind w:left="660" w:right="220" w:hanging="328"/>
        <w:spacing w:after="0" w:line="26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Modification of the Final Payment, as defined, to include the present value of an additional $1.4 million, which represents the incremental increase in the Final Payment due to the increase in the Term Loan principal, and an additional $0.2 million, which are included in the debt issuance costs and are being accreted to full value as an adjustment to the interest rate; and</w:t>
      </w:r>
    </w:p>
    <w:p>
      <w:pPr>
        <w:jc w:val="both"/>
        <w:ind w:left="660" w:right="380" w:hanging="328"/>
        <w:spacing w:after="0" w:line="260" w:lineRule="auto"/>
        <w:tabs>
          <w:tab w:leader="none" w:pos="648" w:val="left"/>
        </w:tabs>
        <w:numPr>
          <w:ilvl w:val="0"/>
          <w:numId w:val="8"/>
        </w:numPr>
        <w:rPr>
          <w:rFonts w:ascii="Arial" w:cs="Arial" w:eastAsia="Arial" w:hAnsi="Arial"/>
          <w:sz w:val="19"/>
          <w:szCs w:val="19"/>
          <w:color w:val="auto"/>
        </w:rPr>
      </w:pPr>
      <w:r>
        <w:rPr>
          <w:rFonts w:ascii="Arial" w:cs="Arial" w:eastAsia="Arial" w:hAnsi="Arial"/>
          <w:sz w:val="19"/>
          <w:szCs w:val="19"/>
          <w:color w:val="auto"/>
        </w:rPr>
        <w:t>Issuance of 25,000 new warrants to the Lender with an exercise price of $10.00 per Unit with a term of ten years. These warrants were accounted for using a similar methodology to the valuation of the original warrants discussed above, and the fair value was determined to be $250. The warrants were converted into LLC Units at the time of the IPO.</w:t>
      </w:r>
    </w:p>
    <w:p>
      <w:pPr>
        <w:spacing w:after="0" w:line="205"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On August 6, 2021 a second amendment was executed primarily to allow for contributions to the Brilliant Earth Foundation. On August 29, 2021, a third amendment was executed to among other matters, permit the Reorganization Transactions that were consummated by the Company in connection with the Up-C structure of the IPO transaction and reduce the variable interest rate from 8.25% to 7.75%;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LIBOR Floor from 1.00% to 0.50%. The amendments were treated as debt modifications for accounting purposes.</w:t>
      </w:r>
    </w:p>
    <w:p>
      <w:pPr>
        <w:spacing w:after="0" w:line="243"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effective interest rate was 11.90% and 13.22% for the nine months ended September 30, 2021 and 2020, respectively. The Company was in compliance with all covenants as of September 30, 2021.</w:t>
      </w:r>
    </w:p>
    <w:p>
      <w:pPr>
        <w:spacing w:after="0" w:line="20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As of September 30, 2021, the aggregate future principal payments under the Term Loan, including the Final Payment payable to the lender, are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Final</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5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Principal</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payment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33"/>
        </w:trPr>
        <w:tc>
          <w:tcPr>
            <w:tcW w:w="5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three months ending December 31, 2021</w:t>
            </w: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5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5640" w:type="dxa"/>
            <w:vAlign w:val="bottom"/>
            <w:tcBorders>
              <w:bottom w:val="single" w:sz="8" w:color="CCEEFF"/>
            </w:tcBorders>
            <w:shd w:val="clear" w:color="auto" w:fill="CCEEFF"/>
          </w:tcPr>
          <w:p>
            <w:pPr>
              <w:jc w:val="right"/>
              <w:ind w:right="5099"/>
              <w:spacing w:after="0"/>
              <w:rPr>
                <w:sz w:val="20"/>
                <w:szCs w:val="20"/>
                <w:color w:val="auto"/>
              </w:rPr>
            </w:pPr>
            <w:r>
              <w:rPr>
                <w:rFonts w:ascii="Arial" w:cs="Arial" w:eastAsia="Arial" w:hAnsi="Arial"/>
                <w:sz w:val="16"/>
                <w:szCs w:val="16"/>
                <w:color w:val="auto"/>
              </w:rPr>
              <w:t>2022</w:t>
            </w:r>
          </w:p>
        </w:tc>
        <w:tc>
          <w:tcPr>
            <w:tcW w:w="1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30,789</w:t>
            </w: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30,789</w:t>
            </w:r>
          </w:p>
        </w:tc>
      </w:tr>
      <w:tr>
        <w:trPr>
          <w:trHeight w:val="224"/>
        </w:trPr>
        <w:tc>
          <w:tcPr>
            <w:tcW w:w="5640" w:type="dxa"/>
            <w:vAlign w:val="bottom"/>
          </w:tcPr>
          <w:p>
            <w:pPr>
              <w:jc w:val="right"/>
              <w:ind w:right="5099"/>
              <w:spacing w:after="0"/>
              <w:rPr>
                <w:sz w:val="20"/>
                <w:szCs w:val="20"/>
                <w:color w:val="auto"/>
              </w:rPr>
            </w:pPr>
            <w:r>
              <w:rPr>
                <w:rFonts w:ascii="Arial" w:cs="Arial" w:eastAsia="Arial" w:hAnsi="Arial"/>
                <w:sz w:val="16"/>
                <w:szCs w:val="16"/>
                <w:color w:val="auto"/>
              </w:rPr>
              <w:t>2023</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34,211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37,362</w:t>
            </w:r>
          </w:p>
        </w:tc>
      </w:tr>
      <w:tr>
        <w:trPr>
          <w:trHeight w:val="33"/>
        </w:trPr>
        <w:tc>
          <w:tcPr>
            <w:tcW w:w="56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2"/>
        </w:trPr>
        <w:tc>
          <w:tcPr>
            <w:tcW w:w="5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aggregate future principal payments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65,000</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68,151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Note under Paycheck Protection Program</w:t>
      </w:r>
    </w:p>
    <w:p>
      <w:pPr>
        <w:spacing w:after="0" w:line="24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April 2020, in connection with the significant negative business impact of the COVID-19 pandemic, the Company applied for and received a $2.7 million PPP Loan under the CARES Act that bore interest at 1.00% per annum. The Company elected to repay the PPP Loan, and the PPP Loan was paid in full in December 2020 with interest expense of $18,000.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STOCKHOLDERS' AND MEMBERS' EQUITY</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Capitalization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capitalization and voting rights of the Company’s classes of equity as of September 30,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Issued &amp;</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Votes per</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Economic</w:t>
            </w:r>
          </w:p>
        </w:tc>
      </w:tr>
      <w:tr>
        <w:trPr>
          <w:trHeight w:val="210"/>
        </w:trPr>
        <w:tc>
          <w:tcPr>
            <w:tcW w:w="3780" w:type="dxa"/>
            <w:vAlign w:val="bottom"/>
          </w:tcPr>
          <w:p>
            <w:pPr>
              <w:spacing w:after="0"/>
              <w:rPr>
                <w:sz w:val="18"/>
                <w:szCs w:val="18"/>
                <w:color w:val="auto"/>
              </w:rPr>
            </w:pPr>
          </w:p>
        </w:tc>
        <w:tc>
          <w:tcPr>
            <w:tcW w:w="1880" w:type="dxa"/>
            <w:vAlign w:val="bottom"/>
            <w:gridSpan w:val="2"/>
          </w:tcPr>
          <w:p>
            <w:pPr>
              <w:ind w:left="500"/>
              <w:spacing w:after="0"/>
              <w:rPr>
                <w:sz w:val="20"/>
                <w:szCs w:val="20"/>
                <w:color w:val="auto"/>
              </w:rPr>
            </w:pPr>
            <w:r>
              <w:rPr>
                <w:rFonts w:ascii="Arial" w:cs="Arial" w:eastAsia="Arial" w:hAnsi="Arial"/>
                <w:sz w:val="16"/>
                <w:szCs w:val="16"/>
                <w:b w:val="1"/>
                <w:bCs w:val="1"/>
                <w:color w:val="auto"/>
              </w:rPr>
              <w:t>Authorized</w:t>
            </w:r>
          </w:p>
        </w:tc>
        <w:tc>
          <w:tcPr>
            <w:tcW w:w="1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Outstanding</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r>
      <w:tr>
        <w:trPr>
          <w:trHeight w:val="33"/>
        </w:trPr>
        <w:tc>
          <w:tcPr>
            <w:tcW w:w="37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None</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70"/>
        </w:trPr>
        <w:tc>
          <w:tcPr>
            <w:tcW w:w="37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6"/>
                <w:szCs w:val="16"/>
                <w:color w:val="auto"/>
              </w:rPr>
              <w:t>Class A</w:t>
            </w:r>
          </w:p>
        </w:tc>
        <w:tc>
          <w:tcPr>
            <w:tcW w:w="1780" w:type="dxa"/>
            <w:vAlign w:val="bottom"/>
          </w:tcPr>
          <w:p>
            <w:pPr>
              <w:jc w:val="right"/>
              <w:spacing w:after="0"/>
              <w:rPr>
                <w:sz w:val="20"/>
                <w:szCs w:val="20"/>
                <w:color w:val="auto"/>
              </w:rPr>
            </w:pPr>
            <w:r>
              <w:rPr>
                <w:rFonts w:ascii="Arial" w:cs="Arial" w:eastAsia="Arial" w:hAnsi="Arial"/>
                <w:sz w:val="16"/>
                <w:szCs w:val="16"/>
                <w:color w:val="auto"/>
              </w:rPr>
              <w:t>1,200,000,000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9,583,332</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86"/>
              </w:rPr>
              <w:t>Yes</w:t>
            </w:r>
          </w:p>
        </w:tc>
      </w:tr>
      <w:tr>
        <w:trPr>
          <w:trHeight w:val="3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Class B</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35,576,400</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No</w:t>
            </w:r>
          </w:p>
        </w:tc>
      </w:tr>
      <w:tr>
        <w:trPr>
          <w:trHeight w:val="223"/>
        </w:trPr>
        <w:tc>
          <w:tcPr>
            <w:tcW w:w="3780" w:type="dxa"/>
            <w:vAlign w:val="bottom"/>
          </w:tcPr>
          <w:p>
            <w:pPr>
              <w:ind w:left="240"/>
              <w:spacing w:after="0"/>
              <w:rPr>
                <w:sz w:val="20"/>
                <w:szCs w:val="20"/>
                <w:color w:val="auto"/>
              </w:rPr>
            </w:pPr>
            <w:r>
              <w:rPr>
                <w:rFonts w:ascii="Arial" w:cs="Arial" w:eastAsia="Arial" w:hAnsi="Arial"/>
                <w:sz w:val="16"/>
                <w:szCs w:val="16"/>
                <w:color w:val="auto"/>
              </w:rPr>
              <w:t>Class C</w:t>
            </w:r>
          </w:p>
        </w:tc>
        <w:tc>
          <w:tcPr>
            <w:tcW w:w="1780" w:type="dxa"/>
            <w:vAlign w:val="bottom"/>
          </w:tcPr>
          <w:p>
            <w:pPr>
              <w:jc w:val="right"/>
              <w:spacing w:after="0"/>
              <w:rPr>
                <w:sz w:val="20"/>
                <w:szCs w:val="20"/>
                <w:color w:val="auto"/>
              </w:rPr>
            </w:pPr>
            <w:r>
              <w:rPr>
                <w:rFonts w:ascii="Arial" w:cs="Arial" w:eastAsia="Arial" w:hAnsi="Arial"/>
                <w:sz w:val="16"/>
                <w:szCs w:val="16"/>
                <w:color w:val="auto"/>
              </w:rPr>
              <w:t>150,000,000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49,505,250</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w w:val="97"/>
              </w:rPr>
              <w:t>No</w:t>
            </w:r>
          </w:p>
        </w:tc>
      </w:tr>
      <w:tr>
        <w:trPr>
          <w:trHeight w:val="3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Class 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None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270"/>
        </w:trPr>
        <w:tc>
          <w:tcPr>
            <w:tcW w:w="37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reserved for issuances:</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6"/>
                <w:szCs w:val="16"/>
                <w:color w:val="auto"/>
              </w:rPr>
              <w:t>Conversion of LLC Units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85,081,650</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Vesting of LLC Units</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2,011,643</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6"/>
                <w:szCs w:val="16"/>
                <w:color w:val="auto"/>
              </w:rPr>
              <w:t>RSUs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188,268</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6"/>
        </w:trPr>
        <w:tc>
          <w:tcPr>
            <w:tcW w:w="3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Stock options</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1,618,064</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70"/>
        </w:trPr>
        <w:tc>
          <w:tcPr>
            <w:tcW w:w="37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LLC Units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85,081,650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7"/>
              </w:rPr>
              <w:t>No</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Yes</w:t>
            </w:r>
          </w:p>
        </w:tc>
      </w:tr>
      <w:tr>
        <w:trPr>
          <w:trHeight w:val="33"/>
        </w:trPr>
        <w:tc>
          <w:tcPr>
            <w:tcW w:w="37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26" w:name="page27"/>
    <w:bookmarkEnd w:id="2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Board of Directors is authorized to direct the Company to issue shares of preferred stock in one or more series and the discretion to determine the number and designation of such series and the powers, rights, preferences, privileges and restrictions, including voting rights, dividend rights, conversion rights, redemption privileges and liquidation preferences, of each series of preferred stock. Through September 30, 2021, no series of preferred stock have been issued.</w:t>
      </w:r>
    </w:p>
    <w:p>
      <w:pPr>
        <w:spacing w:after="0" w:line="21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 xml:space="preserve">Shares of Class B and Class C common stock are not entitled to receive any distributions or dividends other than in connection with a liquidation and have no rights to convert into Class A common stock or Class D common stock, separate from an exchange or redemption of the LLC Interests corresponding to such shares of Class B common stock or Class C common stock, as applicable, as discussed below under </w:t>
      </w:r>
      <w:r>
        <w:rPr>
          <w:rFonts w:ascii="Arial" w:cs="Arial" w:eastAsia="Arial" w:hAnsi="Arial"/>
          <w:sz w:val="18"/>
          <w:szCs w:val="18"/>
          <w:i w:val="1"/>
          <w:iCs w:val="1"/>
          <w:color w:val="auto"/>
        </w:rPr>
        <w:t>Brilliant Earth, LLC</w:t>
      </w:r>
      <w:r>
        <w:rPr>
          <w:rFonts w:ascii="Arial" w:cs="Arial" w:eastAsia="Arial" w:hAnsi="Arial"/>
          <w:sz w:val="18"/>
          <w:szCs w:val="18"/>
          <w:color w:val="auto"/>
        </w:rPr>
        <w:t>. When a common unit is redeemed for cash or Class A or D common stock by a Continuing Equity Owner who holds</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B common stock or Class C common stock, such Continuing Equity Owner will be required to surrender a share of Class B common stock or Class C common stock, as applicable, which will be cancelled for no consideration.</w:t>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must, at all times, maintain (i) a one-to-one ratio between the number of shares of Class A common stock issued to Brilliant Earth Group, Inc. and the number of LLC Interests owned by Brilliant Earth Group, Inc., and (ii) maintain a one-to-one ratio between the number of shares of Class B and Class C common stock owned by the Continuing Equity Owners and the number of LLC Interests owned by them.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different classes of common stock are held as follows:</w:t>
      </w:r>
    </w:p>
    <w:p>
      <w:pPr>
        <w:spacing w:after="0" w:line="24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9,583,332 shares of Class A common stock are held by shareholders who invested in the IPO;</w:t>
      </w:r>
    </w:p>
    <w:p>
      <w:pPr>
        <w:spacing w:after="0" w:line="242" w:lineRule="exact"/>
        <w:rPr>
          <w:rFonts w:ascii="Arial" w:cs="Arial" w:eastAsia="Arial" w:hAnsi="Arial"/>
          <w:sz w:val="20"/>
          <w:szCs w:val="20"/>
          <w:color w:val="auto"/>
        </w:rPr>
      </w:pPr>
    </w:p>
    <w:p>
      <w:pPr>
        <w:jc w:val="both"/>
        <w:ind w:left="660" w:right="200" w:hanging="328"/>
        <w:spacing w:after="0" w:line="25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35,576,400 shares of Class B common stock are held by the Continuing Equity Owners excluding the Founders (36,064,421 initial shares less 522,386 shares redeemed with use of proceeds from the exercise of the underwriters’ overallotment option, plus 34,365 shares associated with the vesting of LLC Units); and</w:t>
      </w:r>
    </w:p>
    <w:p>
      <w:pPr>
        <w:spacing w:after="0" w:line="212" w:lineRule="exact"/>
        <w:rPr>
          <w:rFonts w:ascii="Arial" w:cs="Arial" w:eastAsia="Arial" w:hAnsi="Arial"/>
          <w:sz w:val="20"/>
          <w:szCs w:val="20"/>
          <w:color w:val="auto"/>
        </w:rPr>
      </w:pPr>
    </w:p>
    <w:p>
      <w:pPr>
        <w:ind w:left="660" w:right="160" w:hanging="328"/>
        <w:spacing w:after="0" w:line="26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49,505,250 shares of Class C common stock are held by the Founders (50,232,863 initial shares less 727,613 shares redeemed with use of proceeds from the exercise of the underwriters’ overallotment option).</w:t>
      </w:r>
    </w:p>
    <w:p>
      <w:pPr>
        <w:spacing w:after="0" w:line="204" w:lineRule="exact"/>
        <w:rPr>
          <w:sz w:val="20"/>
          <w:szCs w:val="20"/>
          <w:color w:val="auto"/>
        </w:rPr>
      </w:pPr>
    </w:p>
    <w:p>
      <w:pPr>
        <w:ind w:right="280"/>
        <w:spacing w:after="0" w:line="269" w:lineRule="auto"/>
        <w:rPr>
          <w:sz w:val="20"/>
          <w:szCs w:val="20"/>
          <w:color w:val="auto"/>
        </w:rPr>
      </w:pPr>
      <w:r>
        <w:rPr>
          <w:rFonts w:ascii="Arial" w:cs="Arial" w:eastAsia="Arial" w:hAnsi="Arial"/>
          <w:sz w:val="19"/>
          <w:szCs w:val="19"/>
          <w:color w:val="auto"/>
        </w:rPr>
        <w:t>Class C and D common stock may only be held by the Founders and their respective permitted transferees. No shares of Class D common stock are currently outstanding, but may be issued in connection with an exchange by the Founders of their LLC Interests (along with an equal number of shares of Class C common stock and such shares shall be immediately cancelled).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Brilliant Earth, LLC</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As of September 30, 2021, Brilliant Earth Group, Inc. holds a 10.1% economic interest in Brilliant Earth, LLC through its ownership of 9,583,332 LLC Units, but consolidates Brilliant Earth, LLC as sole managing member. The remaining 85,081,650 LLC Units representing an 89.9% interest are held by the Continuing Equity Owners and presented in the condensed consolidated financial statements as a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 The redemption feature qualifies for an exception from derivative accounting and, accordingly, its value is not bifurcated from the underlying LLC Unit.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Issuance of Additional LLC Units</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Under the LLC Agreement, the Company is required to cause Brilliant Earth, LLC to issue additional LLC Interests to the Company when the Company issues additional shares of Class A common stock. Other than as it relates to the issuance of Class A common stock in connection with an equity incentive program, the Company must contribute to Brilliant Earth, LLC net proceeds and property, if any, received by the Company with respect to the issuance of such additional shares of Class A common stock. The Company must cause Brilliant Earth, LLC to issue a number of LLC Interests equal to the number of shares of Class A common stock issued such that, at all times, the number of LLC Interests held by the Company equals the number of outstanding shares of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Between September 23, 2021 and September 30, 2021, the Company caused Brilliant Earth, LLC to issue to the Company a total</w:t>
      </w:r>
    </w:p>
    <w:p>
      <w:pPr>
        <w:spacing w:after="0" w:line="27" w:lineRule="exact"/>
        <w:rPr>
          <w:sz w:val="20"/>
          <w:szCs w:val="20"/>
          <w:color w:val="auto"/>
        </w:rPr>
      </w:pPr>
    </w:p>
    <w:p>
      <w:pPr>
        <w:jc w:val="both"/>
        <w:ind w:right="440"/>
        <w:spacing w:after="0" w:line="260" w:lineRule="auto"/>
        <w:rPr>
          <w:sz w:val="20"/>
          <w:szCs w:val="20"/>
          <w:color w:val="auto"/>
        </w:rPr>
      </w:pPr>
      <w:r>
        <w:rPr>
          <w:rFonts w:ascii="Arial" w:cs="Arial" w:eastAsia="Arial" w:hAnsi="Arial"/>
          <w:sz w:val="19"/>
          <w:szCs w:val="19"/>
          <w:color w:val="auto"/>
        </w:rPr>
        <w:t>of 9,583,332 LLC Units in connection with the issuance of Class A common stock in the IPO. The Company also caused Brilliant Earth Group, Inc. to issue 34,365 shares of Class B common stock to the Continuing Equity Owners associated with 34,365 LLC units which vested during the period. No RSUs vested and no stock options were exercised during the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Distributions to Members Related to Their Income Tax Liabilities</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As a limited liability company treated as a partnership for income tax purposes, Brilliant Earth, LLC does not incur significant federal, state or local income taxes, as these taxes are primarily the obligations of its members. Under the LLC Agreement, Brilliant Earth, LLC is required to distribute cash, to the extent that Brilliant Earth, LLC has cash available, on a pro rata basis to its members to the extent necessary to cover the members’ tax liabilities, if any, with respect to each member’s share of Brilliant Earth, LLC taxable earnings. Brilliant Earth, LLC makes such tax distributions to its members quarterly, based on an estimated tax rate and projected year-to-date taxable income, with a final accounting once actual taxable income or loss has been determined. Such distributions totaled approximately $2.8 million and $21.4 million, respectively, for the three and nine months ended September 30, 2021. No distributions were made in the three and nine months ended September 30, 2020 as these distributions to, on or behalf of, members associated with their estimated income tax obligations for the year ended December 31, 2020 were paid in the second quarter of 2021.</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Brilliant Earth, LLC Capitalization through September 23, 2021, the Date of the IPO</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Prior to the completion of the reorganization and IPO transactions, Brilliant Earth, LLC had LLC Interests outstanding in the form of Class F, Class P and Class M Units. These units were converted into common LLC Units at the time of the IPO. The Class P Units were classified as redeemable securities presented in temporary equity and conversion to LLC Units was in the form of redemption at a value of $389.2 million as of September 22, 2021 after a mark-to-market adjustment of $138.4 million and $327.2 million for the three and nine months ended September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The following presents the statement of changes in Class F, Class P, and Class M Units for the periods from June 30, 2020 to September 30, 2020 and June 30, 2021 to September 22,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gridSpan w:val="8"/>
          </w:tcPr>
          <w:p>
            <w:pPr>
              <w:jc w:val="right"/>
              <w:spacing w:after="0"/>
              <w:rPr>
                <w:sz w:val="20"/>
                <w:szCs w:val="20"/>
                <w:color w:val="auto"/>
              </w:rPr>
            </w:pPr>
            <w:r>
              <w:rPr>
                <w:rFonts w:ascii="Arial" w:cs="Arial" w:eastAsia="Arial" w:hAnsi="Arial"/>
                <w:sz w:val="11"/>
                <w:szCs w:val="11"/>
                <w:b w:val="1"/>
                <w:bCs w:val="1"/>
                <w:color w:val="auto"/>
              </w:rPr>
              <w:t>Brilliant Earth, LLC (prior to Reorganization Transactions)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P Units</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F Units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M Units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Class F Units and</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1200" w:type="dxa"/>
            <w:vAlign w:val="bottom"/>
            <w:gridSpan w:val="2"/>
          </w:tcPr>
          <w:p>
            <w:pPr>
              <w:ind w:left="440"/>
              <w:spacing w:after="0"/>
              <w:rPr>
                <w:sz w:val="20"/>
                <w:szCs w:val="20"/>
                <w:color w:val="auto"/>
              </w:rPr>
            </w:pPr>
            <w:r>
              <w:rPr>
                <w:rFonts w:ascii="Arial" w:cs="Arial" w:eastAsia="Arial" w:hAnsi="Arial"/>
                <w:sz w:val="11"/>
                <w:szCs w:val="11"/>
                <w:b w:val="1"/>
                <w:bCs w:val="1"/>
                <w:color w:val="auto"/>
              </w:rPr>
              <w:t>Units</w:t>
            </w:r>
          </w:p>
        </w:tc>
        <w:tc>
          <w:tcPr>
            <w:tcW w:w="220" w:type="dxa"/>
            <w:vAlign w:val="bottom"/>
          </w:tcPr>
          <w:p>
            <w:pPr>
              <w:spacing w:after="0"/>
              <w:rPr>
                <w:sz w:val="12"/>
                <w:szCs w:val="12"/>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1180" w:type="dxa"/>
            <w:vAlign w:val="bottom"/>
            <w:gridSpan w:val="2"/>
          </w:tcPr>
          <w:p>
            <w:pPr>
              <w:ind w:left="420"/>
              <w:spacing w:after="0"/>
              <w:rPr>
                <w:sz w:val="20"/>
                <w:szCs w:val="20"/>
                <w:color w:val="auto"/>
              </w:rPr>
            </w:pPr>
            <w:r>
              <w:rPr>
                <w:rFonts w:ascii="Arial" w:cs="Arial" w:eastAsia="Arial" w:hAnsi="Arial"/>
                <w:sz w:val="11"/>
                <w:szCs w:val="11"/>
                <w:b w:val="1"/>
                <w:bCs w:val="1"/>
                <w:color w:val="auto"/>
              </w:rPr>
              <w:t>Units</w:t>
            </w:r>
          </w:p>
        </w:tc>
        <w:tc>
          <w:tcPr>
            <w:tcW w:w="2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1140" w:type="dxa"/>
            <w:vAlign w:val="bottom"/>
            <w:gridSpan w:val="2"/>
          </w:tcPr>
          <w:p>
            <w:pPr>
              <w:ind w:left="400"/>
              <w:spacing w:after="0"/>
              <w:rPr>
                <w:sz w:val="20"/>
                <w:szCs w:val="20"/>
                <w:color w:val="auto"/>
              </w:rPr>
            </w:pPr>
            <w:r>
              <w:rPr>
                <w:rFonts w:ascii="Arial" w:cs="Arial" w:eastAsia="Arial" w:hAnsi="Arial"/>
                <w:sz w:val="11"/>
                <w:szCs w:val="11"/>
                <w:b w:val="1"/>
                <w:bCs w:val="1"/>
                <w:color w:val="auto"/>
              </w:rPr>
              <w:t>Units</w:t>
            </w:r>
          </w:p>
        </w:tc>
        <w:tc>
          <w:tcPr>
            <w:tcW w:w="12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w:t>
            </w:r>
          </w:p>
        </w:tc>
        <w:tc>
          <w:tcPr>
            <w:tcW w:w="114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 Units</w:t>
            </w:r>
          </w:p>
        </w:tc>
        <w:tc>
          <w:tcPr>
            <w:tcW w:w="100" w:type="dxa"/>
            <w:vAlign w:val="bottom"/>
          </w:tcPr>
          <w:p>
            <w:pPr>
              <w:spacing w:after="0"/>
              <w:rPr>
                <w:sz w:val="12"/>
                <w:szCs w:val="12"/>
                <w:color w:val="auto"/>
              </w:rPr>
            </w:pPr>
          </w:p>
        </w:tc>
        <w:tc>
          <w:tcPr>
            <w:tcW w:w="960" w:type="dxa"/>
            <w:vAlign w:val="bottom"/>
          </w:tcPr>
          <w:p>
            <w:pPr>
              <w:jc w:val="right"/>
              <w:ind w:right="146"/>
              <w:spacing w:after="0"/>
              <w:rPr>
                <w:sz w:val="20"/>
                <w:szCs w:val="20"/>
                <w:color w:val="auto"/>
              </w:rPr>
            </w:pPr>
            <w:r>
              <w:rPr>
                <w:rFonts w:ascii="Arial" w:cs="Arial" w:eastAsia="Arial" w:hAnsi="Arial"/>
                <w:sz w:val="11"/>
                <w:szCs w:val="11"/>
                <w:b w:val="1"/>
                <w:bCs w:val="1"/>
                <w:color w:val="auto"/>
              </w:rPr>
              <w:t>Class M Units</w:t>
            </w:r>
          </w:p>
        </w:tc>
        <w:tc>
          <w:tcPr>
            <w:tcW w:w="0" w:type="dxa"/>
            <w:vAlign w:val="bottom"/>
          </w:tcPr>
          <w:p>
            <w:pPr>
              <w:spacing w:after="0"/>
              <w:rPr>
                <w:sz w:val="1"/>
                <w:szCs w:val="1"/>
                <w:color w:val="auto"/>
              </w:rPr>
            </w:pPr>
          </w:p>
        </w:tc>
      </w:tr>
      <w:tr>
        <w:trPr>
          <w:trHeight w:val="35"/>
        </w:trPr>
        <w:tc>
          <w:tcPr>
            <w:tcW w:w="26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June 30, 2020</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58,940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50,232,863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(69,702)</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2,416,148</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268</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52,649,011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(69,434)</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25,493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b w:val="1"/>
                <w:bCs w:val="1"/>
                <w:color w:val="auto"/>
              </w:rPr>
              <w:t>25,493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8,041</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8,041</w:t>
            </w: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Adjustment of redeemable convertible preferred units to</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(10,279)</w:t>
            </w: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10,279</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(10,279)</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Balance, September 30, 2020</w:t>
            </w: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69,219</w:t>
            </w:r>
          </w:p>
        </w:tc>
        <w:tc>
          <w:tcPr>
            <w:tcW w:w="120" w:type="dxa"/>
            <w:vAlign w:val="bottom"/>
            <w:tcBorders>
              <w:right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50,232,863</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(71,940)</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2,441,641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275</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52,674,504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(71,665)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Balance, June 30, 2021</w:t>
            </w:r>
          </w:p>
        </w:tc>
        <w:tc>
          <w:tcPr>
            <w:tcW w:w="1120" w:type="dxa"/>
            <w:vAlign w:val="bottom"/>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250,746</w:t>
            </w:r>
          </w:p>
        </w:tc>
        <w:tc>
          <w:tcPr>
            <w:tcW w:w="120" w:type="dxa"/>
            <w:vAlign w:val="bottom"/>
            <w:tcBorders>
              <w:right w:val="single" w:sz="8" w:color="auto"/>
            </w:tcBorders>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b w:val="1"/>
                <w:bCs w:val="1"/>
                <w:color w:val="auto"/>
              </w:rPr>
              <w:t>50,232,863</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(277,830)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3,002,324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488</w:t>
            </w:r>
          </w:p>
        </w:tc>
        <w:tc>
          <w:tcPr>
            <w:tcW w:w="100" w:type="dxa"/>
            <w:vAlign w:val="bottom"/>
          </w:tcPr>
          <w:p>
            <w:pPr>
              <w:spacing w:after="0"/>
              <w:rPr>
                <w:sz w:val="13"/>
                <w:szCs w:val="13"/>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b w:val="1"/>
                <w:bCs w:val="1"/>
                <w:color w:val="auto"/>
              </w:rPr>
              <w:t>53,235,187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(277,342)</w:t>
            </w: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Tax distributions to members</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(1,697)</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(1,697)</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91,913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b w:val="1"/>
                <w:bCs w:val="1"/>
                <w:color w:val="auto"/>
              </w:rPr>
              <w:t>91,913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58</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1,214</w:t>
            </w:r>
          </w:p>
        </w:tc>
        <w:tc>
          <w:tcPr>
            <w:tcW w:w="120" w:type="dxa"/>
            <w:vAlign w:val="bottom"/>
            <w:tcBorders>
              <w:right w:val="single" w:sz="8" w:color="auto"/>
            </w:tcBorders>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1,893</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1,893</w:t>
            </w: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Adjustment of redeemable convertible preferred units to</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(138,367)</w:t>
            </w:r>
          </w:p>
        </w:tc>
        <w:tc>
          <w:tcPr>
            <w:tcW w:w="0" w:type="dxa"/>
            <w:vAlign w:val="bottom"/>
          </w:tcPr>
          <w:p>
            <w:pPr>
              <w:spacing w:after="0"/>
              <w:rPr>
                <w:sz w:val="1"/>
                <w:szCs w:val="1"/>
                <w:color w:val="auto"/>
              </w:rPr>
            </w:pPr>
          </w:p>
        </w:tc>
      </w:tr>
      <w:tr>
        <w:trPr>
          <w:trHeight w:val="15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138,367</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(138,367)</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Reorganization Transactions</w:t>
            </w:r>
          </w:p>
        </w:tc>
        <w:tc>
          <w:tcPr>
            <w:tcW w:w="1120" w:type="dxa"/>
            <w:vAlign w:val="bottom"/>
          </w:tcPr>
          <w:p>
            <w:pPr>
              <w:jc w:val="right"/>
              <w:spacing w:after="0"/>
              <w:rPr>
                <w:sz w:val="20"/>
                <w:szCs w:val="20"/>
                <w:color w:val="auto"/>
              </w:rPr>
            </w:pPr>
            <w:r>
              <w:rPr>
                <w:rFonts w:ascii="Arial" w:cs="Arial" w:eastAsia="Arial" w:hAnsi="Arial"/>
                <w:sz w:val="11"/>
                <w:szCs w:val="11"/>
                <w:color w:val="auto"/>
              </w:rPr>
              <w:t>(32,435,595)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(389,227)</w:t>
            </w:r>
          </w:p>
        </w:tc>
        <w:tc>
          <w:tcPr>
            <w:tcW w:w="120" w:type="dxa"/>
            <w:vAlign w:val="bottom"/>
            <w:tcBorders>
              <w:right w:val="single" w:sz="8" w:color="auto"/>
            </w:tcBorders>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(50,232,863)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416,001</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(3,094,237)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(53,327,100)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b w:val="1"/>
                <w:bCs w:val="1"/>
                <w:color w:val="auto"/>
              </w:rPr>
              <w:t>415,455</w:t>
            </w:r>
          </w:p>
        </w:tc>
        <w:tc>
          <w:tcPr>
            <w:tcW w:w="0" w:type="dxa"/>
            <w:vAlign w:val="bottom"/>
          </w:tcPr>
          <w:p>
            <w:pPr>
              <w:spacing w:after="0"/>
              <w:rPr>
                <w:sz w:val="1"/>
                <w:szCs w:val="1"/>
                <w:color w:val="auto"/>
              </w:rPr>
            </w:pPr>
          </w:p>
        </w:tc>
      </w:tr>
      <w:tr>
        <w:trPr>
          <w:trHeight w:val="36"/>
        </w:trPr>
        <w:tc>
          <w:tcPr>
            <w:tcW w:w="26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w w:val="99"/>
              </w:rPr>
              <w:t>Balance, September 22, 2021 after Reorganization</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Transactions</w:t>
            </w:r>
          </w:p>
        </w:tc>
        <w:tc>
          <w:tcPr>
            <w:tcW w:w="120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40" w:type="dxa"/>
            <w:vAlign w:val="bottom"/>
            <w:tcBorders>
              <w:right w:val="single" w:sz="8" w:color="auto"/>
            </w:tcBorders>
            <w:gridSpan w:val="2"/>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following presents the statement of changes in Class F, Class P, and Class M Units for the periods from January 1, 2020 to September 30, 2020 and January 1, 2021 to September 22,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gridSpan w:val="8"/>
          </w:tcPr>
          <w:p>
            <w:pPr>
              <w:jc w:val="right"/>
              <w:spacing w:after="0"/>
              <w:rPr>
                <w:sz w:val="20"/>
                <w:szCs w:val="20"/>
                <w:color w:val="auto"/>
              </w:rPr>
            </w:pPr>
            <w:r>
              <w:rPr>
                <w:rFonts w:ascii="Arial" w:cs="Arial" w:eastAsia="Arial" w:hAnsi="Arial"/>
                <w:sz w:val="11"/>
                <w:szCs w:val="11"/>
                <w:b w:val="1"/>
                <w:bCs w:val="1"/>
                <w:color w:val="auto"/>
              </w:rPr>
              <w:t>Brilliant Earth, LLC (prior to Reorganization Transactions)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P Units</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F Units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b w:val="1"/>
                <w:bCs w:val="1"/>
                <w:color w:val="auto"/>
              </w:rPr>
              <w:t>Class M Units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rPr>
                <w:sz w:val="12"/>
                <w:szCs w:val="12"/>
                <w:color w:val="auto"/>
              </w:rPr>
            </w:pPr>
          </w:p>
        </w:tc>
        <w:tc>
          <w:tcPr>
            <w:tcW w:w="1200" w:type="dxa"/>
            <w:vAlign w:val="bottom"/>
            <w:gridSpan w:val="2"/>
          </w:tcPr>
          <w:p>
            <w:pPr>
              <w:ind w:left="440"/>
              <w:spacing w:after="0"/>
              <w:rPr>
                <w:sz w:val="20"/>
                <w:szCs w:val="20"/>
                <w:color w:val="auto"/>
              </w:rPr>
            </w:pPr>
            <w:r>
              <w:rPr>
                <w:rFonts w:ascii="Arial" w:cs="Arial" w:eastAsia="Arial" w:hAnsi="Arial"/>
                <w:sz w:val="11"/>
                <w:szCs w:val="11"/>
                <w:b w:val="1"/>
                <w:bCs w:val="1"/>
                <w:color w:val="auto"/>
              </w:rPr>
              <w:t>Units</w:t>
            </w:r>
          </w:p>
        </w:tc>
        <w:tc>
          <w:tcPr>
            <w:tcW w:w="220" w:type="dxa"/>
            <w:vAlign w:val="bottom"/>
          </w:tcPr>
          <w:p>
            <w:pPr>
              <w:spacing w:after="0"/>
              <w:rPr>
                <w:sz w:val="12"/>
                <w:szCs w:val="12"/>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1180" w:type="dxa"/>
            <w:vAlign w:val="bottom"/>
            <w:gridSpan w:val="2"/>
          </w:tcPr>
          <w:p>
            <w:pPr>
              <w:ind w:left="420"/>
              <w:spacing w:after="0"/>
              <w:rPr>
                <w:sz w:val="20"/>
                <w:szCs w:val="20"/>
                <w:color w:val="auto"/>
              </w:rPr>
            </w:pPr>
            <w:r>
              <w:rPr>
                <w:rFonts w:ascii="Arial" w:cs="Arial" w:eastAsia="Arial" w:hAnsi="Arial"/>
                <w:sz w:val="11"/>
                <w:szCs w:val="11"/>
                <w:b w:val="1"/>
                <w:bCs w:val="1"/>
                <w:color w:val="auto"/>
              </w:rPr>
              <w:t>Units</w:t>
            </w:r>
          </w:p>
        </w:tc>
        <w:tc>
          <w:tcPr>
            <w:tcW w:w="2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w:t>
            </w:r>
          </w:p>
        </w:tc>
        <w:tc>
          <w:tcPr>
            <w:tcW w:w="1140" w:type="dxa"/>
            <w:vAlign w:val="bottom"/>
            <w:gridSpan w:val="2"/>
          </w:tcPr>
          <w:p>
            <w:pPr>
              <w:ind w:left="400"/>
              <w:spacing w:after="0"/>
              <w:rPr>
                <w:sz w:val="20"/>
                <w:szCs w:val="20"/>
                <w:color w:val="auto"/>
              </w:rPr>
            </w:pPr>
            <w:r>
              <w:rPr>
                <w:rFonts w:ascii="Arial" w:cs="Arial" w:eastAsia="Arial" w:hAnsi="Arial"/>
                <w:sz w:val="11"/>
                <w:szCs w:val="11"/>
                <w:b w:val="1"/>
                <w:bCs w:val="1"/>
                <w:color w:val="auto"/>
              </w:rPr>
              <w:t>Units</w:t>
            </w:r>
          </w:p>
        </w:tc>
        <w:tc>
          <w:tcPr>
            <w:tcW w:w="12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w:t>
            </w:r>
          </w:p>
        </w:tc>
        <w:tc>
          <w:tcPr>
            <w:tcW w:w="114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 Units</w:t>
            </w:r>
          </w:p>
        </w:tc>
        <w:tc>
          <w:tcPr>
            <w:tcW w:w="140" w:type="dxa"/>
            <w:vAlign w:val="bottom"/>
          </w:tcPr>
          <w:p>
            <w:pPr>
              <w:spacing w:after="0"/>
              <w:rPr>
                <w:sz w:val="12"/>
                <w:szCs w:val="12"/>
                <w:color w:val="auto"/>
              </w:rPr>
            </w:pPr>
          </w:p>
        </w:tc>
        <w:tc>
          <w:tcPr>
            <w:tcW w:w="920" w:type="dxa"/>
            <w:vAlign w:val="bottom"/>
          </w:tcPr>
          <w:p>
            <w:pPr>
              <w:jc w:val="right"/>
              <w:ind w:right="126"/>
              <w:spacing w:after="0"/>
              <w:rPr>
                <w:sz w:val="20"/>
                <w:szCs w:val="20"/>
                <w:color w:val="auto"/>
              </w:rPr>
            </w:pPr>
            <w:r>
              <w:rPr>
                <w:rFonts w:ascii="Arial" w:cs="Arial" w:eastAsia="Arial" w:hAnsi="Arial"/>
                <w:sz w:val="11"/>
                <w:szCs w:val="11"/>
                <w:b w:val="1"/>
                <w:bCs w:val="1"/>
                <w:color w:val="auto"/>
                <w:w w:val="93"/>
              </w:rPr>
              <w:t>Total Amounts</w:t>
            </w:r>
          </w:p>
        </w:tc>
        <w:tc>
          <w:tcPr>
            <w:tcW w:w="0" w:type="dxa"/>
            <w:vAlign w:val="bottom"/>
          </w:tcPr>
          <w:p>
            <w:pPr>
              <w:spacing w:after="0"/>
              <w:rPr>
                <w:sz w:val="1"/>
                <w:szCs w:val="1"/>
                <w:color w:val="auto"/>
              </w:rPr>
            </w:pPr>
          </w:p>
        </w:tc>
      </w:tr>
      <w:tr>
        <w:trPr>
          <w:trHeight w:val="35"/>
        </w:trPr>
        <w:tc>
          <w:tcPr>
            <w:tcW w:w="26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2020</w:t>
            </w:r>
          </w:p>
        </w:tc>
        <w:tc>
          <w:tcPr>
            <w:tcW w:w="11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80,829</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50,232,863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(91,773)</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2,362,944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254</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52,595,807</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(91,519)</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78,697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b w:val="1"/>
                <w:bCs w:val="1"/>
                <w:color w:val="auto"/>
              </w:rPr>
              <w:t>78,697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8,223</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8,223</w:t>
            </w: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Adjustment of redeemable convertible preferred units to</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11,610</w:t>
            </w: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(11,610)</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11,610</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Balance, September 30, 2020</w:t>
            </w: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69,219</w:t>
            </w:r>
          </w:p>
        </w:tc>
        <w:tc>
          <w:tcPr>
            <w:tcW w:w="120" w:type="dxa"/>
            <w:vAlign w:val="bottom"/>
            <w:tcBorders>
              <w:right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50,232,863</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(71,940)</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2,441,641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275</w:t>
            </w:r>
          </w:p>
        </w:tc>
        <w:tc>
          <w:tcPr>
            <w:tcW w:w="1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52,674,504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(71,665)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20" w:type="dxa"/>
            <w:vAlign w:val="bottom"/>
          </w:tcPr>
          <w:p>
            <w:pPr>
              <w:ind w:left="20"/>
              <w:spacing w:after="0"/>
              <w:rPr>
                <w:sz w:val="20"/>
                <w:szCs w:val="20"/>
                <w:color w:val="auto"/>
              </w:rPr>
            </w:pPr>
            <w:r>
              <w:rPr>
                <w:rFonts w:ascii="Arial" w:cs="Arial" w:eastAsia="Arial" w:hAnsi="Arial"/>
                <w:sz w:val="11"/>
                <w:szCs w:val="11"/>
                <w:b w:val="1"/>
                <w:bCs w:val="1"/>
                <w:color w:val="auto"/>
              </w:rPr>
              <w:t>Balance, January 1, 2021</w:t>
            </w:r>
          </w:p>
        </w:tc>
        <w:tc>
          <w:tcPr>
            <w:tcW w:w="1120" w:type="dxa"/>
            <w:vAlign w:val="bottom"/>
          </w:tcPr>
          <w:p>
            <w:pPr>
              <w:jc w:val="right"/>
              <w:ind w:right="6"/>
              <w:spacing w:after="0"/>
              <w:rPr>
                <w:sz w:val="20"/>
                <w:szCs w:val="20"/>
                <w:color w:val="auto"/>
              </w:rPr>
            </w:pPr>
            <w:r>
              <w:rPr>
                <w:rFonts w:ascii="Arial" w:cs="Arial" w:eastAsia="Arial" w:hAnsi="Arial"/>
                <w:sz w:val="11"/>
                <w:szCs w:val="11"/>
                <w:b w:val="1"/>
                <w:bCs w:val="1"/>
                <w:color w:val="auto"/>
              </w:rPr>
              <w:t>32,435,595</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66,327</w:t>
            </w:r>
          </w:p>
        </w:tc>
        <w:tc>
          <w:tcPr>
            <w:tcW w:w="120" w:type="dxa"/>
            <w:vAlign w:val="bottom"/>
            <w:tcBorders>
              <w:right w:val="single" w:sz="8" w:color="auto"/>
            </w:tcBorders>
          </w:tcPr>
          <w:p>
            <w:pPr>
              <w:spacing w:after="0"/>
              <w:rPr>
                <w:sz w:val="13"/>
                <w:szCs w:val="13"/>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b w:val="1"/>
                <w:bCs w:val="1"/>
                <w:color w:val="auto"/>
              </w:rPr>
              <w:t>50,232,863</w:t>
            </w:r>
          </w:p>
        </w:tc>
        <w:tc>
          <w:tcPr>
            <w:tcW w:w="8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(85,695)</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2,537,791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300</w:t>
            </w:r>
          </w:p>
        </w:tc>
        <w:tc>
          <w:tcPr>
            <w:tcW w:w="100" w:type="dxa"/>
            <w:vAlign w:val="bottom"/>
          </w:tcPr>
          <w:p>
            <w:pPr>
              <w:spacing w:after="0"/>
              <w:rPr>
                <w:sz w:val="13"/>
                <w:szCs w:val="13"/>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b w:val="1"/>
                <w:bCs w:val="1"/>
                <w:color w:val="auto"/>
              </w:rPr>
              <w:t>52,770,654</w:t>
            </w:r>
          </w:p>
        </w:tc>
        <w:tc>
          <w:tcPr>
            <w:tcW w:w="8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(85,395)</w:t>
            </w: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Tax distributions to members</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(9,755)</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(11,643)</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(11,643)</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Vested Class M Units</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556,446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6"/>
              <w:spacing w:after="0"/>
              <w:rPr>
                <w:sz w:val="20"/>
                <w:szCs w:val="20"/>
                <w:color w:val="auto"/>
              </w:rPr>
            </w:pPr>
            <w:r>
              <w:rPr>
                <w:rFonts w:ascii="Arial" w:cs="Arial" w:eastAsia="Arial" w:hAnsi="Arial"/>
                <w:sz w:val="11"/>
                <w:szCs w:val="11"/>
                <w:b w:val="1"/>
                <w:bCs w:val="1"/>
                <w:color w:val="auto"/>
              </w:rPr>
              <w:t>556,446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Equity-based compensation</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246</w:t>
            </w: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w w:val="92"/>
              </w:rPr>
              <w:t>Net income prior to Reorganization Transactions and IPO</w:t>
            </w: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5,466</w:t>
            </w:r>
          </w:p>
        </w:tc>
        <w:tc>
          <w:tcPr>
            <w:tcW w:w="120" w:type="dxa"/>
            <w:vAlign w:val="bottom"/>
            <w:tcBorders>
              <w:right w:val="single" w:sz="8" w:color="auto"/>
            </w:tcBorders>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8,526</w:t>
            </w:r>
          </w:p>
        </w:tc>
        <w:tc>
          <w:tcPr>
            <w:tcW w:w="10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8,526</w:t>
            </w: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5"/>
              </w:rPr>
              <w:t>Adjustment of redeemable convertible preferred units to</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(327,189)</w:t>
            </w:r>
          </w:p>
        </w:tc>
        <w:tc>
          <w:tcPr>
            <w:tcW w:w="0" w:type="dxa"/>
            <w:vAlign w:val="bottom"/>
          </w:tcPr>
          <w:p>
            <w:pPr>
              <w:spacing w:after="0"/>
              <w:rPr>
                <w:sz w:val="1"/>
                <w:szCs w:val="1"/>
                <w:color w:val="auto"/>
              </w:rPr>
            </w:pPr>
          </w:p>
        </w:tc>
      </w:tr>
      <w:tr>
        <w:trPr>
          <w:trHeight w:val="152"/>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redemption value</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327,189</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(327,189)</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1"/>
                <w:szCs w:val="11"/>
                <w:color w:val="auto"/>
              </w:rPr>
              <w:t>Reorganization Transactions</w:t>
            </w:r>
          </w:p>
        </w:tc>
        <w:tc>
          <w:tcPr>
            <w:tcW w:w="1120" w:type="dxa"/>
            <w:vAlign w:val="bottom"/>
          </w:tcPr>
          <w:p>
            <w:pPr>
              <w:jc w:val="right"/>
              <w:spacing w:after="0"/>
              <w:rPr>
                <w:sz w:val="20"/>
                <w:szCs w:val="20"/>
                <w:color w:val="auto"/>
              </w:rPr>
            </w:pPr>
            <w:r>
              <w:rPr>
                <w:rFonts w:ascii="Arial" w:cs="Arial" w:eastAsia="Arial" w:hAnsi="Arial"/>
                <w:sz w:val="11"/>
                <w:szCs w:val="11"/>
                <w:color w:val="auto"/>
              </w:rPr>
              <w:t>(32,435,595)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(389,227)</w:t>
            </w:r>
          </w:p>
        </w:tc>
        <w:tc>
          <w:tcPr>
            <w:tcW w:w="120" w:type="dxa"/>
            <w:vAlign w:val="bottom"/>
            <w:tcBorders>
              <w:right w:val="single" w:sz="8" w:color="auto"/>
            </w:tcBorders>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(50,232,863)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416,001</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(3,094,237)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(53,327,100)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b w:val="1"/>
                <w:bCs w:val="1"/>
                <w:color w:val="auto"/>
              </w:rPr>
              <w:t>415,455</w:t>
            </w:r>
          </w:p>
        </w:tc>
        <w:tc>
          <w:tcPr>
            <w:tcW w:w="0" w:type="dxa"/>
            <w:vAlign w:val="bottom"/>
          </w:tcPr>
          <w:p>
            <w:pPr>
              <w:spacing w:after="0"/>
              <w:rPr>
                <w:sz w:val="1"/>
                <w:szCs w:val="1"/>
                <w:color w:val="auto"/>
              </w:rPr>
            </w:pPr>
          </w:p>
        </w:tc>
      </w:tr>
      <w:tr>
        <w:trPr>
          <w:trHeight w:val="35"/>
        </w:trPr>
        <w:tc>
          <w:tcPr>
            <w:tcW w:w="26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w w:val="99"/>
              </w:rPr>
              <w:t>Balance, September 22, 2021 after Reorganization</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2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Transactions</w:t>
            </w:r>
          </w:p>
        </w:tc>
        <w:tc>
          <w:tcPr>
            <w:tcW w:w="120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40" w:type="dxa"/>
            <w:vAlign w:val="bottom"/>
            <w:tcBorders>
              <w:right w:val="single" w:sz="8" w:color="auto"/>
            </w:tcBorders>
            <w:gridSpan w:val="2"/>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EQUITY-BASED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At the time of the IPO on September 23, 2021, the 2021 Incentive Award Plan and the 2021 Employee Stock Purchase Plan (the “2021 Plans”) were adopted to attract, retain, and motivate selected employees, consultants, and directors through the granting of equity-based compensation awards and cash-based performance bonus awards. The compensation committee or its approved designees, as defined, administer the 2021 Plans. Subject to the terms and conditions of the 2021 Plans,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the 2021 Incentive Award Plan, 10,923,912 shares of common stock were reserved for issuance pursuant to a variety of equity-based compensation awards, including stock options, stock appreciation rights, or SARs, restricted stock awards, restricted stock unit awards, and other equity-based awards. In addition, 1,638,586 shares of Class A common stock were reserved for issuance under our Employee Stock Purchase Plan. The number of shares initially reserved for issuance or transfer pursuant to awards under the 2021 Incentive Award Plan will be increased by an annual increase on the first day of each fiscal year beginning in 2022 and ending in 2031, equal to the lesser of (A) 5% of the shares of common stock outstanding (on an as converted basis) on the last day of the immediately preceding fiscal year and (B) such smaller number of shares of stock as determined by the board of directors; provided, however, that no more than 81,929,342 shares of stock may be issued upon the exercise of incentive stock options. As of September 30, 2021, 9,117,580 shares of common stock are available for future grant under the 2021 Incentive Award Plan. All of the shares of Class A common stock reserved for issuance remain available. Vesting is subject to certain change in control provisions as provided in the award agreements.</w:t>
      </w:r>
    </w:p>
    <w:p>
      <w:pPr>
        <w:spacing w:after="0" w:line="2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Prior to the IPO, Class M Units were granted to certain employees at the Company’s discretion in consideration of services provided by employees. The agreements generally provide for 25% vesting on the first anniversary from the date of grant (or a shorter period at the Company's board of directors' discretion), with the remainder vesting monthly over the subsequent three years. Compensation cost related to these Class M Units was measured as of the grant date based on the fair value of the award and is being expensed ratably over the service period. Class M Units were issued and outstanding as of the date of grant. As discussed in Note 1, </w:t>
      </w:r>
      <w:r>
        <w:rPr>
          <w:rFonts w:ascii="Arial" w:cs="Arial" w:eastAsia="Arial" w:hAnsi="Arial"/>
          <w:sz w:val="18"/>
          <w:szCs w:val="18"/>
          <w:i w:val="1"/>
          <w:iCs w:val="1"/>
          <w:color w:val="auto"/>
        </w:rPr>
        <w:t>Business and organization</w:t>
      </w:r>
      <w:r>
        <w:rPr>
          <w:rFonts w:ascii="Arial" w:cs="Arial" w:eastAsia="Arial" w:hAnsi="Arial"/>
          <w:sz w:val="18"/>
          <w:szCs w:val="18"/>
          <w:color w:val="auto"/>
        </w:rPr>
        <w:t xml:space="preserve">, under </w:t>
      </w:r>
      <w:r>
        <w:rPr>
          <w:rFonts w:ascii="Arial" w:cs="Arial" w:eastAsia="Arial" w:hAnsi="Arial"/>
          <w:sz w:val="18"/>
          <w:szCs w:val="18"/>
          <w:i w:val="1"/>
          <w:iCs w:val="1"/>
          <w:color w:val="auto"/>
        </w:rPr>
        <w:t xml:space="preserve">Conversion of Class F, P and M units at time of IPO, </w:t>
      </w:r>
      <w:r>
        <w:rPr>
          <w:rFonts w:ascii="Arial" w:cs="Arial" w:eastAsia="Arial" w:hAnsi="Arial"/>
          <w:sz w:val="18"/>
          <w:szCs w:val="18"/>
          <w:color w:val="auto"/>
        </w:rPr>
        <w:t>at the time of the IPO, the LLC Agreement was amended and restated to recapitalize all</w:t>
      </w:r>
      <w:r>
        <w:rPr>
          <w:rFonts w:ascii="Arial" w:cs="Arial" w:eastAsia="Arial" w:hAnsi="Arial"/>
          <w:sz w:val="18"/>
          <w:szCs w:val="18"/>
          <w:i w:val="1"/>
          <w:iCs w:val="1"/>
          <w:color w:val="auto"/>
        </w:rPr>
        <w:t xml:space="preserve"> </w:t>
      </w:r>
      <w:r>
        <w:rPr>
          <w:rFonts w:ascii="Arial" w:cs="Arial" w:eastAsia="Arial" w:hAnsi="Arial"/>
          <w:sz w:val="18"/>
          <w:szCs w:val="18"/>
          <w:color w:val="auto"/>
        </w:rPr>
        <w:t>2,006,212 unvested Class M Units into 2,046,008 unvested LLC Units after applying a conversion ratio of 1.8588 with a further adjustment for a distribution threshold (which impacted their allocation of value) so the economic effect of the exchange was a like-for-like value. The unamortized compensation and remaining vesting period for these awards prior to the IPO has been carried forward after the IPO without adjustment. The number of unvested Class M Units presented in these financial statements for periods prior to the IPO have been retroactively adjusted to reflect the conversion ratio similar to the presentation of a stock-split.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Grants of Restricted Stock Units</w:t>
      </w:r>
    </w:p>
    <w:p>
      <w:pPr>
        <w:spacing w:after="0" w:line="22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At the time of the IPO on September 23, 2021, 188,268 RSUs were granted to certain employees. The awards have a time-based vesting requirement (based on continuous employment). Upon vesting,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RSUs convert into Class A common stock; unvested RSUs are not considered outstanding shares of Class A common stock. The agreements generally provide for 25% vesting at the first anniversary of the date of the grant (or a shorter period at the Company's board of director's discretion), with the remainder vesting quarterly over the following three years.</w:t>
      </w:r>
    </w:p>
    <w:p>
      <w:pPr>
        <w:spacing w:after="0" w:line="19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As of September 30, 2021, all of the RSUs are outstanding and remain unvested. The fair value of the RSUs of $12.00 per unit was based on the fair value of a Class A share of common stock at the time of the IPO. Total compensation expense for RSUs was approximately $36,000 for the period from September 23, 2021 to September 30, 2021, and is included in selling, general and administrative expenses in the condensed consolidated statements of operations.</w:t>
      </w:r>
    </w:p>
    <w:p>
      <w:pPr>
        <w:spacing w:after="0" w:line="218"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unamortized compensation cost related to RSUs of $2.2 million as of September 30, 2021 is expected to be recognized over a weighted-average period of approximately 3.4 years.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Grants of Stock Options</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day prior to the IPO on September 22, 2021, options to purchase 1,618,064 shares of Class A common stock with a strike price of $12.00 (per share underlying the option) were granted to certain executives, employees and members of the Board with the number of shares underlying the options determined based on the number of Class M Units reduced in the conversion of LLC Units. The awards have a time-based vesting requirement (based on continuous employment). Upon vesting, the stock options are exercisable into Class A common stock. Vesting is generally over four years from the date of grant of the related Class M Units and options may be exercised up to 10.0 years from the date of issuance.</w:t>
      </w:r>
    </w:p>
    <w:p>
      <w:pPr>
        <w:spacing w:after="0" w:line="236" w:lineRule="exact"/>
        <w:rPr>
          <w:sz w:val="20"/>
          <w:szCs w:val="20"/>
          <w:color w:val="auto"/>
        </w:rPr>
      </w:pPr>
    </w:p>
    <w:p>
      <w:pPr>
        <w:ind w:right="80"/>
        <w:spacing w:after="0" w:line="332" w:lineRule="auto"/>
        <w:rPr>
          <w:sz w:val="20"/>
          <w:szCs w:val="20"/>
          <w:color w:val="auto"/>
        </w:rPr>
      </w:pPr>
      <w:r>
        <w:rPr>
          <w:rFonts w:ascii="Arial" w:cs="Arial" w:eastAsia="Arial" w:hAnsi="Arial"/>
          <w:sz w:val="18"/>
          <w:szCs w:val="18"/>
          <w:color w:val="auto"/>
        </w:rPr>
        <w:t>As of September 30, 2021, all of the stock options are outstanding and 131,523 options with an aggregated intrinsic value of $0.2 million are vested; the awards have weighted average remaining contractual terms of 10.0 years with an aggregate intrinsic value of $2.3 million.</w:t>
      </w:r>
    </w:p>
    <w:p>
      <w:pPr>
        <w:spacing w:after="0" w:line="1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Since options represent equity awards, such awards are fair valued as of the grant date for the purposes of measurement and recognition under U.S. GAAP. To measure the fair value of an option, the Black Scholes valuation model was utilized. The value of the common stock underlying the award is based on the fair value of a share of Class A common stock. The valuation model requires the input of other highly subjective assumptions. Inputs to model for awards granted on September 22, 2021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5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24"/>
        </w:trPr>
        <w:tc>
          <w:tcPr>
            <w:tcW w:w="59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5300" w:type="dxa"/>
            <w:vAlign w:val="bottom"/>
          </w:tcPr>
          <w:p>
            <w:pPr>
              <w:jc w:val="right"/>
              <w:spacing w:after="0"/>
              <w:rPr>
                <w:sz w:val="20"/>
                <w:szCs w:val="20"/>
                <w:color w:val="auto"/>
              </w:rPr>
            </w:pPr>
            <w:r>
              <w:rPr>
                <w:rFonts w:ascii="Arial" w:cs="Arial" w:eastAsia="Arial" w:hAnsi="Arial"/>
                <w:sz w:val="16"/>
                <w:szCs w:val="16"/>
                <w:color w:val="auto"/>
              </w:rPr>
              <w:t>Nil</w:t>
            </w:r>
          </w:p>
        </w:tc>
      </w:tr>
      <w:tr>
        <w:trPr>
          <w:trHeight w:val="33"/>
        </w:trPr>
        <w:tc>
          <w:tcPr>
            <w:tcW w:w="594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3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5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to 6.25 Years</w:t>
            </w:r>
          </w:p>
        </w:tc>
      </w:tr>
      <w:tr>
        <w:trPr>
          <w:trHeight w:val="224"/>
        </w:trPr>
        <w:tc>
          <w:tcPr>
            <w:tcW w:w="5940" w:type="dxa"/>
            <w:vAlign w:val="bottom"/>
          </w:tcPr>
          <w:p>
            <w:pPr>
              <w:ind w:left="20"/>
              <w:spacing w:after="0"/>
              <w:rPr>
                <w:sz w:val="20"/>
                <w:szCs w:val="20"/>
                <w:color w:val="auto"/>
              </w:rPr>
            </w:pPr>
            <w:r>
              <w:rPr>
                <w:rFonts w:ascii="Arial" w:cs="Arial" w:eastAsia="Arial" w:hAnsi="Arial"/>
                <w:sz w:val="16"/>
                <w:szCs w:val="16"/>
                <w:color w:val="auto"/>
              </w:rPr>
              <w:t>Risk free interest rate</w:t>
            </w:r>
          </w:p>
        </w:tc>
        <w:tc>
          <w:tcPr>
            <w:tcW w:w="5300" w:type="dxa"/>
            <w:vAlign w:val="bottom"/>
          </w:tcPr>
          <w:p>
            <w:pPr>
              <w:jc w:val="right"/>
              <w:spacing w:after="0"/>
              <w:rPr>
                <w:sz w:val="20"/>
                <w:szCs w:val="20"/>
                <w:color w:val="auto"/>
              </w:rPr>
            </w:pPr>
            <w:r>
              <w:rPr>
                <w:rFonts w:ascii="Arial" w:cs="Arial" w:eastAsia="Arial" w:hAnsi="Arial"/>
                <w:sz w:val="16"/>
                <w:szCs w:val="16"/>
                <w:color w:val="auto"/>
              </w:rPr>
              <w:t>0.9 %</w:t>
            </w:r>
          </w:p>
        </w:tc>
      </w:tr>
    </w:tbl>
    <w:p>
      <w:pPr>
        <w:spacing w:after="0" w:line="354" w:lineRule="exact"/>
        <w:rPr>
          <w:sz w:val="20"/>
          <w:szCs w:val="20"/>
          <w:color w:val="auto"/>
        </w:rPr>
      </w:pPr>
    </w:p>
    <w:p>
      <w:pPr>
        <w:ind w:right="460"/>
        <w:spacing w:after="0" w:line="316" w:lineRule="auto"/>
        <w:rPr>
          <w:sz w:val="20"/>
          <w:szCs w:val="20"/>
          <w:color w:val="auto"/>
        </w:rPr>
      </w:pPr>
      <w:r>
        <w:rPr>
          <w:rFonts w:ascii="Arial" w:cs="Arial" w:eastAsia="Arial" w:hAnsi="Arial"/>
          <w:sz w:val="18"/>
          <w:szCs w:val="18"/>
          <w:color w:val="auto"/>
        </w:rPr>
        <w:t>Total compensation expense for stock options was approximately $0.6 million for the period from September 22, 2021 to September 30, 2021, and is included in selling, general and administrative expenses in the condensed consolidated statements of operations.</w:t>
      </w:r>
    </w:p>
    <w:p>
      <w:pPr>
        <w:spacing w:after="0" w:line="1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As of September 30, 2021, total compensation cost related to unvested option awards not yet recognized was $6.3 million and the weighted-average period over which the compensation is expected to be recognized is 3.4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Outstanding Restricted LLC Units (formerly M Units)</w:t>
      </w:r>
    </w:p>
    <w:p>
      <w:pPr>
        <w:spacing w:after="0" w:line="22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As discussed above, restricted LLC Units were granted to certain executives, employees and members of the Board prior to the IPO. The awards have a time-based vesting requirement (based on continuous employment). Upon grant, the awards are issued and outstanding common LLC Units but subject to forfeiture in the event of a termination of service; unvested awards are outstanding LLC units. Vesting is generally over four years from the date of grant.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unvested LLC Units for the nine months ended of each period:</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499"/>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6300" w:type="dxa"/>
            <w:vAlign w:val="bottom"/>
          </w:tcPr>
          <w:p>
            <w:pPr>
              <w:spacing w:after="0"/>
              <w:rPr>
                <w:sz w:val="18"/>
                <w:szCs w:val="18"/>
                <w:color w:val="auto"/>
              </w:rPr>
            </w:pPr>
          </w:p>
        </w:tc>
        <w:tc>
          <w:tcPr>
            <w:tcW w:w="2400" w:type="dxa"/>
            <w:vAlign w:val="bottom"/>
          </w:tcPr>
          <w:p>
            <w:pPr>
              <w:jc w:val="right"/>
              <w:ind w:right="339"/>
              <w:spacing w:after="0"/>
              <w:rPr>
                <w:sz w:val="20"/>
                <w:szCs w:val="20"/>
                <w:color w:val="auto"/>
              </w:rPr>
            </w:pPr>
            <w:r>
              <w:rPr>
                <w:rFonts w:ascii="Arial" w:cs="Arial" w:eastAsia="Arial" w:hAnsi="Arial"/>
                <w:sz w:val="16"/>
                <w:szCs w:val="16"/>
                <w:b w:val="1"/>
                <w:bCs w:val="1"/>
                <w:color w:val="auto"/>
              </w:rPr>
              <w:t>Number of LLC Units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grant date fair value</w:t>
            </w:r>
          </w:p>
        </w:tc>
      </w:tr>
      <w:tr>
        <w:trPr>
          <w:trHeight w:val="33"/>
        </w:trPr>
        <w:tc>
          <w:tcPr>
            <w:tcW w:w="63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2020, unvested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636,408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23"/>
        </w:trPr>
        <w:tc>
          <w:tcPr>
            <w:tcW w:w="6300" w:type="dxa"/>
            <w:vAlign w:val="bottom"/>
          </w:tcPr>
          <w:p>
            <w:pPr>
              <w:ind w:left="20"/>
              <w:spacing w:after="0"/>
              <w:rPr>
                <w:sz w:val="20"/>
                <w:szCs w:val="20"/>
                <w:color w:val="auto"/>
              </w:rPr>
            </w:pPr>
            <w:r>
              <w:rPr>
                <w:rFonts w:ascii="Arial" w:cs="Arial" w:eastAsia="Arial" w:hAnsi="Arial"/>
                <w:sz w:val="16"/>
                <w:szCs w:val="16"/>
                <w:color w:val="auto"/>
              </w:rPr>
              <w:t>Granted</w:t>
            </w:r>
          </w:p>
        </w:tc>
        <w:tc>
          <w:tcPr>
            <w:tcW w:w="2400" w:type="dxa"/>
            <w:vAlign w:val="bottom"/>
          </w:tcPr>
          <w:p>
            <w:pPr>
              <w:jc w:val="right"/>
              <w:spacing w:after="0"/>
              <w:rPr>
                <w:sz w:val="20"/>
                <w:szCs w:val="20"/>
                <w:color w:val="auto"/>
              </w:rPr>
            </w:pPr>
            <w:r>
              <w:rPr>
                <w:rFonts w:ascii="Arial" w:cs="Arial" w:eastAsia="Arial" w:hAnsi="Arial"/>
                <w:sz w:val="16"/>
                <w:szCs w:val="16"/>
                <w:color w:val="auto"/>
              </w:rPr>
              <w:t>1,009,932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0.30</w:t>
            </w:r>
          </w:p>
        </w:tc>
      </w:tr>
      <w:tr>
        <w:trPr>
          <w:trHeight w:val="33"/>
        </w:trPr>
        <w:tc>
          <w:tcPr>
            <w:tcW w:w="6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(63,919)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r>
      <w:tr>
        <w:trPr>
          <w:trHeight w:val="224"/>
        </w:trPr>
        <w:tc>
          <w:tcPr>
            <w:tcW w:w="6300" w:type="dxa"/>
            <w:vAlign w:val="bottom"/>
          </w:tcPr>
          <w:p>
            <w:pPr>
              <w:ind w:left="20"/>
              <w:spacing w:after="0"/>
              <w:rPr>
                <w:sz w:val="20"/>
                <w:szCs w:val="20"/>
                <w:color w:val="auto"/>
              </w:rPr>
            </w:pPr>
            <w:r>
              <w:rPr>
                <w:rFonts w:ascii="Arial" w:cs="Arial" w:eastAsia="Arial" w:hAnsi="Arial"/>
                <w:sz w:val="16"/>
                <w:szCs w:val="16"/>
                <w:color w:val="auto"/>
              </w:rPr>
              <w:t>Vested</w:t>
            </w:r>
          </w:p>
        </w:tc>
        <w:tc>
          <w:tcPr>
            <w:tcW w:w="2400" w:type="dxa"/>
            <w:vAlign w:val="bottom"/>
          </w:tcPr>
          <w:p>
            <w:pPr>
              <w:jc w:val="right"/>
              <w:spacing w:after="0"/>
              <w:rPr>
                <w:sz w:val="20"/>
                <w:szCs w:val="20"/>
                <w:color w:val="auto"/>
              </w:rPr>
            </w:pPr>
            <w:r>
              <w:rPr>
                <w:rFonts w:ascii="Arial" w:cs="Arial" w:eastAsia="Arial" w:hAnsi="Arial"/>
                <w:sz w:val="16"/>
                <w:szCs w:val="16"/>
                <w:color w:val="auto"/>
              </w:rPr>
              <w:t>(78,697)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0.27</w:t>
            </w:r>
          </w:p>
        </w:tc>
      </w:tr>
      <w:tr>
        <w:trPr>
          <w:trHeight w:val="33"/>
        </w:trPr>
        <w:tc>
          <w:tcPr>
            <w:tcW w:w="63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r>
      <w:tr>
        <w:trPr>
          <w:trHeight w:val="27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2020, unvested</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1,503,724</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jc w:val="right"/>
              <w:ind w:right="499"/>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6300" w:type="dxa"/>
            <w:vAlign w:val="bottom"/>
          </w:tcPr>
          <w:p>
            <w:pPr>
              <w:spacing w:after="0"/>
              <w:rPr>
                <w:sz w:val="18"/>
                <w:szCs w:val="18"/>
                <w:color w:val="auto"/>
              </w:rPr>
            </w:pPr>
          </w:p>
        </w:tc>
        <w:tc>
          <w:tcPr>
            <w:tcW w:w="2400" w:type="dxa"/>
            <w:vAlign w:val="bottom"/>
          </w:tcPr>
          <w:p>
            <w:pPr>
              <w:jc w:val="right"/>
              <w:ind w:right="339"/>
              <w:spacing w:after="0"/>
              <w:rPr>
                <w:sz w:val="20"/>
                <w:szCs w:val="20"/>
                <w:color w:val="auto"/>
              </w:rPr>
            </w:pPr>
            <w:r>
              <w:rPr>
                <w:rFonts w:ascii="Arial" w:cs="Arial" w:eastAsia="Arial" w:hAnsi="Arial"/>
                <w:sz w:val="16"/>
                <w:szCs w:val="16"/>
                <w:b w:val="1"/>
                <w:bCs w:val="1"/>
                <w:color w:val="auto"/>
              </w:rPr>
              <w:t>Number of LLC Units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399"/>
              <w:spacing w:after="0"/>
              <w:rPr>
                <w:sz w:val="20"/>
                <w:szCs w:val="20"/>
                <w:color w:val="auto"/>
              </w:rPr>
            </w:pPr>
            <w:r>
              <w:rPr>
                <w:rFonts w:ascii="Arial" w:cs="Arial" w:eastAsia="Arial" w:hAnsi="Arial"/>
                <w:sz w:val="16"/>
                <w:szCs w:val="16"/>
                <w:b w:val="1"/>
                <w:bCs w:val="1"/>
                <w:color w:val="auto"/>
              </w:rPr>
              <w:t>grant date fair value</w:t>
            </w:r>
          </w:p>
        </w:tc>
      </w:tr>
      <w:tr>
        <w:trPr>
          <w:trHeight w:val="33"/>
        </w:trPr>
        <w:tc>
          <w:tcPr>
            <w:tcW w:w="63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January 1, 2021, unvested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1,485,946</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23"/>
        </w:trPr>
        <w:tc>
          <w:tcPr>
            <w:tcW w:w="6300" w:type="dxa"/>
            <w:vAlign w:val="bottom"/>
          </w:tcPr>
          <w:p>
            <w:pPr>
              <w:ind w:left="20"/>
              <w:spacing w:after="0"/>
              <w:rPr>
                <w:sz w:val="20"/>
                <w:szCs w:val="20"/>
                <w:color w:val="auto"/>
              </w:rPr>
            </w:pPr>
            <w:r>
              <w:rPr>
                <w:rFonts w:ascii="Arial" w:cs="Arial" w:eastAsia="Arial" w:hAnsi="Arial"/>
                <w:sz w:val="16"/>
                <w:szCs w:val="16"/>
                <w:color w:val="auto"/>
              </w:rPr>
              <w:t>Granted</w:t>
            </w:r>
          </w:p>
        </w:tc>
        <w:tc>
          <w:tcPr>
            <w:tcW w:w="2400" w:type="dxa"/>
            <w:vAlign w:val="bottom"/>
          </w:tcPr>
          <w:p>
            <w:pPr>
              <w:jc w:val="right"/>
              <w:spacing w:after="0"/>
              <w:rPr>
                <w:sz w:val="20"/>
                <w:szCs w:val="20"/>
                <w:color w:val="auto"/>
              </w:rPr>
            </w:pPr>
            <w:r>
              <w:rPr>
                <w:rFonts w:ascii="Arial" w:cs="Arial" w:eastAsia="Arial" w:hAnsi="Arial"/>
                <w:sz w:val="16"/>
                <w:szCs w:val="16"/>
                <w:color w:val="auto"/>
              </w:rPr>
              <w:t>1,323,119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0.68</w:t>
            </w:r>
          </w:p>
        </w:tc>
      </w:tr>
      <w:tr>
        <w:trPr>
          <w:trHeight w:val="33"/>
        </w:trPr>
        <w:tc>
          <w:tcPr>
            <w:tcW w:w="6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(206,611)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r>
      <w:tr>
        <w:trPr>
          <w:trHeight w:val="223"/>
        </w:trPr>
        <w:tc>
          <w:tcPr>
            <w:tcW w:w="6300" w:type="dxa"/>
            <w:vAlign w:val="bottom"/>
          </w:tcPr>
          <w:p>
            <w:pPr>
              <w:ind w:left="20"/>
              <w:spacing w:after="0"/>
              <w:rPr>
                <w:sz w:val="20"/>
                <w:szCs w:val="20"/>
                <w:color w:val="auto"/>
              </w:rPr>
            </w:pPr>
            <w:r>
              <w:rPr>
                <w:rFonts w:ascii="Arial" w:cs="Arial" w:eastAsia="Arial" w:hAnsi="Arial"/>
                <w:sz w:val="16"/>
                <w:szCs w:val="16"/>
                <w:color w:val="auto"/>
              </w:rPr>
              <w:t>Vested</w:t>
            </w:r>
          </w:p>
        </w:tc>
        <w:tc>
          <w:tcPr>
            <w:tcW w:w="2400" w:type="dxa"/>
            <w:vAlign w:val="bottom"/>
          </w:tcPr>
          <w:p>
            <w:pPr>
              <w:jc w:val="right"/>
              <w:spacing w:after="0"/>
              <w:rPr>
                <w:sz w:val="20"/>
                <w:szCs w:val="20"/>
                <w:color w:val="auto"/>
              </w:rPr>
            </w:pPr>
            <w:r>
              <w:rPr>
                <w:rFonts w:ascii="Arial" w:cs="Arial" w:eastAsia="Arial" w:hAnsi="Arial"/>
                <w:sz w:val="16"/>
                <w:szCs w:val="16"/>
                <w:color w:val="auto"/>
              </w:rPr>
              <w:t>(590,811)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0.47</w:t>
            </w:r>
          </w:p>
        </w:tc>
      </w:tr>
      <w:tr>
        <w:trPr>
          <w:trHeight w:val="33"/>
        </w:trPr>
        <w:tc>
          <w:tcPr>
            <w:tcW w:w="63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r>
      <w:tr>
        <w:trPr>
          <w:trHeight w:val="27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2021, unvested</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2,011,643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The fair value of restricted LLC Units was based on the fair value of an unrestricted LLC Unit at the date of grant. Total compensation expense for unvested LLC Units recorded in selling, general and administrative expenses in the condensed consolidated statements of operations were approximately $0.1 million and $7,000, for the three months ended September 30, 2021 and 2020, respectively; and $0.3 million and $21,000, for the nine months ended September 30, 2021 and 2020, respectively.</w:t>
      </w:r>
    </w:p>
    <w:p>
      <w:pPr>
        <w:spacing w:after="0" w:line="175"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The unamortized LLC Unit compensation cost of $0.9 million as of September 30, 2021 is expected to be recognized over a weighted-average period of approximately 3.2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INCOME TAXES AND TAX RECEIVABLE AGREEMENT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 of Income Taxes</w:t>
      </w:r>
    </w:p>
    <w:p>
      <w:pPr>
        <w:spacing w:after="0" w:line="243"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condensed consolidated financial statements under U.S. GAAP.</w:t>
      </w:r>
    </w:p>
    <w:p>
      <w:pPr>
        <w:spacing w:after="0" w:line="19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Provision and Deferred Tax Asset for September 2021</w:t>
      </w:r>
    </w:p>
    <w:p>
      <w:pPr>
        <w:spacing w:after="0" w:line="243"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 xml:space="preserve">In calculating the provision for interim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 estimated annual effective tax rate is applied to year-to-date ordinary income. At the end of each interim period, Brilliant Earth Group, Inc. estimates the effective tax rate expected to be applicable for the full fiscal year. This differs from the method utilized at the end of an annual period. Estimated annual effective tax rate for the year ended December 31, 2021 is 25.7%. The difference between the estimated annual effective income tax rate and the U.S. federal statutory rate is primarily attributable to state income taxes and income allocable to NCI which is not taxable.</w:t>
      </w:r>
    </w:p>
    <w:p>
      <w:pPr>
        <w:spacing w:after="0" w:line="192" w:lineRule="exact"/>
        <w:rPr>
          <w:sz w:val="20"/>
          <w:szCs w:val="20"/>
          <w:color w:val="auto"/>
        </w:rPr>
      </w:pPr>
    </w:p>
    <w:p>
      <w:pPr>
        <w:ind w:right="440"/>
        <w:spacing w:after="0" w:line="291" w:lineRule="auto"/>
        <w:rPr>
          <w:sz w:val="20"/>
          <w:szCs w:val="20"/>
          <w:color w:val="auto"/>
        </w:rPr>
      </w:pPr>
      <w:r>
        <w:rPr>
          <w:rFonts w:ascii="Arial" w:cs="Arial" w:eastAsia="Arial" w:hAnsi="Arial"/>
          <w:sz w:val="18"/>
          <w:szCs w:val="18"/>
          <w:color w:val="auto"/>
        </w:rPr>
        <w:t>The Company’s income tax provision was $23,000 for the period from September 23, 2021 to September 30, 2021. As the IPO occurred during the quarter ended September 30, 2021, and the Company had no business transactions or activities prior to the IPO, no amounts related to the provision for income taxes were incurred for the period from January 1, 2021 to September 22, 2021.</w:t>
      </w:r>
    </w:p>
    <w:p>
      <w:pPr>
        <w:spacing w:after="0" w:line="17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 xml:space="preserve">On September 23, 2021, the Company recorded a deferred tax asset related to the outside basis difference between U.S. GAAP and reporting for income tax purposes of the Company’s investment in Brilliant Earth, LLC of $4.4 million. The basis difference resulted from the step-up in basis allowed under Section 743(b) and 197 of the Internal Revenue Code related to the purchase of 1,249,999 LLC Units from the Continuing Equity Owners discussed in Note 1, </w:t>
      </w:r>
      <w:r>
        <w:rPr>
          <w:rFonts w:ascii="Arial" w:cs="Arial" w:eastAsia="Arial" w:hAnsi="Arial"/>
          <w:sz w:val="20"/>
          <w:szCs w:val="20"/>
          <w:i w:val="1"/>
          <w:iCs w:val="1"/>
          <w:color w:val="auto"/>
        </w:rPr>
        <w:t>Business and organization,</w:t>
      </w:r>
      <w:r>
        <w:rPr>
          <w:rFonts w:ascii="Arial" w:cs="Arial" w:eastAsia="Arial" w:hAnsi="Arial"/>
          <w:sz w:val="20"/>
          <w:szCs w:val="20"/>
          <w:color w:val="auto"/>
        </w:rPr>
        <w:t xml:space="preserve"> which is expected to be amortized over the useful lives of the underlying assets. In assessing the realizability of deferred tax assets, management determined that it was more likely than not that the deferred tax assets will be realized. No deferred taxes were provided on the inside basis difference resulting from the direct purchase of 8,333,333 newly-issued membership units from Brilliant Earth, LLC since such difference is subject to the indefinite reversal criteria of ASC 740, </w:t>
      </w:r>
      <w:r>
        <w:rPr>
          <w:rFonts w:ascii="Arial" w:cs="Arial" w:eastAsia="Arial" w:hAnsi="Arial"/>
          <w:sz w:val="20"/>
          <w:szCs w:val="20"/>
          <w:i w:val="1"/>
          <w:i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receivable agreement</w:t>
      </w:r>
    </w:p>
    <w:p>
      <w:pPr>
        <w:spacing w:after="0" w:line="24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15.0 years pursuant to Sections 743(b) and 197 of the Code. The Company will only recognize a deferred tax asset for financial reporting purposes when it is “more-likely-than-not” that the tax benefit will be realized.</w:t>
      </w:r>
    </w:p>
    <w:p>
      <w:pPr>
        <w:spacing w:after="0" w:line="188"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In addition, as part of IPO, the Company entered into a TRA with the Continuing Equity Owners to pay 85% of the tax savings from the tax basis adjustment to them as such savings are realized. Amounts payable under the TRA are contingent upon, among other things, generation of sufficient future taxable income during the term of the TRA.</w:t>
      </w:r>
    </w:p>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purchase of 1,249,999 LLC Units from the Continuing Equity Owners triggered a tax basis increase subject to the provisions of the TRA. On September 23, 2021, the date of the purchase, the Company recognized (i) a deferred tax asset in the amount of $4.4 million, (ii) a corresponding estimated liability of $3.9 million representing 85% of the projected tax benefits to the TRA Owners, and (iii) $0.5 million of additional paid-in capital.</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Legal Proceedings</w:t>
      </w:r>
    </w:p>
    <w:p>
      <w:pPr>
        <w:spacing w:after="0" w:line="24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w:t>
      </w:r>
    </w:p>
    <w:p>
      <w:pPr>
        <w:spacing w:after="0" w:line="232"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color w:val="auto"/>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632.7. The plaintiff seeks statutory damages, injunctive relief, attorneys’ fees and costs, and other unspecified damages. The Company has obtained an extension of time to file a response and the time to file such response has not yet passed. The Company believes these claims have no merit, and intends to vigorously defend against this lawsuit. </w:t>
      </w:r>
      <w:r>
        <w:rPr>
          <w:rFonts w:ascii="Arial" w:cs="Arial" w:eastAsia="Arial" w:hAnsi="Arial"/>
          <w:sz w:val="20"/>
          <w:szCs w:val="20"/>
          <w:color w:val="231F20"/>
        </w:rPr>
        <w:t>Accordingly, an accrual for any potential liability has not been recorded.</w:t>
      </w:r>
      <w:r>
        <w:rPr>
          <w:rFonts w:ascii="Arial" w:cs="Arial" w:eastAsia="Arial" w:hAnsi="Arial"/>
          <w:sz w:val="20"/>
          <w:szCs w:val="20"/>
          <w:color w:val="auto"/>
        </w:rPr>
        <w:t xml:space="preserve"> </w:t>
      </w:r>
      <w:r>
        <w:rPr>
          <w:rFonts w:ascii="Arial" w:cs="Arial" w:eastAsia="Arial" w:hAnsi="Arial"/>
          <w:sz w:val="20"/>
          <w:szCs w:val="20"/>
          <w:color w:val="231F20"/>
        </w:rPr>
        <w:t>T</w:t>
      </w:r>
      <w:r>
        <w:rPr>
          <w:rFonts w:ascii="Arial" w:cs="Arial" w:eastAsia="Arial" w:hAnsi="Arial"/>
          <w:sz w:val="20"/>
          <w:szCs w:val="20"/>
          <w:color w:val="000000"/>
        </w:rPr>
        <w:t>here can be no assurance regarding its ultimate outcome.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Non-Income Related Taxes</w:t>
      </w:r>
    </w:p>
    <w:p>
      <w:pPr>
        <w:spacing w:after="0" w:line="24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The Company collects and remits sales and use taxes in a variety of jurisdictions across the US. The amounts payable to relevant sales and use tax authorities are accrued in the period incurred and presented on the balance sheet as a component of accrued expenses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 Obligations</w:t>
      </w:r>
    </w:p>
    <w:p>
      <w:pPr>
        <w:spacing w:after="0" w:line="24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From time to time in the normal course of business, the Company will enter into agreements with suppliers or service providers. As of September 30, 2021, unconditional future minimum payments under agreements to purchase services primarily related to software maintenance and marketing and advertising spending in a total aggregated amount of $2.5 million, payable as follows: $1.0 million, $1.3 million, $0.1 million, and $0.1 million during the three months ending December 31, 2021 and the years ending December 31, 2022, 2023, and 2024,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Commitments</w:t>
      </w:r>
    </w:p>
    <w:p>
      <w:pPr>
        <w:spacing w:after="0" w:line="243" w:lineRule="exact"/>
        <w:rPr>
          <w:sz w:val="20"/>
          <w:szCs w:val="20"/>
          <w:color w:val="auto"/>
        </w:rPr>
      </w:pPr>
    </w:p>
    <w:p>
      <w:pPr>
        <w:ind w:right="1060"/>
        <w:spacing w:after="0" w:line="316" w:lineRule="auto"/>
        <w:rPr>
          <w:sz w:val="20"/>
          <w:szCs w:val="20"/>
          <w:color w:val="auto"/>
        </w:rPr>
      </w:pPr>
      <w:r>
        <w:rPr>
          <w:rFonts w:ascii="Arial" w:cs="Arial" w:eastAsia="Arial" w:hAnsi="Arial"/>
          <w:sz w:val="18"/>
          <w:szCs w:val="18"/>
          <w:color w:val="auto"/>
        </w:rPr>
        <w:t>The Company may enter into commitments to expand various locations, which generally include design, store construction and improvements. As of September 30, 2021, these commitments totaled $0.6 million related to the opening of new locations.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Letter of Credit</w:t>
      </w:r>
    </w:p>
    <w:p>
      <w:pPr>
        <w:spacing w:after="0" w:line="24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As of September 30, 2021, the Company has an unused letter of credit in the amount of $0.2 million, which was issued in lieu of a security deposit at one of its showroom locations. The certificate of deposit used to secure this letter of credit is recorded as restricted cash on the Company’s condensed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401K Plan</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Company maintains a qualified defined contribution plan under Section 401(k) of the Internal Revenue Code, which provides for voluntary contributions from the Company and its employees. Contributions from the Company were $0.1 million and $0.1 million, for the three months ended September 30, 2021 and 2020, respectively; and $0.4 million and $0.3 million, for the nine months ended September 30, 2021 and 2020,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SUBSEQUENT EVENTS</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On November 2, 2021, the Board of Directors authorized the grant of approximately 1.3 million RSUs with a fair value of $13.32 per unit with a four year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6" w:right="43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345"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information presented in unaudited condensed consolidated financial statements and related notes included elsewhere in this Quarterly Report on Form 10-Q, as well as our audited consolidated financial statements and related notes as disclosed in our final prospectus, dated September 22, 2021, filed with the Securities and Exchange Commission ("SEC"), in accordance with Rule 424(b) of the Securities Act of 1933, as amended, on September 24, 2021 (the "Prospectus") in connection with our initial public offering, ("IPO"). The following discussion and analysis reflects the historical results of operations and financial position of Brilliant Earth, LLC prior to the Reorganization Transactions (as defined below) on September 22, 2021 and that of Brilliant Earth Group, Inc. and its consolidated subsidiary, Brilliant Earth, LLC, following the completion of the Reorganization Transactions. In addition to historical information, the following discussion contains forward-looking statements, such as statements regarding our expectation for future performance,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We assume no obligation to update any of these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Quarterly Report on Form 10-Q, unless the context otherwise requires, references to:</w:t>
      </w:r>
    </w:p>
    <w:p>
      <w:pPr>
        <w:sectPr>
          <w:pgSz w:w="11900" w:h="16838" w:orient="portrait"/>
          <w:cols w:equalWidth="0" w:num="1">
            <w:col w:w="11240"/>
          </w:cols>
          <w:pgMar w:left="320" w:top="136" w:right="339" w:bottom="1440" w:gutter="0" w:footer="0" w:header="0"/>
        </w:sectPr>
      </w:pPr>
    </w:p>
    <w:p>
      <w:pPr>
        <w:spacing w:after="0" w:line="36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0" w:right="20" w:hanging="6"/>
        <w:spacing w:after="0" w:line="286" w:lineRule="auto"/>
        <w:rPr>
          <w:sz w:val="20"/>
          <w:szCs w:val="20"/>
          <w:color w:val="auto"/>
        </w:rPr>
      </w:pPr>
      <w:r>
        <w:rPr>
          <w:rFonts w:ascii="Arial" w:cs="Arial" w:eastAsia="Arial" w:hAnsi="Arial"/>
          <w:sz w:val="18"/>
          <w:szCs w:val="18"/>
          <w:color w:val="auto"/>
        </w:rPr>
        <w:t>“we,” “us,” “our,” the “Company,” “Brilliant Earth,” and similar references refer: (1) following the consummation of the Transactions, including the IPO, to Brilliant Earth Group, Inc., and, unless otherwise stated, all of its direct and indirect subsidiaries, including Brilliant Earth, LLC, and (2) prior to the completion of the Transactions, including the IPO, to Brilliant Earth, LLC.</w:t>
      </w:r>
    </w:p>
    <w:p>
      <w:pPr>
        <w:spacing w:after="0" w:line="3" w:lineRule="exact"/>
        <w:rPr>
          <w:sz w:val="20"/>
          <w:szCs w:val="20"/>
          <w:color w:val="auto"/>
        </w:rPr>
      </w:pPr>
    </w:p>
    <w:p>
      <w:pPr>
        <w:ind w:left="20" w:right="240" w:hanging="6"/>
        <w:spacing w:after="0" w:line="260" w:lineRule="auto"/>
        <w:rPr>
          <w:sz w:val="20"/>
          <w:szCs w:val="20"/>
          <w:color w:val="auto"/>
        </w:rPr>
      </w:pPr>
      <w:r>
        <w:rPr>
          <w:rFonts w:ascii="Arial" w:cs="Arial" w:eastAsia="Arial" w:hAnsi="Arial"/>
          <w:sz w:val="20"/>
          <w:szCs w:val="20"/>
          <w:color w:val="auto"/>
        </w:rPr>
        <w:t>“Brilliant Earth LLC Agreement” refers to Brilliant Earth, LLC’s amended and restated limited liability company agreement, which became effective prior to the consummation of the IPO.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“CAGR” refers to compound annual growth rate.</w:t>
      </w:r>
    </w:p>
    <w:p>
      <w:pPr>
        <w:spacing w:after="0" w:line="54" w:lineRule="exact"/>
        <w:rPr>
          <w:sz w:val="20"/>
          <w:szCs w:val="20"/>
          <w:color w:val="auto"/>
        </w:rPr>
      </w:pPr>
    </w:p>
    <w:p>
      <w:pPr>
        <w:ind w:left="20" w:right="20" w:hanging="6"/>
        <w:spacing w:after="0" w:line="259" w:lineRule="auto"/>
        <w:rPr>
          <w:sz w:val="20"/>
          <w:szCs w:val="20"/>
          <w:color w:val="auto"/>
        </w:rPr>
      </w:pPr>
      <w:r>
        <w:rPr>
          <w:rFonts w:ascii="Arial" w:cs="Arial" w:eastAsia="Arial" w:hAnsi="Arial"/>
          <w:sz w:val="19"/>
          <w:szCs w:val="19"/>
          <w:color w:val="auto"/>
        </w:rPr>
        <w:t>“Continuing Equity Owners” refers collectively to holders of LLC Interests and our Class B common stock and Class C common stock immediately following consummation of the Transactions, including our Founders and Mainsail,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16" w:lineRule="exact"/>
        <w:rPr>
          <w:sz w:val="20"/>
          <w:szCs w:val="20"/>
          <w:color w:val="auto"/>
        </w:rPr>
      </w:pPr>
    </w:p>
    <w:p>
      <w:pPr>
        <w:ind w:left="20" w:right="440" w:hanging="6"/>
        <w:spacing w:after="0" w:line="260" w:lineRule="auto"/>
        <w:rPr>
          <w:sz w:val="20"/>
          <w:szCs w:val="20"/>
          <w:color w:val="auto"/>
        </w:rPr>
      </w:pPr>
      <w:r>
        <w:rPr>
          <w:rFonts w:ascii="Arial" w:cs="Arial" w:eastAsia="Arial" w:hAnsi="Arial"/>
          <w:sz w:val="20"/>
          <w:szCs w:val="20"/>
          <w:color w:val="auto"/>
        </w:rPr>
        <w:t>“Founders” refers to Beth Gerstein, our Co-Founder and Chief Executive Officer, Eric Grossberg, our Co-Founder and Executive Chairman, and Just Rocks (as defined below).</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“Just Rocks” refers to Just Rocks, Inc., a Delaware corporation, which is jointly owned and controlled by our Founders.</w:t>
      </w:r>
    </w:p>
    <w:p>
      <w:pPr>
        <w:spacing w:after="0" w:line="54" w:lineRule="exact"/>
        <w:rPr>
          <w:sz w:val="20"/>
          <w:szCs w:val="20"/>
          <w:color w:val="auto"/>
        </w:rPr>
      </w:pPr>
    </w:p>
    <w:p>
      <w:pPr>
        <w:ind w:left="20" w:right="400" w:hanging="6"/>
        <w:spacing w:after="0" w:line="260" w:lineRule="auto"/>
        <w:rPr>
          <w:sz w:val="20"/>
          <w:szCs w:val="20"/>
          <w:color w:val="auto"/>
        </w:rPr>
      </w:pPr>
      <w:r>
        <w:rPr>
          <w:rFonts w:ascii="Arial" w:cs="Arial" w:eastAsia="Arial" w:hAnsi="Arial"/>
          <w:sz w:val="20"/>
          <w:szCs w:val="20"/>
          <w:color w:val="auto"/>
        </w:rPr>
        <w:t>“LLC Interests” or "LLC Units" refers to the common units of Brilliant Earth, LLC, including those that we purchase with the net proceeds from the IPO.</w:t>
      </w:r>
    </w:p>
    <w:p>
      <w:pPr>
        <w:spacing w:after="0" w:line="200" w:lineRule="exact"/>
        <w:rPr>
          <w:sz w:val="20"/>
          <w:szCs w:val="20"/>
          <w:color w:val="auto"/>
        </w:rPr>
      </w:pPr>
    </w:p>
    <w:p>
      <w:pPr>
        <w:sectPr>
          <w:pgSz w:w="11900" w:h="16838" w:orient="portrait"/>
          <w:cols w:equalWidth="0" w:num="2">
            <w:col w:w="300" w:space="260"/>
            <w:col w:w="10680"/>
          </w:cols>
          <w:pgMar w:left="320" w:top="1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hanging="6"/>
        <w:spacing w:after="0" w:line="260" w:lineRule="auto"/>
        <w:rPr>
          <w:sz w:val="20"/>
          <w:szCs w:val="20"/>
          <w:color w:val="auto"/>
        </w:rPr>
      </w:pPr>
      <w:r>
        <w:rPr>
          <w:rFonts w:ascii="Arial" w:cs="Arial" w:eastAsia="Arial" w:hAnsi="Arial"/>
          <w:sz w:val="20"/>
          <w:szCs w:val="20"/>
          <w:color w:val="auto"/>
        </w:rPr>
        <w:t>“Original Equity Owners” refers to the owners of LLC Interests in Brilliant Earth, LLC prior to the consummation of the Transactions, collectively, which include Mainsail, Just Rocks, and certain executive officers and employees.</w:t>
      </w:r>
    </w:p>
    <w:p>
      <w:pPr>
        <w:spacing w:after="0" w:line="15" w:lineRule="exact"/>
        <w:rPr>
          <w:sz w:val="20"/>
          <w:szCs w:val="20"/>
          <w:color w:val="auto"/>
        </w:rPr>
      </w:pPr>
    </w:p>
    <w:p>
      <w:pPr>
        <w:ind w:left="20" w:right="520" w:hanging="6"/>
        <w:spacing w:after="0" w:line="281" w:lineRule="auto"/>
        <w:rPr>
          <w:sz w:val="20"/>
          <w:szCs w:val="20"/>
          <w:color w:val="auto"/>
        </w:rPr>
      </w:pPr>
      <w:r>
        <w:rPr>
          <w:rFonts w:ascii="Arial" w:cs="Arial" w:eastAsia="Arial" w:hAnsi="Arial"/>
          <w:sz w:val="19"/>
          <w:szCs w:val="19"/>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“Transactions” refers to the organizational transactions and the IPO, and the application of the net proceeds therefrom.</w:t>
      </w:r>
    </w:p>
    <w:p>
      <w:pPr>
        <w:spacing w:after="0" w:line="54" w:lineRule="exact"/>
        <w:rPr>
          <w:sz w:val="20"/>
          <w:szCs w:val="20"/>
          <w:color w:val="auto"/>
        </w:rPr>
      </w:pPr>
    </w:p>
    <w:p>
      <w:pPr>
        <w:ind w:left="20" w:right="100" w:hanging="6"/>
        <w:spacing w:after="0" w:line="246" w:lineRule="auto"/>
        <w:rPr>
          <w:sz w:val="20"/>
          <w:szCs w:val="20"/>
          <w:color w:val="auto"/>
        </w:rPr>
      </w:pPr>
      <w:r>
        <w:rPr>
          <w:rFonts w:ascii="Arial" w:cs="Arial" w:eastAsia="Arial" w:hAnsi="Arial"/>
          <w:sz w:val="20"/>
          <w:szCs w:val="20"/>
          <w:color w:val="auto"/>
        </w:rPr>
        <w:t>“TRA” refers to the Tax Receivable Agreement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ectPr>
          <w:pgSz w:w="11900" w:h="16838" w:orient="portrait"/>
          <w:cols w:equalWidth="0" w:num="2">
            <w:col w:w="300" w:space="260"/>
            <w:col w:w="10680"/>
          </w:cols>
          <w:pgMar w:left="320" w:top="136"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244"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color w:val="auto"/>
        </w:rPr>
        <w:t>Brilliant Earth is an innovative, digital-first jewelry company, and a global leader in ethically sourced fine jewelry. We offer exclusive designs with superior craftsmanship and supply chain transparency, delivered to customers through a highly personalized omnichannel experience.</w:t>
      </w:r>
    </w:p>
    <w:p>
      <w:pPr>
        <w:spacing w:after="0" w:line="21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Our mission is to create a more transparent, sustainable, and compassionate jewelry industry, and we are proud to offer customers distinctive and thoughtfully designed products that they can truly feel good about wearing. Our core values resonate strongly across many demographics and particularly with values-driven Millennial and Gen Z consumers.</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13"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 As of September 30, 2021, Brilliant Earth has sold to consumers in all U.S. states and over 50 countries, and has served over 370,000 customers through our e-commerce platform and 14 showrooms.</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Throughout our history, we have invested in technology to create a seamless customer experience, inform our data-driven decision- making, improve efficiencies, and advance our mission. Our technology enables dynamic product visualization, augmented reality try-on, blockchain-enabled transparency, and rapid fulfillment of our flagship Create Your Own product.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37" w:name="page38"/>
    <w:bookmarkEnd w:id="3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have achieved strong financial performance and rapid growth since our founding with minimal outside funding, and believe we are in the early stages of realizing our potential in a massive market opportunity: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our performance for the three months ended September 30, 2021:</w:t>
      </w:r>
    </w:p>
    <w:p>
      <w:pPr>
        <w:sectPr>
          <w:pgSz w:w="11900" w:h="16838" w:orient="portrait"/>
          <w:cols w:equalWidth="0" w:num="1">
            <w:col w:w="11180"/>
          </w:cols>
          <w:pgMar w:left="320" w:top="136" w:right="399" w:bottom="1440" w:gutter="0" w:footer="0" w:header="0"/>
        </w:sect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Net sales of $95.2 million, up 33.3% from $71.4 million for the three months ended September 30, 2020;</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Net income of $4.0 million, down 50.7% from $8.0 million for the three months ended September 30, 2020;</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Net income margin of 4.2%, compared to 11.3% for the three months ended September 30, 2020;</w:t>
      </w:r>
    </w:p>
    <w:p>
      <w:pPr>
        <w:ind w:right="1200"/>
        <w:spacing w:after="0" w:line="269" w:lineRule="auto"/>
        <w:rPr>
          <w:sz w:val="20"/>
          <w:szCs w:val="20"/>
          <w:color w:val="auto"/>
        </w:rPr>
      </w:pPr>
      <w:r>
        <w:rPr>
          <w:rFonts w:ascii="Arial" w:cs="Arial" w:eastAsia="Arial" w:hAnsi="Arial"/>
          <w:sz w:val="19"/>
          <w:szCs w:val="19"/>
          <w:color w:val="auto"/>
        </w:rPr>
        <w:t>Adjusted EBITDA of $13.6 million, up 42.3% from $9.5 million for the three months ended September 30, 2020; and Adjusted EBITDA margin of 14.2%, compared to 13.3% for the three months ended September 30, 2020.</w:t>
      </w:r>
    </w:p>
    <w:p>
      <w:pPr>
        <w:spacing w:after="0" w:line="196" w:lineRule="exact"/>
        <w:rPr>
          <w:sz w:val="20"/>
          <w:szCs w:val="20"/>
          <w:color w:val="auto"/>
        </w:rPr>
      </w:pPr>
    </w:p>
    <w:p>
      <w:pPr>
        <w:sectPr>
          <w:pgSz w:w="11900" w:h="16838" w:orient="portrait"/>
          <w:cols w:equalWidth="0" w:num="2">
            <w:col w:w="380" w:space="260"/>
            <w:col w:w="10540"/>
          </w:cols>
          <w:pgMar w:left="320" w:top="136" w:right="399" w:bottom="1440" w:gutter="0" w:footer="0" w:header="0"/>
          <w:type w:val="continuous"/>
        </w:sectPr>
      </w:pPr>
    </w:p>
    <w:p>
      <w:pPr>
        <w:spacing w:after="0"/>
        <w:rPr>
          <w:sz w:val="20"/>
          <w:szCs w:val="20"/>
          <w:color w:val="auto"/>
        </w:rPr>
      </w:pPr>
      <w:r>
        <w:rPr>
          <w:rFonts w:ascii="Arial" w:cs="Arial" w:eastAsia="Arial" w:hAnsi="Arial"/>
          <w:sz w:val="16"/>
          <w:szCs w:val="16"/>
          <w:color w:val="auto"/>
        </w:rPr>
        <w:t>Below is a summary of our performance for the nine months ended September 30, 2021:</w:t>
      </w:r>
    </w:p>
    <w:p>
      <w:pPr>
        <w:sectPr>
          <w:pgSz w:w="11900" w:h="16838" w:orient="portrait"/>
          <w:cols w:equalWidth="0" w:num="1">
            <w:col w:w="11180"/>
          </w:cols>
          <w:pgMar w:left="320" w:top="136" w:right="399" w:bottom="1440" w:gutter="0" w:footer="0" w:header="0"/>
          <w:type w:val="continuous"/>
        </w:sect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Net sales to $258.3 million, up 58.3% from $163.2 million for the nine months ended September 30, 2020;</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Net income of $14.8 million, up 80.6% from $8.2 million for the nine months ended September 30, 2020;</w:t>
      </w:r>
    </w:p>
    <w:p>
      <w:pPr>
        <w:spacing w:after="0"/>
        <w:rPr>
          <w:sz w:val="20"/>
          <w:szCs w:val="20"/>
          <w:color w:val="auto"/>
        </w:rPr>
      </w:pPr>
      <w:r>
        <w:rPr>
          <w:rFonts w:ascii="Arial" w:cs="Arial" w:eastAsia="Arial" w:hAnsi="Arial"/>
          <w:sz w:val="20"/>
          <w:szCs w:val="20"/>
          <w:color w:val="auto"/>
        </w:rPr>
        <w:t>Net income margin of 5.7%, compared to 5.0% for the nine months ended September 30, 2020;</w:t>
      </w:r>
    </w:p>
    <w:p>
      <w:pPr>
        <w:ind w:right="1060"/>
        <w:spacing w:after="0" w:line="269" w:lineRule="auto"/>
        <w:rPr>
          <w:sz w:val="20"/>
          <w:szCs w:val="20"/>
          <w:color w:val="auto"/>
        </w:rPr>
      </w:pPr>
      <w:r>
        <w:rPr>
          <w:rFonts w:ascii="Arial" w:cs="Arial" w:eastAsia="Arial" w:hAnsi="Arial"/>
          <w:sz w:val="19"/>
          <w:szCs w:val="19"/>
          <w:color w:val="auto"/>
        </w:rPr>
        <w:t>Adjusted EBITDA of $34.6 million, up 175.8% from $12.5 million for the nine months ended September 30, 2020; and Adjusted EBITDA margin of 13.4%, compared to 7.7% for the nine months ended September 30, 2020.</w:t>
      </w:r>
    </w:p>
    <w:p>
      <w:pPr>
        <w:spacing w:after="0" w:line="196" w:lineRule="exact"/>
        <w:rPr>
          <w:sz w:val="20"/>
          <w:szCs w:val="20"/>
          <w:color w:val="auto"/>
        </w:rPr>
      </w:pPr>
    </w:p>
    <w:p>
      <w:pPr>
        <w:sectPr>
          <w:pgSz w:w="11900" w:h="16838" w:orient="portrait"/>
          <w:cols w:equalWidth="0" w:num="2">
            <w:col w:w="380" w:space="260"/>
            <w:col w:w="10540"/>
          </w:cols>
          <w:pgMar w:left="320" w:top="136" w:right="399" w:bottom="1440" w:gutter="0" w:footer="0" w:header="0"/>
          <w:type w:val="continuous"/>
        </w:sectPr>
      </w:pPr>
    </w:p>
    <w:p>
      <w:pPr>
        <w:spacing w:after="0"/>
        <w:rPr>
          <w:sz w:val="20"/>
          <w:szCs w:val="20"/>
          <w:color w:val="auto"/>
        </w:rPr>
      </w:pPr>
      <w:r>
        <w:rPr>
          <w:rFonts w:ascii="Arial" w:cs="Arial" w:eastAsia="Arial" w:hAnsi="Arial"/>
          <w:sz w:val="20"/>
          <w:szCs w:val="20"/>
          <w:color w:val="auto"/>
        </w:rPr>
        <w:t>We operate in one operating and reporting segment, the retail sale of diamonds, gemstones, and jewelry.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Initial Public Offering and Purchase of LLC Interests</w:t>
      </w:r>
    </w:p>
    <w:p>
      <w:pPr>
        <w:spacing w:after="0" w:line="243"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On September 27, 2021, we completed our IPO of 9,583,332 shares of our Class A common stock at an offering price of $12.00 per share, (excluding the underwriting discount), including 1,249,999 shares of Class A common stock issued pursuant to the underwriters' over-allotment option. We received $101.9 million in proceeds after a deduction for underwriting discounts and offering costs totaling $13.1 million.</w:t>
      </w:r>
    </w:p>
    <w:p>
      <w:pPr>
        <w:spacing w:after="0" w:line="218"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The net proceeds were used to purchase 8,333,333 newly-issued LLC Units from Brilliant Earth, LLC and 1,249,999 LLC Units in the form of a redemption from the Continuing Equity Owners at a price per unit equal to the IPO price of $11.22 per share after deducting the underwriting discount, which represents a 10.1% economic interest in Brilliant Earth, LLC, our consolidated subsidiary, as of September 30,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 of Class F, P and M Units at Time of IPO</w:t>
      </w:r>
    </w:p>
    <w:p>
      <w:pPr>
        <w:spacing w:after="0" w:line="24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At the time of the IPO, the existing limited liability company agreement of Brilliant Earth, LLC was amended and restated, to, among other things, recapitalize all existing Class F, P and M Units in Brilliant Earth, LLC into 86,297,284 common LLC Units after applying a conversion ratio of 1.8588 with a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type w:val="continuous"/>
        </w:sectPr>
      </w:pPr>
    </w:p>
    <w:bookmarkStart w:id="38" w:name="page39"/>
    <w:bookmarkEnd w:id="3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color w:val="auto"/>
        </w:rPr>
        <w:t>adjustment for a distribution threshold related to the M Units (which impacted their allocation of value so the economic effect of the exchange was a like-for-like value); the net conversion ratio was 1.8942, 1.9080 and 1.7735 for the F Units, P Units and M Units, respectively. The number of Class F, P and M Units presented in these condensed consolidated financial statements for periods prior to the IPO have been retroactively adjusted to reflect the conversion ratio similar to the presentation of a stock-split.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Restructuring, Offering and Other Transactions Completed in Connection with the IPO</w:t>
      </w:r>
    </w:p>
    <w:p>
      <w:pPr>
        <w:spacing w:after="0" w:line="243"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color w:val="auto"/>
        </w:rPr>
        <w:t>In connection with the IPO, Brilliant Earth Group, Inc. and Brilliant Earth, LLC completed a series of transactions that comprise of reorganization, offering and other financing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summarizes the reorganization transactions which occurred as of the date of IPO (the "Reorganization Transactions"):</w:t>
      </w:r>
    </w:p>
    <w:p>
      <w:pPr>
        <w:spacing w:after="0" w:line="254" w:lineRule="exact"/>
        <w:rPr>
          <w:sz w:val="20"/>
          <w:szCs w:val="20"/>
          <w:color w:val="auto"/>
        </w:rPr>
      </w:pPr>
    </w:p>
    <w:p>
      <w:pPr>
        <w:ind w:left="660" w:right="60" w:hanging="328"/>
        <w:spacing w:after="0" w:line="282"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Amended and restated the existing limited liability company agreement of Brilliant Earth, LLC, effective prior to the IPO, to, among other things, (1) recapitalize all existing ownership interests in Brilliant Earth, LLC into 86,297,284 LLC Units after applying a conversion ratio of 1.8588, (2) appoint Brilliant Earth Group, Inc. as the sole managing member of Brilliant Earth, LLC, upon its acquisition of LLC Units in connection with the IPO, and (3) provide certain redemption rights to the Continuing Equity Owners.</w:t>
      </w:r>
    </w:p>
    <w:p>
      <w:pPr>
        <w:spacing w:after="0" w:line="188" w:lineRule="exact"/>
        <w:rPr>
          <w:rFonts w:ascii="Arial" w:cs="Arial" w:eastAsia="Arial" w:hAnsi="Arial"/>
          <w:sz w:val="18"/>
          <w:szCs w:val="18"/>
          <w:color w:val="auto"/>
        </w:rPr>
      </w:pPr>
    </w:p>
    <w:p>
      <w:pPr>
        <w:ind w:left="660" w:right="360" w:hanging="328"/>
        <w:spacing w:after="0" w:line="31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Amended and restated Brilliant Earth Group, Inc.’s certificate of incorporation to, among other things, provide for four classes of common stock defined as Class A common stock, Class B common stock, Class C common stock and Class D common stock.</w:t>
      </w:r>
    </w:p>
    <w:p>
      <w:pPr>
        <w:spacing w:after="0" w:line="156" w:lineRule="exact"/>
        <w:rPr>
          <w:rFonts w:ascii="Arial" w:cs="Arial" w:eastAsia="Arial" w:hAnsi="Arial"/>
          <w:sz w:val="18"/>
          <w:szCs w:val="18"/>
          <w:color w:val="auto"/>
        </w:rPr>
      </w:pPr>
    </w:p>
    <w:p>
      <w:pPr>
        <w:ind w:left="660" w:right="240" w:hanging="328"/>
        <w:spacing w:after="0" w:line="275"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Issued 36,064,421 shares of Class B common stock (prior to the redemption of 522,386 shares pursuant to the exercise of underwriters’ overallotment options discussed below) to the Continuing Equity Owners, excluding the Founders, which is equal to the number of LLC Units held by such Continuing Equity Owners excluding the Founders, for nominal consideration.</w:t>
      </w:r>
    </w:p>
    <w:p>
      <w:pPr>
        <w:spacing w:after="0" w:line="179" w:lineRule="exact"/>
        <w:rPr>
          <w:rFonts w:ascii="Arial" w:cs="Arial" w:eastAsia="Arial" w:hAnsi="Arial"/>
          <w:sz w:val="18"/>
          <w:szCs w:val="18"/>
          <w:color w:val="auto"/>
        </w:rPr>
      </w:pPr>
    </w:p>
    <w:p>
      <w:pPr>
        <w:ind w:left="660" w:right="52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Issued 50,232,863 shares of Class C common stock (prior to the redemption of 727,613 shares pursuant to the exercise of underwriters’ overallotment options discussed below) to the Founders which is equal to the number of LLC Units held by such Founders, for nominal consideration.</w:t>
      </w:r>
    </w:p>
    <w:p>
      <w:pPr>
        <w:spacing w:after="0" w:line="209" w:lineRule="exact"/>
        <w:rPr>
          <w:rFonts w:ascii="Arial" w:cs="Arial" w:eastAsia="Arial" w:hAnsi="Arial"/>
          <w:sz w:val="20"/>
          <w:szCs w:val="20"/>
          <w:color w:val="auto"/>
        </w:rPr>
      </w:pPr>
    </w:p>
    <w:p>
      <w:pPr>
        <w:ind w:left="660" w:right="60" w:hanging="328"/>
        <w:spacing w:after="0" w:line="342"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Entered into a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14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organization agreements include a provision for the Continuing Equity Owners, subject to certain exceptions from time to time at each of their option, to require Brilliant Earth, LLC to redeem all or a portion of their LLC Units in exchange for, at the Company’s election, newly-issued shares of Class A common stock or Class D common stock, as applicable, on a one-for-one basis, or a cash payment equal to a volume weighted average market price of one share of Class A common stock for each LLC Interest so redeemed, in each case, in accordance with the terms of the Brilliant Earth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IPO and other Transactions:</w:t>
      </w:r>
    </w:p>
    <w:p>
      <w:pPr>
        <w:spacing w:after="0" w:line="243" w:lineRule="exact"/>
        <w:rPr>
          <w:sz w:val="20"/>
          <w:szCs w:val="20"/>
          <w:color w:val="auto"/>
        </w:rPr>
      </w:pPr>
    </w:p>
    <w:p>
      <w:pPr>
        <w:ind w:left="660" w:right="44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Issued 9,583,332 shares of Class A common stock, including 1,249,999 share of Class A common stock from the exercise of the underwriters' overallotment option, in exchange for net proceeds of approximately $101.9 million at $12.00 per share, less underwriting discount and offering expenses.</w:t>
      </w:r>
    </w:p>
    <w:p>
      <w:pPr>
        <w:spacing w:after="0" w:line="212"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Used net proceeds from the offering to purchase 8,333,333 newly issued LLC Units for approximately $93.5 million directly from Brilliant Earth, LLC at a price per unit equal to the initial public offering price per share of Class A common stock less underwriting discount.</w:t>
      </w:r>
    </w:p>
    <w:p>
      <w:pPr>
        <w:spacing w:after="0" w:line="212" w:lineRule="exact"/>
        <w:rPr>
          <w:rFonts w:ascii="Arial" w:cs="Arial" w:eastAsia="Arial" w:hAnsi="Arial"/>
          <w:sz w:val="20"/>
          <w:szCs w:val="20"/>
          <w:color w:val="auto"/>
        </w:rPr>
      </w:pPr>
    </w:p>
    <w:p>
      <w:pPr>
        <w:ind w:left="660" w:hanging="328"/>
        <w:spacing w:after="0" w:line="244"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Used net proceeds from the exercise of the underwriters’ overallotment option to purchase an additional 1,249,999 LLC Units from each of the Continuing Equity Owners in the form of a redemption on a pro rata basis for $14.0 million in aggregate at a price per unit equal to the initial public offering price per share of Class A common stock less the underwriting discount; this purchase of LLC Interests resulted in an obligation under the TRA, including the related set-up of deferred tax assets on the TRA and on the temporary basis difference associated with this purchase.</w:t>
      </w:r>
    </w:p>
    <w:p>
      <w:pPr>
        <w:spacing w:after="0" w:line="221"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Corresponding cancellation of a total of 1,249,999 shares of Class B common stock and Class C common stock resulting from the purchase of 1,249,999 LLC Units from the Continuing Equity Owners.</w:t>
      </w:r>
    </w:p>
    <w:p>
      <w:pPr>
        <w:spacing w:after="0" w:line="203" w:lineRule="exact"/>
        <w:rPr>
          <w:rFonts w:ascii="Arial" w:cs="Arial" w:eastAsia="Arial" w:hAnsi="Arial"/>
          <w:sz w:val="20"/>
          <w:szCs w:val="20"/>
          <w:color w:val="auto"/>
        </w:rPr>
      </w:pPr>
    </w:p>
    <w:p>
      <w:pPr>
        <w:ind w:left="660" w:right="420" w:hanging="328"/>
        <w:spacing w:after="0" w:line="25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Exercise of warrants on Class P Units with a carrying value of $6.4 million as of September 22, 2021 (after the mark-to-market adjustment as of the date of exercise) into 534,589 newly issued LLC Units on a net settlement basis, elected at the option of the holder.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Ability to Increase Brand Awareness</w:t>
      </w:r>
    </w:p>
    <w:p>
      <w:pPr>
        <w:spacing w:after="0" w:line="24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significant investments to strengthen the Brilliant Earth brand through our dynamic marketing strategy, which includes brand marketing campaigns across email, digital, social media, earned media, and media placements and with key influencers. Based on a recent survey, our aided brand awareness was 54% with significant room to increase in the U.S. and internationally through marketing and earned media, showroom expansion, and word-of-mouth referrals. In order to compete effectively and increase our share of the jewelry market, we must maintain our strong customer experience, produce compelling products, and continue our mission of creating a more transparent, sustainable, and compassionate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U.S.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Cost-Effective Acquisition of New Customers and Retention of Existing Customers.</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Ability to Continue Expansion of our Omnichannel Strategy</w:t>
      </w:r>
    </w:p>
    <w:p>
      <w:pPr>
        <w:spacing w:after="0" w:line="24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Our ability to expand our omnichannel presence to new markets and locations is key to our success. Historically, we have been successful in every new geographic market we have entered, and we are in the early stages of expanding our premium showroom footprint nationwide. We intend to continue leveraging our marketing strategy and growing brand awareness to drive increased qualified consumer traffic to and sales from our website and premium showrooms.</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believe expanding our number of showrooms will drive accelerated growth by increasing our average order value ("AOV") compared to e-commerce orders, improving conversion in the showrooms’ metro regions by 50% or more compared to pre-opening conversion, and raising our brand awareness. As of September 30, 2021, we have 14 showroom locations. We intend to strategically open showrooms in the future, and we believe we can achieve near-national showroom coverage with under 100 locations. We rely on this highly efficient showroom model to complement our digital strategy and to continue to drive growth and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Ability to Successfully Introduce New Products</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International Expansion</w:t>
      </w: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We are in the early stages of expanding globally, and a larger geographic footprint will help drive future growth. Our early proof-points from localizing our website for Canada, Australia, and the United Kingdom, and our sales to customers from over 50 countries, provide encouraging signs for future global expansion. We see strong potential in launching e-commerce in new overseas markets, particularly in Asia, and new showrooms in countries where we have already established a localized digital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We plan to drive brand awareness through localized marketing channels and expect our data-driven technology platform to continue providing insights for product recommendations and inventory management.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and Marketing Efficiency</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We have a unique, asset-light operating model with attractive working capital dynamics, capital-efficient showrooms, and a vast virtual inventory of premium natural and lab-grown diamonds that allows us to offer over 100,000 diamonds with significant value, while keeping our balance sheet inventory low. This has driven attractive inventory turns and allows us to operate with negative working capital, which we define as our current assets less cash minus our current liabilities. Our showroom strategy avoids the inefficiencies of traditional, retail-first jewelers. Our showrooms are appointment-driven with large catchment regions, so we are less reliant on expensive high foot traffic retail locations. We also curate showroom inventory for scheduled visits and require minimal inventory in each location. Our tech-enabled jewelry specialist team supports online customers when not in appointment, maximizing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Costs of Operating as a Public Company</w:t>
      </w: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anticipate that the costs of operating as a public company will be significant as we are now subject to the reporting, listing, and compliance requirements of various governing bodies and applicable securities laws and regulations that we were previously not subjected to as a privately-held company. These costs have been rapidly increasing over time, and we expect these rules and regulations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will be critical to our future success.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Macroeconomic Trends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Changes in macro-level consumer spending trends, including as a result of the COVID-19 pandemic, could result in fluctuations in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2" w:name="page43"/>
    <w:bookmarkEnd w:id="4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Effects of COVID-19 on Our Business</w:t>
      </w:r>
    </w:p>
    <w:p>
      <w:pPr>
        <w:spacing w:after="0" w:line="24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As a result of the COVID-19 pandemic and the recommendations of government and health authorities, our showrooms closed to the public beginning in March 2020, but we continued to fulfill orders. We began reopening our showrooms to the public in May 2020 and, by June 2020, had re-opened all our showrooms to the public. While we expect to be able to continue operations for the duration of the pandemic, our operations were and are still subject to local or regional public health orders, including temporary government-mandated closures, which may impact our showrooms or other operations. The COVID-19 pandemic also has disrupted our global supply chain, and may cause additional disruptions to operations, including increased costs of production and distribution and longer fulfillment times. For example, we faced production capacity issues in crafting sufficient quantities of certain products in 2020 due to government shutdowns, as well as disruption in jewelry manufacturing and sourcing of diamonds and gemstones, which could continue into 2022 due to the pandemic.</w:t>
      </w:r>
    </w:p>
    <w:p>
      <w:pPr>
        <w:spacing w:after="0" w:line="195"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duration and magnitude of its future impact on the jewelry industry, and on our operations and supply chain, remains unknown and depends on factors outside of our control, including the duration and intensity of the pandemic (including that of any COVID-19 variants), the availability and efficacy of treatments and vaccines, and the impact of the pandemic on financial markets, industry supply chains and consumer behavior. Thus, the potential impact of these factors on our future liquidity, financial condition, and results of operations cannot be estimated.</w:t>
      </w:r>
    </w:p>
    <w:p>
      <w:pPr>
        <w:spacing w:after="0" w:line="221"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On March 27, 2020, the Coronavirus Aid, Relief, and Economic Security Act (the “CARES Act”) was signed into law in response to the COVID-19 pandemic. The CARES Act includes many measures to provide relief to companies. We obtained a U.S. Small Business Administration Paycheck Protection Program Loan (“PPP Loan”) under the CARES Act, which was fully repaid in December 2020. See “— Liquidity and Capital Resources.”</w:t>
      </w:r>
    </w:p>
    <w:p>
      <w:pPr>
        <w:spacing w:after="0" w:line="218"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We do not yet know the full extent of the impacts of the COVID-19 pandemic on our business, our operations, or the global economy as a whole. However, the effects could have a material impact on our results of operations. See “Risk Factors—Risks Related to Our Business and Industry—The COVID-19 pandemic has had, and may in the future continue to have, a material adverse impact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Metrics</w:t>
      </w:r>
    </w:p>
    <w:p>
      <w:pPr>
        <w:spacing w:after="0" w:line="249"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key performance indicators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0"/>
              </w:rPr>
              <w:t>Three months ended</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88"/>
              </w:rPr>
              <w:t>Nine months ended</w:t>
            </w:r>
          </w:p>
        </w:tc>
        <w:tc>
          <w:tcPr>
            <w:tcW w:w="1300" w:type="dxa"/>
            <w:vAlign w:val="bottom"/>
          </w:tcPr>
          <w:p>
            <w:pPr>
              <w:spacing w:after="0"/>
              <w:rPr>
                <w:sz w:val="17"/>
                <w:szCs w:val="17"/>
                <w:color w:val="auto"/>
              </w:rPr>
            </w:pPr>
          </w:p>
        </w:tc>
      </w:tr>
      <w:tr>
        <w:trPr>
          <w:trHeight w:val="210"/>
        </w:trPr>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1"/>
              </w:rPr>
              <w:t>September 30,</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1"/>
              </w:rPr>
              <w:t>September 30,</w:t>
            </w:r>
          </w:p>
        </w:tc>
        <w:tc>
          <w:tcPr>
            <w:tcW w:w="1300" w:type="dxa"/>
            <w:vAlign w:val="bottom"/>
          </w:tcPr>
          <w:p>
            <w:pPr>
              <w:spacing w:after="0"/>
              <w:rPr>
                <w:sz w:val="18"/>
                <w:szCs w:val="18"/>
                <w:color w:val="auto"/>
              </w:rPr>
            </w:pPr>
          </w:p>
        </w:tc>
      </w:tr>
      <w:tr>
        <w:trPr>
          <w:trHeight w:val="256"/>
        </w:trPr>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62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 Change</w:t>
            </w: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Orders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28,855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78,733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26,729</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51.4 %</w:t>
            </w:r>
          </w:p>
        </w:tc>
      </w:tr>
      <w:tr>
        <w:trPr>
          <w:trHeight w:val="223"/>
        </w:trPr>
        <w:tc>
          <w:tcPr>
            <w:tcW w:w="1700" w:type="dxa"/>
            <w:vAlign w:val="bottom"/>
          </w:tcPr>
          <w:p>
            <w:pPr>
              <w:ind w:left="20"/>
              <w:spacing w:after="0"/>
              <w:rPr>
                <w:sz w:val="20"/>
                <w:szCs w:val="20"/>
                <w:color w:val="auto"/>
              </w:rPr>
            </w:pPr>
            <w:r>
              <w:rPr>
                <w:rFonts w:ascii="Arial" w:cs="Arial" w:eastAsia="Arial" w:hAnsi="Arial"/>
                <w:sz w:val="16"/>
                <w:szCs w:val="16"/>
                <w:b w:val="1"/>
                <w:bCs w:val="1"/>
                <w:color w:val="auto"/>
              </w:rPr>
              <w:t>AOV</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3,301</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2.8 %  $</w:t>
            </w:r>
          </w:p>
        </w:tc>
        <w:tc>
          <w:tcPr>
            <w:tcW w:w="820" w:type="dxa"/>
            <w:vAlign w:val="bottom"/>
          </w:tcPr>
          <w:p>
            <w:pPr>
              <w:jc w:val="right"/>
              <w:spacing w:after="0"/>
              <w:rPr>
                <w:sz w:val="20"/>
                <w:szCs w:val="20"/>
                <w:color w:val="auto"/>
              </w:rPr>
            </w:pPr>
            <w:r>
              <w:rPr>
                <w:rFonts w:ascii="Arial" w:cs="Arial" w:eastAsia="Arial" w:hAnsi="Arial"/>
                <w:sz w:val="16"/>
                <w:szCs w:val="16"/>
                <w:color w:val="auto"/>
              </w:rPr>
              <w:t>3,280</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4.5 %</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Total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Order Value</w:t>
      </w:r>
    </w:p>
    <w:p>
      <w:pPr>
        <w:spacing w:after="0" w:line="243"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categories and price points, and open additional showrooms.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Our sales are recorded net of estimated sales returns and allowances and sales taxes collected from customers. Our net sales primarily consist of revenue from diamond, jewelry, and gemstone retail sales through our website and dedicated jewelry specialists via chat, phone, email, virtual appointment, or in our showrooms. Our net sales are derived primarily in the U.S., but we also sell products to customers outside the U.S. Our website platform allows us to sell to a worldwide customer base, even in markets where we do not have a physical presence. Payment for all our sales occurs prior to fulfillment. Customers pick up the items in our showrooms, or we deliver purchases to customers, with delivery typically within one to two business days after shipment. We recognize revenue upon pick-up or delivery if an order is shipped. We also offer third-party financing options.</w:t>
      </w:r>
    </w:p>
    <w:p>
      <w:pPr>
        <w:spacing w:after="0" w:line="220"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We allow for certain returns within 30 days of when an order is available for shipment or pickup. We also provide one complimentary resizing for standard ring styles within 60 days of when an order is available for shipment or pickup, a lifetime manufacturing warranty (except on estate and vintage jewelry and center diamonds/gemstones), and a lifetime diamond upgrade program on all independently-graded natural diamonds. For an additional charge, we offer a three-year extended warranty service plan, which provides full inspection, cleaning, and certain repairs due to normal wear.</w:t>
      </w:r>
    </w:p>
    <w:p>
      <w:pPr>
        <w:spacing w:after="0" w:line="221"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Revenue is deferred on transactions where payment has been received from the customer, but control has not yet transferred. Revenue related to customer purchases of our three-year extended service plan is deferred and recognized ratably over the service plan term.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w:t>
      </w:r>
    </w:p>
    <w:p>
      <w:pPr>
        <w:spacing w:after="0" w:line="243"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Cost of sales consists primarily of merchandise costs for the purchase of diamonds and gemstones from our global base of diamond and gemstone suppliers, and the cost of jewelry production from our third-party jewelry manufacturing suppliers. Cost of sales includes merchandise costs, inbound freight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and costs of shipping orders to customers. Our cost of sales includes reserves for disposal of obsolete, slow-moving or defective items, and shrinkage, which we estimate and record on a periodic basis.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Selling, General and Administrative ("SG&amp;A") expenses consist primarily of marketing, advertising, and promotional expenses; payroll and related benefit costs for our employees, including equity-based compensation expense; merchant processing fees; certain facility-related costs; customer service; technology; and depreciation and amortization expenses, as well as professional fees, other general corporate expenses, and charitable donations. We expect that our 2021 SG&amp;A expenses will increase as we scale our business and incur incremental costs for personnel and professional services fees related to preparation for becoming, and operating as, a public company. This includes, but is not limited to, regulatory and compliance costs applicable to listed public companies, and higher expenditures for insurance, technology and professional services. We have also incurred expenses in connection with establishing and funding the Brilliant Earth Foundation, a donor advised fund, to support our charitable giving efforts.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Data</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results of operations data in the following tables for the periods presented have been derived from the unaudited condensed consolidated financial statements included elsewhere in this Quarterly Report on Form 10-Q.</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Three Months Ended September 30, 2021 and 2020</w:t>
      </w:r>
    </w:p>
    <w:p>
      <w:pPr>
        <w:spacing w:after="0" w:line="243" w:lineRule="exact"/>
        <w:rPr>
          <w:sz w:val="20"/>
          <w:szCs w:val="20"/>
          <w:color w:val="auto"/>
        </w:rPr>
      </w:pPr>
    </w:p>
    <w:p>
      <w:pPr>
        <w:ind w:right="40"/>
        <w:spacing w:after="0" w:line="316" w:lineRule="auto"/>
        <w:rPr>
          <w:sz w:val="20"/>
          <w:szCs w:val="20"/>
          <w:color w:val="auto"/>
        </w:rPr>
      </w:pPr>
      <w:r>
        <w:rPr>
          <w:rFonts w:ascii="Arial" w:cs="Arial" w:eastAsia="Arial" w:hAnsi="Arial"/>
          <w:sz w:val="18"/>
          <w:szCs w:val="18"/>
          <w:color w:val="auto"/>
        </w:rPr>
        <w:t>The following table sets forth our statements of operations for the three months ended September 30, 2021 and 2020, including amounts and percentages of net sales for each period and the period-to-period change in dollars and percent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6" w:right="41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89"/>
              </w:rPr>
              <w:t>Three months ended September 30,</w:t>
            </w: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Period change</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Amount</w:t>
            </w:r>
          </w:p>
        </w:tc>
        <w:tc>
          <w:tcPr>
            <w:tcW w:w="102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32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Percent</w:t>
            </w: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consolidated statements of</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operations data:</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100.0 %</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71,445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100.0 %  $</w:t>
            </w:r>
          </w:p>
        </w:tc>
        <w:tc>
          <w:tcPr>
            <w:tcW w:w="960" w:type="dxa"/>
            <w:vAlign w:val="bottom"/>
          </w:tcPr>
          <w:p>
            <w:pPr>
              <w:jc w:val="right"/>
              <w:spacing w:after="0"/>
              <w:rPr>
                <w:sz w:val="20"/>
                <w:szCs w:val="20"/>
                <w:color w:val="auto"/>
              </w:rPr>
            </w:pPr>
            <w:r>
              <w:rPr>
                <w:rFonts w:ascii="Arial" w:cs="Arial" w:eastAsia="Arial" w:hAnsi="Arial"/>
                <w:sz w:val="16"/>
                <w:szCs w:val="16"/>
                <w:color w:val="auto"/>
              </w:rPr>
              <w:t>23,794</w:t>
            </w:r>
          </w:p>
        </w:tc>
        <w:tc>
          <w:tcPr>
            <w:tcW w:w="1400" w:type="dxa"/>
            <w:vAlign w:val="bottom"/>
          </w:tcPr>
          <w:p>
            <w:pPr>
              <w:jc w:val="right"/>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r>
        <w:trPr>
          <w:trHeight w:val="217"/>
        </w:trPr>
        <w:tc>
          <w:tcPr>
            <w:tcW w:w="3400" w:type="dxa"/>
            <w:vAlign w:val="bottom"/>
          </w:tcPr>
          <w:p>
            <w:pPr>
              <w:ind w:left="46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30,846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17,169</w:t>
            </w:r>
          </w:p>
        </w:tc>
        <w:tc>
          <w:tcPr>
            <w:tcW w:w="1400" w:type="dxa"/>
            <w:vAlign w:val="bottom"/>
          </w:tcPr>
          <w:p>
            <w:pPr>
              <w:jc w:val="right"/>
              <w:spacing w:after="0"/>
              <w:rPr>
                <w:sz w:val="20"/>
                <w:szCs w:val="20"/>
                <w:color w:val="auto"/>
              </w:rPr>
            </w:pPr>
            <w:r>
              <w:rPr>
                <w:rFonts w:ascii="Arial" w:cs="Arial" w:eastAsia="Arial" w:hAnsi="Arial"/>
                <w:sz w:val="16"/>
                <w:szCs w:val="16"/>
                <w:color w:val="auto"/>
              </w:rPr>
              <w:t>55.7 %</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16,615</w:t>
            </w:r>
          </w:p>
        </w:tc>
        <w:tc>
          <w:tcPr>
            <w:tcW w:w="1400" w:type="dxa"/>
            <w:vAlign w:val="bottom"/>
          </w:tcPr>
          <w:p>
            <w:pPr>
              <w:jc w:val="right"/>
              <w:spacing w:after="0"/>
              <w:rPr>
                <w:sz w:val="20"/>
                <w:szCs w:val="20"/>
                <w:color w:val="auto"/>
              </w:rPr>
            </w:pPr>
            <w:r>
              <w:rPr>
                <w:rFonts w:ascii="Arial" w:cs="Arial" w:eastAsia="Arial" w:hAnsi="Arial"/>
                <w:sz w:val="16"/>
                <w:szCs w:val="16"/>
                <w:color w:val="auto"/>
              </w:rPr>
              <w:t>77.2 %</w:t>
            </w:r>
          </w:p>
        </w:tc>
        <w:tc>
          <w:tcPr>
            <w:tcW w:w="0" w:type="dxa"/>
            <w:vAlign w:val="bottom"/>
          </w:tcPr>
          <w:p>
            <w:pPr>
              <w:spacing w:after="0"/>
              <w:rPr>
                <w:sz w:val="1"/>
                <w:szCs w:val="1"/>
                <w:color w:val="auto"/>
              </w:rPr>
            </w:pPr>
          </w:p>
        </w:tc>
      </w:tr>
      <w:tr>
        <w:trPr>
          <w:trHeight w:val="33"/>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23"/>
        </w:trPr>
        <w:tc>
          <w:tcPr>
            <w:tcW w:w="34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(698)</w:t>
            </w:r>
          </w:p>
        </w:tc>
        <w:tc>
          <w:tcPr>
            <w:tcW w:w="1400" w:type="dxa"/>
            <w:vAlign w:val="bottom"/>
          </w:tcPr>
          <w:p>
            <w:pPr>
              <w:jc w:val="right"/>
              <w:spacing w:after="0"/>
              <w:rPr>
                <w:sz w:val="20"/>
                <w:szCs w:val="20"/>
                <w:color w:val="auto"/>
              </w:rPr>
            </w:pPr>
            <w:r>
              <w:rPr>
                <w:rFonts w:ascii="Arial" w:cs="Arial" w:eastAsia="Arial" w:hAnsi="Arial"/>
                <w:sz w:val="16"/>
                <w:szCs w:val="16"/>
                <w:color w:val="auto"/>
              </w:rPr>
              <w:t>57.5 %</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400" w:type="dxa"/>
            <w:vAlign w:val="bottom"/>
          </w:tcPr>
          <w:p>
            <w:pPr>
              <w:ind w:left="460"/>
              <w:spacing w:after="0"/>
              <w:rPr>
                <w:sz w:val="20"/>
                <w:szCs w:val="20"/>
                <w:color w:val="auto"/>
              </w:rPr>
            </w:pPr>
            <w:r>
              <w:rPr>
                <w:rFonts w:ascii="Arial" w:cs="Arial" w:eastAsia="Arial" w:hAnsi="Arial"/>
                <w:sz w:val="16"/>
                <w:szCs w:val="16"/>
                <w:b w:val="1"/>
                <w:bCs w:val="1"/>
                <w:color w:val="auto"/>
              </w:rPr>
              <w:t>Net income before tax</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140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7"/>
        </w:trPr>
        <w:tc>
          <w:tcPr>
            <w:tcW w:w="3400" w:type="dxa"/>
            <w:vAlign w:val="bottom"/>
          </w:tcPr>
          <w:p>
            <w:pPr>
              <w:ind w:left="46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8,041</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(4,079)</w:t>
            </w:r>
          </w:p>
        </w:tc>
        <w:tc>
          <w:tcPr>
            <w:tcW w:w="140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allocable to 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0" w:type="dxa"/>
            <w:vAlign w:val="bottom"/>
          </w:tcPr>
          <w:p>
            <w:pPr>
              <w:ind w:left="460"/>
              <w:spacing w:after="0"/>
              <w:rPr>
                <w:sz w:val="20"/>
                <w:szCs w:val="20"/>
                <w:color w:val="auto"/>
              </w:rPr>
            </w:pPr>
            <w:r>
              <w:rPr>
                <w:rFonts w:ascii="Arial" w:cs="Arial" w:eastAsia="Arial" w:hAnsi="Arial"/>
                <w:sz w:val="16"/>
                <w:szCs w:val="16"/>
                <w:b w:val="1"/>
                <w:bCs w:val="1"/>
                <w:color w:val="auto"/>
              </w:rPr>
              <w:t>Net income allocable to Brilliant Earth</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460"/>
              <w:spacing w:after="0"/>
              <w:rPr>
                <w:sz w:val="20"/>
                <w:szCs w:val="20"/>
                <w:color w:val="auto"/>
              </w:rPr>
            </w:pPr>
            <w:r>
              <w:rPr>
                <w:rFonts w:ascii="Arial" w:cs="Arial" w:eastAsia="Arial" w:hAnsi="Arial"/>
                <w:sz w:val="16"/>
                <w:szCs w:val="16"/>
                <w:b w:val="1"/>
                <w:bCs w:val="1"/>
                <w:color w:val="auto"/>
              </w:rPr>
              <w:t>Group, Inc.</w:t>
            </w: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886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Amounts may not sum due to rounding</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 Not meaningful</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243" w:lineRule="exact"/>
        <w:rPr>
          <w:sz w:val="20"/>
          <w:szCs w:val="20"/>
          <w:color w:val="auto"/>
        </w:rPr>
      </w:pPr>
    </w:p>
    <w:p>
      <w:pPr>
        <w:ind w:right="340"/>
        <w:spacing w:after="0" w:line="245" w:lineRule="auto"/>
        <w:rPr>
          <w:sz w:val="20"/>
          <w:szCs w:val="20"/>
          <w:color w:val="auto"/>
        </w:rPr>
      </w:pPr>
      <w:r>
        <w:rPr>
          <w:rFonts w:ascii="Arial" w:cs="Arial" w:eastAsia="Arial" w:hAnsi="Arial"/>
          <w:sz w:val="20"/>
          <w:szCs w:val="20"/>
          <w:color w:val="auto"/>
        </w:rPr>
        <w:t>Net sales for the three months ended September 30, 2021 increased by $23.8 million, or 33.3%, compared to the three months ended September 30, 2020. We experienced increases in net sales across our products, and in both domestic and international markets, primarily driven by a 29.6% increase in order volumes due to:</w:t>
      </w: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20"/>
          <w:szCs w:val="20"/>
          <w:color w:val="auto"/>
        </w:rPr>
        <w:t>continued efficiency of our customer acquisition and conversion activities;</w:t>
      </w: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20"/>
          <w:szCs w:val="20"/>
          <w:color w:val="auto"/>
        </w:rPr>
        <w:t>an increase in orders driven by our showrooms and website; and</w:t>
      </w:r>
    </w:p>
    <w:p>
      <w:pPr>
        <w:spacing w:after="0" w:line="4" w:lineRule="exact"/>
        <w:rPr>
          <w:rFonts w:ascii="Arial" w:cs="Arial" w:eastAsia="Arial" w:hAnsi="Arial"/>
          <w:sz w:val="13"/>
          <w:szCs w:val="13"/>
          <w:color w:val="auto"/>
        </w:rPr>
      </w:pPr>
    </w:p>
    <w:p>
      <w:pPr>
        <w:ind w:left="660" w:right="580" w:hanging="328"/>
        <w:spacing w:after="0" w:line="260" w:lineRule="auto"/>
        <w:tabs>
          <w:tab w:leader="none" w:pos="653" w:val="left"/>
        </w:tabs>
        <w:numPr>
          <w:ilvl w:val="0"/>
          <w:numId w:val="12"/>
        </w:numPr>
        <w:rPr>
          <w:rFonts w:ascii="Arial" w:cs="Arial" w:eastAsia="Arial" w:hAnsi="Arial"/>
          <w:sz w:val="13"/>
          <w:szCs w:val="13"/>
          <w:color w:val="auto"/>
        </w:rPr>
      </w:pPr>
      <w:r>
        <w:rPr>
          <w:rFonts w:ascii="Arial" w:cs="Arial" w:eastAsia="Arial" w:hAnsi="Arial"/>
          <w:sz w:val="20"/>
          <w:szCs w:val="20"/>
          <w:color w:val="auto"/>
        </w:rPr>
        <w:t>additional orders from our new virtual sales appointment offering (second quarter of 2020), as well as the opening of new showrooms in Atlanta (fourth quarter of 2020), Seattle (second quarter of 2021), Portland, Austin, Dallas and New York (third quarter of 2021).</w:t>
      </w:r>
    </w:p>
    <w:p>
      <w:pPr>
        <w:spacing w:after="0" w:line="20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Net sales also increased due to an increase in AOV on a period-over-period basis. AOV for the three months ended September 30, 2021 was 2.8% higher compared to the three months ended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w:t>
      </w:r>
    </w:p>
    <w:p>
      <w:pPr>
        <w:spacing w:after="0" w:line="243" w:lineRule="exact"/>
        <w:rPr>
          <w:sz w:val="20"/>
          <w:szCs w:val="20"/>
          <w:color w:val="auto"/>
        </w:rPr>
      </w:pPr>
    </w:p>
    <w:p>
      <w:pPr>
        <w:ind w:right="420"/>
        <w:spacing w:after="0" w:line="260" w:lineRule="auto"/>
        <w:rPr>
          <w:sz w:val="20"/>
          <w:szCs w:val="20"/>
          <w:color w:val="auto"/>
        </w:rPr>
      </w:pPr>
      <w:r>
        <w:rPr>
          <w:rFonts w:ascii="Arial" w:cs="Arial" w:eastAsia="Arial" w:hAnsi="Arial"/>
          <w:sz w:val="19"/>
          <w:szCs w:val="19"/>
          <w:color w:val="auto"/>
        </w:rPr>
        <w:t>Gross profit for the three months ended September 30, 2021 increased by $17.2 million, or 55.7%, compared to the three months ended September 30, 2020. Gross margin, expressed as a percentage and calculated as gross profit divided by net sales, increased by 720 basis points for the three months ended September 30, 2021 compared to the three months ended September 30, 2020, primarily driven by our premium brand positioning, enhancements to our pricing engine, procurement efficiencies and higher costs in the prior period due to temporary COVID-related changes to supplier mix and shipping methods</w:t>
      </w:r>
    </w:p>
    <w:p>
      <w:pPr>
        <w:sectPr>
          <w:pgSz w:w="11900" w:h="16838" w:orient="portrait"/>
          <w:cols w:equalWidth="0" w:num="1">
            <w:col w:w="11240"/>
          </w:cols>
          <w:pgMar w:left="320" w:top="1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46" w:name="page47"/>
    <w:bookmarkEnd w:id="4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and average gold spot prices decreasing by 6% during the period. The margin improvements were partially offset by average platinum spot prices increasing by 11% during the period.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43"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SG&amp;A expenses for the three months ended September 30, 2021 increased by $16.6 million, or 77.2%. G&amp;A expenses as a percentage of net sales increased by 9.9% for the three months ended September 30, 2021 compared to the three months ended September 30, 2020. The increase in SG&amp;A expenses as a percentage of sales was driven by an increase in other general and administrative expenses, marketing expenses and employment expenses, which increased by 3.9%, 3.6% and 2.6%, respectively, as a percentage of sales from the three months ended September 30, 2020 to the three months ended September 30, 2021. The increase in other general and administrative expenses as a percentage of sales was principally driven by new showroom pre-opening costs, a contribution to fund the Brilliant Earth Foundation and new corporate expenses in preparation for and support of our operations as a public company. The increase in marketing expenses as a percentage of sales was driven by increased investments in marketing and advertising to increase brand awareness and support strategic growth initiatives. The increase in employment expenses as a percentage of sales was principally driven by the addition of corporate and showroom staff.</w:t>
      </w:r>
    </w:p>
    <w:p>
      <w:pPr>
        <w:spacing w:after="0" w:line="209"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color w:val="auto"/>
        </w:rPr>
        <w:t>The Company granted new RSUs and stock options in conjunction with the IPO and granted additional RSUs subsequent to quarter-end. Future financial results will reflect equity-based compensation that is likely to be higher than what is reflected in the current quarter's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43" w:lineRule="exact"/>
        <w:rPr>
          <w:sz w:val="20"/>
          <w:szCs w:val="20"/>
          <w:color w:val="auto"/>
        </w:rPr>
      </w:pPr>
    </w:p>
    <w:p>
      <w:pPr>
        <w:ind w:right="400"/>
        <w:spacing w:after="0" w:line="287" w:lineRule="auto"/>
        <w:rPr>
          <w:sz w:val="20"/>
          <w:szCs w:val="20"/>
          <w:color w:val="auto"/>
        </w:rPr>
      </w:pPr>
      <w:r>
        <w:rPr>
          <w:rFonts w:ascii="Arial" w:cs="Arial" w:eastAsia="Arial" w:hAnsi="Arial"/>
          <w:sz w:val="19"/>
          <w:szCs w:val="19"/>
          <w:color w:val="auto"/>
        </w:rPr>
        <w:t>Interest expense for the three months ended September 30, 2021 increased by $0.7 million, or 57.5%, primarily due to an increase in the gross principal balance in our debt financing from $35.0 million to $65.0 million in the fourth quarter of 2020.</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270"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Other expense, net for the three months ended September 30, 2021 increased by $3.9 million due to a $3.9 million increase in the fair market value of warrants.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Nine Months Ended September 30, 2021 and 2020</w:t>
      </w:r>
    </w:p>
    <w:p>
      <w:pPr>
        <w:spacing w:after="0" w:line="243"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The following table sets forth our statements of operations for the nine months ended September 30, 2021 and 2020, including amounts and percentages of net sales for each period and the period-to-period change in dollars and percent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Nine months ended September 30,</w:t>
            </w: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Period change</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Amount</w:t>
            </w:r>
          </w:p>
        </w:tc>
        <w:tc>
          <w:tcPr>
            <w:tcW w:w="12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Percent</w:t>
            </w:r>
          </w:p>
        </w:tc>
        <w:tc>
          <w:tcPr>
            <w:tcW w:w="146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3"/>
          </w:tcPr>
          <w:p>
            <w:pPr>
              <w:jc w:val="right"/>
              <w:ind w:right="680"/>
              <w:spacing w:after="0"/>
              <w:rPr>
                <w:sz w:val="20"/>
                <w:szCs w:val="20"/>
                <w:color w:val="auto"/>
              </w:rPr>
            </w:pPr>
            <w:r>
              <w:rPr>
                <w:rFonts w:ascii="Arial" w:cs="Arial" w:eastAsia="Arial" w:hAnsi="Arial"/>
                <w:sz w:val="16"/>
                <w:szCs w:val="16"/>
                <w:b w:val="1"/>
                <w:bCs w:val="1"/>
                <w:color w:val="auto"/>
              </w:rPr>
              <w:t>Percent</w:t>
            </w: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consolidated statements of</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operations data:</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258,283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100.0 %  $</w:t>
            </w:r>
          </w:p>
        </w:tc>
        <w:tc>
          <w:tcPr>
            <w:tcW w:w="1080" w:type="dxa"/>
            <w:vAlign w:val="bottom"/>
          </w:tcPr>
          <w:p>
            <w:pPr>
              <w:jc w:val="right"/>
              <w:spacing w:after="0"/>
              <w:rPr>
                <w:sz w:val="20"/>
                <w:szCs w:val="20"/>
                <w:color w:val="auto"/>
              </w:rPr>
            </w:pPr>
            <w:r>
              <w:rPr>
                <w:rFonts w:ascii="Arial" w:cs="Arial" w:eastAsia="Arial" w:hAnsi="Arial"/>
                <w:sz w:val="16"/>
                <w:szCs w:val="16"/>
                <w:color w:val="auto"/>
              </w:rPr>
              <w:t>163,209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color w:val="auto"/>
              </w:rPr>
              <w:t>100.0 %  $</w:t>
            </w:r>
          </w:p>
        </w:tc>
        <w:tc>
          <w:tcPr>
            <w:tcW w:w="960" w:type="dxa"/>
            <w:vAlign w:val="bottom"/>
          </w:tcPr>
          <w:p>
            <w:pPr>
              <w:jc w:val="right"/>
              <w:spacing w:after="0"/>
              <w:rPr>
                <w:sz w:val="20"/>
                <w:szCs w:val="20"/>
                <w:color w:val="auto"/>
              </w:rPr>
            </w:pPr>
            <w:r>
              <w:rPr>
                <w:rFonts w:ascii="Arial" w:cs="Arial" w:eastAsia="Arial" w:hAnsi="Arial"/>
                <w:sz w:val="16"/>
                <w:szCs w:val="16"/>
                <w:color w:val="auto"/>
              </w:rPr>
              <w:t>95,074</w:t>
            </w:r>
          </w:p>
        </w:tc>
        <w:tc>
          <w:tcPr>
            <w:tcW w:w="1400" w:type="dxa"/>
            <w:vAlign w:val="bottom"/>
          </w:tcPr>
          <w:p>
            <w:pPr>
              <w:jc w:val="right"/>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51.6 %</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56.7 %</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40,579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0" w:type="dxa"/>
            <w:vAlign w:val="bottom"/>
          </w:tcPr>
          <w:p>
            <w:pPr>
              <w:spacing w:after="0"/>
              <w:rPr>
                <w:sz w:val="1"/>
                <w:szCs w:val="1"/>
                <w:color w:val="auto"/>
              </w:rPr>
            </w:pPr>
          </w:p>
        </w:tc>
      </w:tr>
      <w:tr>
        <w:trPr>
          <w:trHeight w:val="217"/>
        </w:trPr>
        <w:tc>
          <w:tcPr>
            <w:tcW w:w="3380" w:type="dxa"/>
            <w:vAlign w:val="bottom"/>
          </w:tcPr>
          <w:p>
            <w:pPr>
              <w:ind w:left="46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125,135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48.4 %</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70,640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54,495</w:t>
            </w:r>
          </w:p>
        </w:tc>
        <w:tc>
          <w:tcPr>
            <w:tcW w:w="1400" w:type="dxa"/>
            <w:vAlign w:val="bottom"/>
          </w:tcPr>
          <w:p>
            <w:pPr>
              <w:jc w:val="right"/>
              <w:spacing w:after="0"/>
              <w:rPr>
                <w:sz w:val="20"/>
                <w:szCs w:val="20"/>
                <w:color w:val="auto"/>
              </w:rPr>
            </w:pPr>
            <w:r>
              <w:rPr>
                <w:rFonts w:ascii="Arial" w:cs="Arial" w:eastAsia="Arial" w:hAnsi="Arial"/>
                <w:sz w:val="16"/>
                <w:szCs w:val="16"/>
                <w:color w:val="auto"/>
              </w:rPr>
              <w:t>77.1 %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97,961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39,226</w:t>
            </w:r>
          </w:p>
        </w:tc>
        <w:tc>
          <w:tcPr>
            <w:tcW w:w="1400" w:type="dxa"/>
            <w:vAlign w:val="bottom"/>
          </w:tcPr>
          <w:p>
            <w:pPr>
              <w:jc w:val="right"/>
              <w:spacing w:after="0"/>
              <w:rPr>
                <w:sz w:val="20"/>
                <w:szCs w:val="20"/>
                <w:color w:val="auto"/>
              </w:rPr>
            </w:pPr>
            <w:r>
              <w:rPr>
                <w:rFonts w:ascii="Arial" w:cs="Arial" w:eastAsia="Arial" w:hAnsi="Arial"/>
                <w:sz w:val="16"/>
                <w:szCs w:val="16"/>
                <w:color w:val="auto"/>
              </w:rPr>
              <w:t>66.8 %</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128.3 %</w:t>
            </w:r>
          </w:p>
        </w:tc>
        <w:tc>
          <w:tcPr>
            <w:tcW w:w="0" w:type="dxa"/>
            <w:vAlign w:val="bottom"/>
          </w:tcPr>
          <w:p>
            <w:pPr>
              <w:spacing w:after="0"/>
              <w:rPr>
                <w:sz w:val="1"/>
                <w:szCs w:val="1"/>
                <w:color w:val="auto"/>
              </w:rPr>
            </w:pPr>
          </w:p>
        </w:tc>
      </w:tr>
      <w:tr>
        <w:trPr>
          <w:trHeight w:val="223"/>
        </w:trPr>
        <w:tc>
          <w:tcPr>
            <w:tcW w:w="33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(2,179)</w:t>
            </w:r>
          </w:p>
        </w:tc>
        <w:tc>
          <w:tcPr>
            <w:tcW w:w="1400" w:type="dxa"/>
            <w:vAlign w:val="bottom"/>
          </w:tcPr>
          <w:p>
            <w:pPr>
              <w:jc w:val="right"/>
              <w:spacing w:after="0"/>
              <w:rPr>
                <w:sz w:val="20"/>
                <w:szCs w:val="20"/>
                <w:color w:val="auto"/>
              </w:rPr>
            </w:pPr>
            <w:r>
              <w:rPr>
                <w:rFonts w:ascii="Arial" w:cs="Arial" w:eastAsia="Arial" w:hAnsi="Arial"/>
                <w:sz w:val="16"/>
                <w:szCs w:val="16"/>
                <w:color w:val="auto"/>
              </w:rPr>
              <w:t>60.4 %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3380" w:type="dxa"/>
            <w:vAlign w:val="bottom"/>
          </w:tcPr>
          <w:p>
            <w:pPr>
              <w:ind w:left="460"/>
              <w:spacing w:after="0"/>
              <w:rPr>
                <w:sz w:val="20"/>
                <w:szCs w:val="20"/>
                <w:color w:val="auto"/>
              </w:rPr>
            </w:pPr>
            <w:r>
              <w:rPr>
                <w:rFonts w:ascii="Arial" w:cs="Arial" w:eastAsia="Arial" w:hAnsi="Arial"/>
                <w:sz w:val="16"/>
                <w:szCs w:val="16"/>
                <w:b w:val="1"/>
                <w:bCs w:val="1"/>
                <w:color w:val="auto"/>
              </w:rPr>
              <w:t>Net income before tax</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14,870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400" w:type="dxa"/>
            <w:vAlign w:val="bottom"/>
          </w:tcPr>
          <w:p>
            <w:pPr>
              <w:jc w:val="right"/>
              <w:spacing w:after="0"/>
              <w:rPr>
                <w:sz w:val="20"/>
                <w:szCs w:val="20"/>
                <w:color w:val="auto"/>
              </w:rPr>
            </w:pPr>
            <w:r>
              <w:rPr>
                <w:rFonts w:ascii="Arial" w:cs="Arial" w:eastAsia="Arial" w:hAnsi="Arial"/>
                <w:sz w:val="16"/>
                <w:szCs w:val="16"/>
                <w:color w:val="auto"/>
              </w:rPr>
              <w:t>80.8 %</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7"/>
        </w:trPr>
        <w:tc>
          <w:tcPr>
            <w:tcW w:w="3380" w:type="dxa"/>
            <w:vAlign w:val="bottom"/>
          </w:tcPr>
          <w:p>
            <w:pPr>
              <w:ind w:left="46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14,847</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8,223</w:t>
            </w: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6,624</w:t>
            </w:r>
          </w:p>
        </w:tc>
        <w:tc>
          <w:tcPr>
            <w:tcW w:w="1400" w:type="dxa"/>
            <w:vAlign w:val="bottom"/>
          </w:tcPr>
          <w:p>
            <w:pPr>
              <w:jc w:val="right"/>
              <w:spacing w:after="0"/>
              <w:rPr>
                <w:sz w:val="20"/>
                <w:szCs w:val="20"/>
                <w:color w:val="auto"/>
              </w:rPr>
            </w:pPr>
            <w:r>
              <w:rPr>
                <w:rFonts w:ascii="Arial" w:cs="Arial" w:eastAsia="Arial" w:hAnsi="Arial"/>
                <w:sz w:val="16"/>
                <w:szCs w:val="16"/>
                <w:color w:val="auto"/>
              </w:rPr>
              <w:t>80.6 %</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allocable to 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80" w:type="dxa"/>
            <w:vAlign w:val="bottom"/>
          </w:tcPr>
          <w:p>
            <w:pPr>
              <w:ind w:left="460"/>
              <w:spacing w:after="0"/>
              <w:rPr>
                <w:sz w:val="20"/>
                <w:szCs w:val="20"/>
                <w:color w:val="auto"/>
              </w:rPr>
            </w:pPr>
            <w:r>
              <w:rPr>
                <w:rFonts w:ascii="Arial" w:cs="Arial" w:eastAsia="Arial" w:hAnsi="Arial"/>
                <w:sz w:val="16"/>
                <w:szCs w:val="16"/>
                <w:b w:val="1"/>
                <w:bCs w:val="1"/>
                <w:color w:val="auto"/>
              </w:rPr>
              <w:t>Net income allocable to Brilliant Earth</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 %</w:t>
            </w:r>
          </w:p>
        </w:tc>
        <w:tc>
          <w:tcPr>
            <w:tcW w:w="180" w:type="dxa"/>
            <w:vAlign w:val="bottom"/>
            <w:gridSpan w:val="2"/>
            <w:vMerge w:val="restart"/>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460"/>
              <w:spacing w:after="0"/>
              <w:rPr>
                <w:sz w:val="20"/>
                <w:szCs w:val="20"/>
                <w:color w:val="auto"/>
              </w:rPr>
            </w:pPr>
            <w:r>
              <w:rPr>
                <w:rFonts w:ascii="Arial" w:cs="Arial" w:eastAsia="Arial" w:hAnsi="Arial"/>
                <w:sz w:val="16"/>
                <w:szCs w:val="16"/>
                <w:b w:val="1"/>
                <w:bCs w:val="1"/>
                <w:color w:val="auto"/>
              </w:rPr>
              <w:t>Group, Inc.</w:t>
            </w:r>
          </w:p>
        </w:tc>
        <w:tc>
          <w:tcPr>
            <w:tcW w:w="2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886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Amounts may not sum due to rounding</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Sales</w:t>
      </w:r>
    </w:p>
    <w:p>
      <w:pPr>
        <w:spacing w:after="0" w:line="24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Net sales for the nine months ended September 30, 2021 increased by $95.1 million, or 58.3%, compared to the nine months ended September 30, 2020. We experienced increases in net sales across our products, and in both domestic and international markets, primarily driven by a 51.4% increase in order volumes due to:</w:t>
      </w:r>
    </w:p>
    <w:p>
      <w:pPr>
        <w:spacing w:after="0" w:line="2" w:lineRule="exact"/>
        <w:rPr>
          <w:sz w:val="20"/>
          <w:szCs w:val="20"/>
          <w:color w:val="auto"/>
        </w:rPr>
      </w:pPr>
    </w:p>
    <w:p>
      <w:pPr>
        <w:ind w:left="660" w:right="420" w:hanging="328"/>
        <w:spacing w:after="0" w:line="25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20"/>
          <w:szCs w:val="20"/>
          <w:color w:val="auto"/>
        </w:rPr>
        <w:t>an increase in consumer spending in during the nine months ended September 30, 2021 in comparison to the nine months ended September 30, 2020, which was significantly impacted by COVID-19;</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continued efficiency of our customer acquisition and conversion activities;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 increase in orders driven by our showrooms and website; and</w:t>
      </w:r>
    </w:p>
    <w:p>
      <w:pPr>
        <w:spacing w:after="0" w:line="8" w:lineRule="exact"/>
        <w:rPr>
          <w:rFonts w:ascii="Arial" w:cs="Arial" w:eastAsia="Arial" w:hAnsi="Arial"/>
          <w:sz w:val="20"/>
          <w:szCs w:val="20"/>
          <w:color w:val="auto"/>
        </w:rPr>
      </w:pPr>
    </w:p>
    <w:p>
      <w:pPr>
        <w:ind w:left="660" w:right="60" w:hanging="328"/>
        <w:spacing w:after="0" w:line="231"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additional orders from our new virtual sales appointment offering (launched in the second quarter of 2020), as well as the opening of new showrooms in Atlanta (fourth quarter of 2020), Seattle (second quarter of 2021), Portland, Austin, Dallas and New York (third quarter of 2021).</w:t>
      </w:r>
    </w:p>
    <w:p>
      <w:pPr>
        <w:spacing w:after="0" w:line="22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Net sales also increased due to an increase in AOV on a period-over-period basis. AOV for the nine months ended September 30, 2021 was 4.5% higher compared to the nine months ended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Gross Profit</w:t>
      </w:r>
    </w:p>
    <w:p>
      <w:pPr>
        <w:spacing w:after="0" w:line="243"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Gross profit for the nine months ended September 30, 2021 increased by $54.5 million, or 77.1%, compared to the nine months ended September 30, 2020. Gross margin, expressed as a percentage and calculated as gross profit divided by net sales, increased by 517 basis points for the nine months ended September 30, 2021 compared to the nine months ended September 30, 2020 driven by our premium brand positioning, enhancements to our pricing engine and procurement efficiencies and higher costs in the prior period due to temporary COVID-related changes to our supplier mix and shipping methods. These improvements were partially offset by higher precious metals prices, as evidenced by average gold and platinum spot prices increasing by approximately 4% and 30%, respectively, for the nine months ended September 30, 2021 as compared to the nine months ended September 30, 2020.</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Expenses</w:t>
      </w:r>
    </w:p>
    <w:p>
      <w:pPr>
        <w:spacing w:after="0" w:line="24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SG&amp;A expenses for the nine months ended September 30, 2021 increased by $39.2 million, or 66.8%. As a percentage of net sales, SG&amp;A expenses increased by 1.9% in the nine months ended September 30, 2021 compared to the nine months ended September 30, 2020 primarily driven by an increase in other general and administrative costs, which increased as a percentage of net sales by 2.3% from the nine months ended September 30, 2020 to the nine months ended September 30, 2021, principally due to new corporate expenses in preparation for and in support of our operations as a public company, higher showroom pre-opening expenses and funding of the Brilliant Earth Foundation in the nine months ended September 30, 2021. These increases were partially offset by a decrease in marketing expenses which as a percentage of net sales, represented a decrease of approximately 0.3% from the nine months ended September 30, 2020 to the nine months ended September 30, 2021. The decline was largely attributable to improved efficiency of our customer acquisition and conversion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Interest expense for the nine months ended September 30, 2021 increased by $2.2 million, or 60.4%, primarily due to an increase in the gross principal balance in our debt financing from $35.0 million to $65.0 million in the fourth quarter of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Expense, net</w:t>
      </w:r>
    </w:p>
    <w:p>
      <w:pPr>
        <w:spacing w:after="0" w:line="24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Other expense, net for the nine months ended September 30, 2021 increased by $6.4 million primarily due to a $6.3 million increase in the fair market value of warrants before exercise upon the IPO.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Our business is seasonal in nature, with the fourth quarter representing approximately 30% of annual net sales over the three-year period ended December 31, 2019 and a higher percentage of annual net income. During the year ended December 31, 2020, our typical seasonal patterns were significantly impacted by the COVID-19 pandemic, although we anticipate some reversion to historical seasonal patterns as the pandemic eases. Additionally, the rapid growth we experienced in recent years may have masked the full effects of seasonal factors on our business to date, and as such, seasonality may have a greater effect on our results of operations in future periods.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41"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In addition to our results determined in accordance with GAAP, we believe the following non-GAAP financial measures are useful in evaluating our operating performance and liquidity, as applicable.</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 and Adjusted EBITDA Margin</w:t>
      </w:r>
    </w:p>
    <w:p>
      <w:pPr>
        <w:spacing w:after="0" w:line="243"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Adjusted EBITDA and Adjusted EBITDA margin are included in this Quarterly Report on Form 10-Q because they are non-GAAP financial measures used by management and our board of directors to assess our financial performance. We define Adjusted EBITDA as net income excluding interest expense, income taxes, depreciation and amortization expense, equity-based compensation expense, showroom pre-opening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reconciliation of net income and net income margin, the most comparable GAAP financial measures,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and Adjusted EBITDA margin, respectively, for the periods presented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00" w:type="dxa"/>
            <w:vAlign w:val="bottom"/>
          </w:tcPr>
          <w:p>
            <w:pPr>
              <w:spacing w:after="0"/>
              <w:rPr>
                <w:sz w:val="17"/>
                <w:szCs w:val="17"/>
                <w:color w:val="auto"/>
              </w:rPr>
            </w:pPr>
          </w:p>
        </w:tc>
      </w:tr>
      <w:tr>
        <w:trPr>
          <w:trHeight w:val="210"/>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2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jc w:val="right"/>
              <w:ind w:right="579"/>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w w:val="89"/>
              </w:rPr>
              <w:t>2020</w:t>
            </w:r>
          </w:p>
        </w:tc>
      </w:tr>
      <w:tr>
        <w:trPr>
          <w:trHeight w:val="33"/>
        </w:trPr>
        <w:tc>
          <w:tcPr>
            <w:tcW w:w="4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3,962</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8,041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14,847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8,223</w:t>
            </w:r>
          </w:p>
        </w:tc>
      </w:tr>
      <w:tr>
        <w:trPr>
          <w:trHeight w:val="224"/>
        </w:trPr>
        <w:tc>
          <w:tcPr>
            <w:tcW w:w="43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5,786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3,607</w:t>
            </w:r>
          </w:p>
        </w:tc>
      </w:tr>
      <w:tr>
        <w:trPr>
          <w:trHeight w:val="33"/>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23"/>
        </w:trPr>
        <w:tc>
          <w:tcPr>
            <w:tcW w:w="438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489</w:t>
            </w:r>
          </w:p>
        </w:tc>
      </w:tr>
      <w:tr>
        <w:trPr>
          <w:trHeight w:val="33"/>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Showroom pre-opening expense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115</w:t>
            </w:r>
          </w:p>
        </w:tc>
      </w:tr>
      <w:tr>
        <w:trPr>
          <w:trHeight w:val="224"/>
        </w:trPr>
        <w:tc>
          <w:tcPr>
            <w:tcW w:w="4380" w:type="dxa"/>
            <w:vAlign w:val="bottom"/>
          </w:tcPr>
          <w:p>
            <w:pPr>
              <w:ind w:left="20"/>
              <w:spacing w:after="0"/>
              <w:rPr>
                <w:sz w:val="20"/>
                <w:szCs w:val="20"/>
                <w:color w:val="auto"/>
              </w:rPr>
            </w:pPr>
            <w:r>
              <w:rPr>
                <w:rFonts w:ascii="Arial" w:cs="Arial" w:eastAsia="Arial" w:hAnsi="Arial"/>
                <w:sz w:val="16"/>
                <w:szCs w:val="16"/>
                <w:color w:val="auto"/>
              </w:rPr>
              <w:t>Equity-based compensation expense</w:t>
            </w:r>
          </w:p>
        </w:tc>
        <w:tc>
          <w:tcPr>
            <w:tcW w:w="38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21</w:t>
            </w:r>
          </w:p>
        </w:tc>
      </w:tr>
      <w:tr>
        <w:trPr>
          <w:trHeight w:val="33"/>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expense, net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3,971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6,518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r>
      <w:tr>
        <w:trPr>
          <w:trHeight w:val="257"/>
        </w:trPr>
        <w:tc>
          <w:tcPr>
            <w:tcW w:w="4380" w:type="dxa"/>
            <w:vAlign w:val="bottom"/>
          </w:tcPr>
          <w:p>
            <w:pPr>
              <w:ind w:left="20"/>
              <w:spacing w:after="0"/>
              <w:rPr>
                <w:sz w:val="20"/>
                <w:szCs w:val="20"/>
                <w:color w:val="auto"/>
              </w:rPr>
            </w:pPr>
            <w:r>
              <w:rPr>
                <w:rFonts w:ascii="Arial" w:cs="Arial" w:eastAsia="Arial" w:hAnsi="Arial"/>
                <w:sz w:val="16"/>
                <w:szCs w:val="16"/>
                <w:color w:val="auto"/>
              </w:rPr>
              <w:t xml:space="preserve">Transaction costs and other expense </w:t>
            </w:r>
            <w:r>
              <w:rPr>
                <w:rFonts w:ascii="Arial" w:cs="Arial" w:eastAsia="Arial" w:hAnsi="Arial"/>
                <w:sz w:val="21"/>
                <w:szCs w:val="21"/>
                <w:color w:val="auto"/>
                <w:vertAlign w:val="superscript"/>
              </w:rPr>
              <w:t>(2)</w:t>
            </w:r>
          </w:p>
        </w:tc>
        <w:tc>
          <w:tcPr>
            <w:tcW w:w="38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0"/>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34,556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12,530</w:t>
            </w:r>
          </w:p>
        </w:tc>
      </w:tr>
      <w:tr>
        <w:trPr>
          <w:trHeight w:val="217"/>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4.2 %</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11.3 %</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5.7 %</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5.0 %</w:t>
            </w:r>
          </w:p>
        </w:tc>
      </w:tr>
      <w:tr>
        <w:trPr>
          <w:trHeight w:val="33"/>
        </w:trPr>
        <w:tc>
          <w:tcPr>
            <w:tcW w:w="4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7.7 %</w:t>
            </w:r>
          </w:p>
        </w:tc>
      </w:tr>
      <w:tr>
        <w:trPr>
          <w:trHeight w:val="33"/>
        </w:trPr>
        <w:tc>
          <w:tcPr>
            <w:tcW w:w="4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ind w:left="260" w:right="80" w:hanging="252"/>
        <w:spacing w:after="0" w:line="245" w:lineRule="auto"/>
        <w:tabs>
          <w:tab w:leader="none" w:pos="221"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Other expense, net for the three and nine months ended September 30, 2021 consisted primarily of the change in fair value of the warrant liability necessary to mark our warrants to fair market value. Please see Note 8, </w:t>
      </w:r>
      <w:r>
        <w:rPr>
          <w:rFonts w:ascii="Arial" w:cs="Arial" w:eastAsia="Arial" w:hAnsi="Arial"/>
          <w:sz w:val="14"/>
          <w:szCs w:val="14"/>
          <w:i w:val="1"/>
          <w:iCs w:val="1"/>
          <w:color w:val="auto"/>
        </w:rPr>
        <w:t>Stockholders' and Members' Equity</w:t>
      </w:r>
      <w:r>
        <w:rPr>
          <w:rFonts w:ascii="Arial" w:cs="Arial" w:eastAsia="Arial" w:hAnsi="Arial"/>
          <w:sz w:val="14"/>
          <w:szCs w:val="14"/>
          <w:color w:val="auto"/>
        </w:rPr>
        <w:t xml:space="preserve"> in our unaudited condensed consolidated financial statements included elsewhere in this Quarterly Report on Form 10-Q for more information. Additionally, these expenses for all periods presented include losses on exchange rates on consumer payments, partially offset by interest and other miscellaneous income.</w:t>
      </w:r>
    </w:p>
    <w:p>
      <w:pPr>
        <w:spacing w:after="0" w:line="2" w:lineRule="exact"/>
        <w:rPr>
          <w:rFonts w:ascii="Arial" w:cs="Arial" w:eastAsia="Arial" w:hAnsi="Arial"/>
          <w:sz w:val="14"/>
          <w:szCs w:val="14"/>
          <w:color w:val="auto"/>
        </w:rPr>
      </w:pPr>
    </w:p>
    <w:p>
      <w:pPr>
        <w:ind w:left="260" w:right="400" w:hanging="252"/>
        <w:spacing w:after="0" w:line="255" w:lineRule="auto"/>
        <w:tabs>
          <w:tab w:leader="none" w:pos="221"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expenses are those that we did not incur in the normal course of business. They include expenses related to professional fees in connection with the evaluation and preparation for operations as a public company, a charitable donation and one-time costs associated with the opening of a new operations facility.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w:t>
      </w:r>
    </w:p>
    <w:p>
      <w:pPr>
        <w:spacing w:after="0" w:line="243"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Our primary requirements for liquidity and capital are for purchases of inventory, payment of operating expenses, tax distributions to LLC members, debt service, and capital expenditures. Historically, these cash requirements have been met through cash provided by operating activities, cash and cash equivalents, and borrowings under our Term Loan. We have historically had negative working capital driven by our high inventory turns and typical collection of payment from customers prior to payment of suppliers. As of September 30, 2021, we had a cash balance, excluding restricted cash, of $161.1 million, working capital, excluding cash, of ($50.7) million, and a Term Loan with a principal balance of $65.0 million, excluding unamortized debt issuance costs of $1.8 million.</w:t>
      </w:r>
    </w:p>
    <w:p>
      <w:pPr>
        <w:spacing w:after="0" w:line="205"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We lease our showrooms and headquarters office space under operating leases pursuant to which $0.7 million is due in the three months ending December 31, 2021. Total future lease payments as of September 30, 2021 are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In the nine months ended September 30, 2021, the Company declared and paid $21.4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w:t>
      </w:r>
    </w:p>
    <w:p>
      <w:pPr>
        <w:spacing w:after="0" w:line="19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Notwithstanding our obligations under the TRA discussed below, we believe that our current sources of liquidity, which include cash, and net cash provided by operating activities, will be sufficient to meet our projected operating, debt service, and tax distribution requirements for at least the next 12 months. We have capital commitments of $0.6 million related to the opening of new locations as of September 30, 2021, and we have no principal repayments due in 2021, $30.8 million of principal repayments due in 2022, and $34.2 million of principal due in 2023 on our Term Loan. As further described below, we have an additional final payment of $3.2 million due in 2023 on our Term Loan.</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Additional future liquidity needs may include public company costs, payments under the TRA, and state and federal taxes to the extent not sheltered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19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Investing, and Financing Activities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cash flows for the nine months ended September 30, 2021 and 2020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220" w:type="dxa"/>
            <w:vAlign w:val="bottom"/>
            <w:gridSpan w:val="5"/>
          </w:tcPr>
          <w:p>
            <w:pPr>
              <w:jc w:val="right"/>
              <w:ind w:right="359"/>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0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3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15,190</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33"/>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2,657</w:t>
            </w:r>
          </w:p>
        </w:tc>
      </w:tr>
      <w:tr>
        <w:trPr>
          <w:trHeight w:val="217"/>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cash equivalents and restricted cash</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94,818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17,318</w:t>
            </w:r>
          </w:p>
        </w:tc>
      </w:tr>
      <w:tr>
        <w:trPr>
          <w:trHeight w:val="33"/>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40,598</w:t>
            </w:r>
          </w:p>
        </w:tc>
      </w:tr>
      <w:tr>
        <w:trPr>
          <w:trHeight w:val="247"/>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161,292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57,916</w:t>
            </w:r>
          </w:p>
        </w:tc>
      </w:tr>
      <w:tr>
        <w:trPr>
          <w:trHeight w:val="24"/>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43"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Net cash provided by operating activities was $33.8 million for the nine months ended September 30, 2021, consisting of $14.8 million in net income adjusted for $9.0 million in non-cash expense addbacks, primarily composed of the change in fair value of warrants, amortization of debt issuance costs, equity based compensation, depreciation and amortization of debt issuance costs, plus a $9.9 million increase from changes in assets and liabilities related to operating activities. The change in assets and liabilities related to operating activities, which is the result of our revenue growth, primarily reflects a $16.7 million increase in deferred revenue, accounts payable, accrued expenses and other current liabilities and deferred rent, and a decrease in prepaid expenses and other current assets, offset by $6.8 million increase in inventory and other assets.</w:t>
      </w:r>
    </w:p>
    <w:p>
      <w:pPr>
        <w:spacing w:after="0" w:line="22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Net cash provided by operating activities was $15.2 million for the nine months ended September 30, 2020, consisting of a net income of $8.2 million adjusted for $1.4 million in non-cash addbacks, plus a $5.6 million increase from changes in assets and liabilities related to operating activities. The change in assets and liabilities related to operating activities primarily reflects a $9.8 million increase resulting from an increase in deferred revenue, accounts payable and accrued expenses and other current liabilities and a decrease in prepaid expenses and other current assets and other assets, offset by a $4.2 million decrease principally resulting from an increase in inventory and a decrease in deferred rent.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4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Net cash used in investing activities was $4.4 million for the nine months ended September 30, 2021, which primarily consisted of purchases of property and equipment related to new facilities leased during the nine months ended September 30, 2021.</w:t>
      </w:r>
    </w:p>
    <w:p>
      <w:pPr>
        <w:spacing w:after="0" w:line="17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We had limited investing activities for the nine months ended September 30, 2020 due to a curtailing of capital spending during the COVID-19 pandemic.</w:t>
      </w:r>
    </w:p>
    <w:p>
      <w:pPr>
        <w:spacing w:after="0" w:line="204"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 xml:space="preserve">Following the adoption of ASC 842, </w:t>
      </w:r>
      <w:r>
        <w:rPr>
          <w:rFonts w:ascii="Arial" w:cs="Arial" w:eastAsia="Arial" w:hAnsi="Arial"/>
          <w:sz w:val="20"/>
          <w:szCs w:val="20"/>
          <w:i w:val="1"/>
          <w:iCs w:val="1"/>
          <w:color w:val="auto"/>
        </w:rPr>
        <w:t>Leases</w:t>
      </w:r>
      <w:r>
        <w:rPr>
          <w:rFonts w:ascii="Arial" w:cs="Arial" w:eastAsia="Arial" w:hAnsi="Arial"/>
          <w:sz w:val="20"/>
          <w:szCs w:val="20"/>
          <w:color w:val="auto"/>
        </w:rPr>
        <w:t>, which we plan to adopt on January 1, 2022, our balance sheet will reflect the capitalization of the present value of future lease costs for showrooms and our office facilities as right-of-use assets and lease liabilities, which are currently presented as SG&amp;A expenses as rents become due.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43"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Net cash provided by financing activities was $65.4 million for the nine months ended September 30, 2021. We received net proceeds of $101.9 million, after deducting underwriting discounts and offering costs from the IPO. This was partially offset by $14.0 million paid to continuing equity owners for the redemption of LLC Units, $21.4 million paid to members for tax distributions and $1.1 million of offering costs that were paid in connection with the IPO.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During the nine months ended September 30, 2020, we obtained a PPP Loan for $2.7 million.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Agreement</w:t>
      </w:r>
    </w:p>
    <w:p>
      <w:pPr>
        <w:spacing w:after="0" w:line="24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On September 30, 2019, we entered into a Loan and Security Agreement with Runway Growth Finance Corp. (f/k/a Runway Growth Credit Fund Inc.) (“Runway”) which provided for a first tranche of loans in an aggregate principal amount up to $35.0 million available immediately and a second tranche of loans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an aggregate principal amount up to $5.0 million (“Original Term Loan”). On December 17, 2020, the Original Term Loan was amended to add a commitment for supplemental second tranche loans in the aggregate amount of up to $30.0 million (the “First Amendment”). On August 6, 2021, the Original Term Loan was amended to permit (1) a transfer of $1.0 million to the Brilliant Earth Foundation, and (2) additional amounts thereafter provided that there is not an event of default that has not been cured (the “Second Amendment”). On August 29, 2021, the Original Term Loan was amended to, among other matters, permit the Reorganization Transactions to be consummated by us in connection with the Up-C structure, and reduce the interest rate of the Term Loan (the “Third Amendment”, and the Original Term Loan, as amended by the First Amendment, the Second Amendment, and the Third Amendment, the “Term Loan”). The maturity date of the Term Loan is October 15, 2023, and as of September 30, 2021, we complied with all covenants under the Term Loan.</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Term Loan carries an interest rate equal to LIBOR, with a floor of 0.50%, plus 7.75%, unless LIBOR becomes no longer attainable or ceases to accurately or fairly cover or reflect the costs of the lender, in which case the applicable interest rate shall be Prime Rate, with a floor of 3.35%, plus 4.90%. We are required to make interest-only payments on the Term Loan through April 15, 2022 (the “Amortization Date”). The Term Loan will begin amortizing on the Amortization Date, with equal monthly payments of principal, which would fully amortize the principal amount of the Term Loan by October 15, 2023, plus interest being made by us to Runway in consecutive monthly installments until October 15, 2023. The Term Loan carries a prepayment fee of 3.00% declining to 0.00% based on the anniversary date of payment; and, a final payment fee equal to 4.50% of the principal amount repaid upon maturity or prepayment, plus $0.2 million. In the event that we choose to partially prepay the Term Loan, we are obligated to make a partial final payment on the date of such prepayment.</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 xml:space="preserve">The Term Loan is secured by substantially all of the assets of the Company and requires us to comply with various affirmative and negative debt covenants. The affirmative covenants include meeting reporting requirements, such as monthly financial statements and compliance certificates, board observer rights, annual operating budget and financial projections, annual audited financial statements, federal tax returns, and other requirements. The negative covenants contain requirements that restrict our ability to create, incur, assume, or be liable for any indebtedness, incur liens, make distributions, make investments, dispose of assets, engage in mergers or acquisitions, or effect a change in business, management, ownership, or business locations, and other restrictive requirements. In addition, the financial covenants require us to reach the minimum liquidity requirements of cash and cash equivalents in deposit accounts secured in favor of Runway in an amount not less than the sum of (a) projected negative cash flow from operations (including interest payments due in respect of any indebtedness) for the immediately following six (6) months, plus (b) projected capital expenditures on property and/or equipment, including any leasing expenditures and principal repayments in respect of any indebtedness, for the immediately following six (6) months, as determined monthly on the last day of each month. For additional information regarding our long-term debt activity,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unaudited condensed consolidated financial statements included elsewhere in this Quarterly Report on Form 10-Q.</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Liquidity Requirements after Completion of Offering</w:t>
      </w:r>
    </w:p>
    <w:p>
      <w:pPr>
        <w:spacing w:after="0" w:line="24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We are a holding company and have no material assets other than our ownership of LLC Interests. We have no independent means of generating revenue. The Brilliant Earth LLC Agreement in effect since the time of the IPO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Regarding the ability of Brilliant Earth, LLC to make distributions to us, the terms of their financing arrangements, including the Term Loan Agreement,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 (2) certain tax benefits arising from payments made under the TRA. We expect the amount of the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217"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213"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See "Risk Factors—Risks Related to Our Organizational Structure."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There have been no material changes to our contractual obligations from those described in the Prospectus.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We did not have any off-balance sheet arrangements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preparing our condensed consolidated financial statements and the related notes thereto included elsewhere in this Quarterly Report on Form 10-Q in conformity with U.S. GAAP, we must make decisions that impact the reported amounts of assets, liabilities, revenues,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condensed consolidated financial statements are prepared.</w:t>
      </w:r>
    </w:p>
    <w:p>
      <w:pPr>
        <w:spacing w:after="0" w:line="205"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the Prospectus and the notes to the audited consolidated financial statements appearing elsewhere in the Prospectus. During the three months ended September 30, 2021, there were no material changes to our critical accounting policies from those discussed in our Prospectus except for the following policies and estimates.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Equity-based Compensation</w:t>
      </w:r>
    </w:p>
    <w:p>
      <w:pPr>
        <w:spacing w:after="0" w:line="24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Equity-based compensation is accounted for as an expense in accordance with the fair value recognition and measurement provisions of U.S. GAAP which requires compensation cost for the grant-date fair value of equity-based awards to be recognized over the requisite service period. The Company accounts for a forfeiture when it occurs, and any compensation expense previously recognized on unvested equity-based awards will be reversed when forfeited.</w:t>
      </w:r>
    </w:p>
    <w:p>
      <w:pPr>
        <w:spacing w:after="0" w:line="21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The fair value of awards of restricted LLC Units is based on the fair value of the member unit underlying the awards as of the date of grant. The fair value of the underlying member units (referred to as Class M Units prior to conversion to common LLC Units in the IPO on a value-for-value basis) for grants prior to the Company’s IPO in September 2021 was determined by considering a number of objective, subjective and highly complex factors including independent third-party valuations of the Company’s member units, operating and financial performance, the lack of liquidity of member units and general and industry specific economic outlook among other factors.</w:t>
      </w:r>
    </w:p>
    <w:p>
      <w:pPr>
        <w:spacing w:after="0" w:line="205"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color w:val="auto"/>
        </w:rPr>
        <w:t>The fair value of RSUs, all of which were granted at the time of the IPO or thereafter, is based on the fair value of the Class A common stock at the time of grant.</w:t>
      </w:r>
    </w:p>
    <w:p>
      <w:pPr>
        <w:spacing w:after="0" w:line="204"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fair value of option-based awards is estimated using the Black-Scholes valuation model. The Black-Scholes model requires the use of highly subjective and complex assumptions, including the option's expected term and the price volatility of the underlying stock. For inputs into the Black-Scholes model, the expected stock price volatility for the common stock is estimated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6" w:name="page57"/>
    <w:bookmarkEnd w:id="5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Company has elected to use the “simplified method” to determine the expected term which is the midpoint between the vesting date and the end of the contractual term because it has insufficient history upon which to base an assumption about the term; the Company believes the simplified method approximates a term if it were to be based on expected life. The expected dividend yield is nil as the Company has not paid and does not anticipate paying dividends on its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43"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Brilliant Earth, LLC is considered a flow-through entity for U.S. federal and most applicable state and local income tax purposes. As a flow-through entity, taxable income or loss from Brilliant Earth, LLC is passed through to and included in the taxable income of its members.</w:t>
      </w:r>
    </w:p>
    <w:p>
      <w:pPr>
        <w:spacing w:after="0" w:line="15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Following the Reorganization Transactions and the consummation of the IPO, Brilliant Earth, LLC continues to be treated as a pass-through entity. Brilliant Earth Group, Inc. is subject to U.S. federal, state and local income taxes with respect to our allocable share of any taxable income of Brilliant Earth, LLC and will be taxed at the prevailing corporate tax rates.</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entered into a TRA with Brilliant Earth, LLC and the Continuing Equity Owners that will provide for the payment by Brilliant Earth Group, Inc.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from each Continuing Equity Owner,</w:t>
      </w:r>
    </w:p>
    <w:p>
      <w:pPr>
        <w:spacing w:after="0" w:line="3" w:lineRule="exact"/>
        <w:rPr>
          <w:sz w:val="20"/>
          <w:szCs w:val="20"/>
          <w:color w:val="auto"/>
        </w:rPr>
      </w:pPr>
    </w:p>
    <w:p>
      <w:pPr>
        <w:ind w:right="1000" w:firstLine="8"/>
        <w:spacing w:after="0" w:line="269" w:lineRule="auto"/>
        <w:tabs>
          <w:tab w:leader="none" w:pos="2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future redemptions or exchanges of LLC Interests for Class A common stock or cash, and (c) certain distributions (or deemed distributions) by Brilliant Earth, LLC; and (2) certain tax benefits arising from payments made under the TRA.</w:t>
      </w:r>
    </w:p>
    <w:p>
      <w:pPr>
        <w:spacing w:after="0" w:line="196"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In addition to tax expenses, we will also make payments under the TRA, which we expect to be significant. We will account for the income tax effects and corresponding TRA’s effects resulting from future taxable purchases or redemptions of LLC Interests of the Continuing LLC Owners by us or Brilliant Earth, LLC by recognizing an increase in our deferred tax assets, based on enacted tax rates at the date of the purchase or redemption. 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 We currently believe that all deferred tax assets will be recovered based upon the projected profitability of our operations. Judgement is required in assessing the future tax consequences of events that have been recognized in Brilliant Earth Group, Inc.’s financial statements. A change in the assessment of such consequences, such as realization of deferred tax assets, changes in tax laws or interpretations thereof could materially impact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Non-controlling Interests</w:t>
      </w:r>
    </w:p>
    <w:p>
      <w:pPr>
        <w:spacing w:after="0" w:line="243"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After the Reorganization Transactions, we are the sole managing member of Brilliant Earth, LLC. We own 10.1% of the economic interest of Brilliant Earth, LLC and we have the majority of the voting interest in and control the management of Brilliant Earth, LLC. As a result, we consolidate the financial results of Brilliant Earth, LLC and report a non-controlling interest of 89.9% related to the interests in Brilliant Earth, LLC held by the Continuing Equity Holders on our unaudited condensed consolidated balance sheet.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51"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 xml:space="preserve">For information regarding recent accounting pronouncements, see Note 2, </w:t>
      </w:r>
      <w:r>
        <w:rPr>
          <w:rFonts w:ascii="Arial" w:cs="Arial" w:eastAsia="Arial" w:hAnsi="Arial"/>
          <w:sz w:val="21"/>
          <w:szCs w:val="21"/>
          <w:i w:val="1"/>
          <w:iCs w:val="1"/>
          <w:color w:val="auto"/>
        </w:rPr>
        <w:t>Recent accounting pronouncements</w:t>
      </w:r>
      <w:r>
        <w:rPr>
          <w:rFonts w:ascii="Arial" w:cs="Arial" w:eastAsia="Arial" w:hAnsi="Arial"/>
          <w:sz w:val="20"/>
          <w:szCs w:val="20"/>
          <w:color w:val="auto"/>
        </w:rPr>
        <w:t xml:space="preserve"> to our financial statements and related notes thereto included in our Prospectus.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JOBS Act</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qualify as an “emerging growth company” pursuant to the provisions of the JOBS Act, enacted on April 5, 2012. Section 102 of the JOBS Act provides that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condensed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initial public offering,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58" w:name="page59"/>
    <w:bookmarkEnd w:id="5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62" w:lineRule="exact"/>
        <w:rPr>
          <w:sz w:val="20"/>
          <w:szCs w:val="20"/>
          <w:color w:val="auto"/>
        </w:rPr>
      </w:pPr>
    </w:p>
    <w:p>
      <w:pPr>
        <w:ind w:right="480"/>
        <w:spacing w:after="0" w:line="274" w:lineRule="auto"/>
        <w:rPr>
          <w:sz w:val="20"/>
          <w:szCs w:val="20"/>
          <w:color w:val="auto"/>
        </w:rPr>
      </w:pPr>
      <w:r>
        <w:rPr>
          <w:rFonts w:ascii="Arial" w:cs="Arial" w:eastAsia="Arial" w:hAnsi="Arial"/>
          <w:sz w:val="20"/>
          <w:szCs w:val="20"/>
          <w:color w:val="auto"/>
        </w:rPr>
        <w:t>Market risk is the risk of economic losses due to adverse changes in financial market prices and rates. Our primary market risk has been interest rate and commodity risk. We do not have material exposure to foreign currency risk.</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Fluctuation Risk</w:t>
      </w:r>
    </w:p>
    <w:p>
      <w:pPr>
        <w:spacing w:after="0" w:line="243"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Our cash and cash equivalents consist of cash and money market funds in government securities. The primary objective of our investment activities is to preserve principal while increasing income without significantly increasing risk. Because our cash and cash equivalents have a relatively short maturity, our portfolio’s fair value is relatively insensitive to interest rate changes. We do not believe that an increase or decrease in interest rates of 1,000 basis points would have a material effect on our operating results or financial condition. In future periods, we will continue to evaluate our investment policy in order to ensure that we continue to meet our overall objectives.</w:t>
      </w:r>
    </w:p>
    <w:p>
      <w:pPr>
        <w:spacing w:after="0" w:line="192"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Interest on our term loan is based on an 7.75% fixed rate plus LIBOR with a floor of 0.50% per annum. A 10.00% change in interest rates would result in a change to the annual interest expense of $0.5 million.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Inflation and Commodity Risk</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Our results are subject to risks associated with inflation including to the cost of inventory, compensation expenses, and other costs.</w:t>
      </w:r>
    </w:p>
    <w:p>
      <w:pPr>
        <w:spacing w:after="0" w:line="254"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Our results are also subject to fluctuations in the supply and market pricing of diamonds, gold, platinum and certain other precious metals and gemstones, all of which are key raw material components of our products. We manage exposure to market risk through certain operating activities. We do not currently deploy the use of financial derivatives as a hedge against fluctuations in precious metal pricing.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 and procedures</w:t>
      </w:r>
    </w:p>
    <w:p>
      <w:pPr>
        <w:spacing w:after="0" w:line="262"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color w:val="auto"/>
        </w:rPr>
        <w:t>In designing and evaluation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judgement in evaluating the benefits of possible controls relative to their costs.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62"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September 30, 2021,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6" w:right="45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We are, from time to time, party to various claims and legal proceedings arising out of our ordinary course of business, but we do not believe that any of these claims or proceedings will have a material effect on our business, condensed consolidated financial condition or results of operations.</w:t>
      </w:r>
    </w:p>
    <w:p>
      <w:pPr>
        <w:spacing w:after="0" w:line="223" w:lineRule="exact"/>
        <w:rPr>
          <w:sz w:val="20"/>
          <w:szCs w:val="20"/>
          <w:color w:val="auto"/>
        </w:rPr>
      </w:pPr>
    </w:p>
    <w:p>
      <w:pPr>
        <w:ind w:right="220"/>
        <w:spacing w:after="0" w:line="316" w:lineRule="auto"/>
        <w:rPr>
          <w:sz w:val="20"/>
          <w:szCs w:val="20"/>
          <w:color w:val="auto"/>
        </w:rPr>
      </w:pPr>
      <w:r>
        <w:rPr>
          <w:rFonts w:ascii="Arial" w:cs="Arial" w:eastAsia="Arial" w:hAnsi="Arial"/>
          <w:sz w:val="16"/>
          <w:szCs w:val="16"/>
          <w:color w:val="auto"/>
        </w:rPr>
        <w:t>On August 26, 2021, Plaintiff Anna Lerman filed a complaint against the Company in California Superior Court for Ventura County. The complaint alleges, on behalf of a putative class, that the Company recorded telephone calls between the Company’s customers and its customer service representatives without the customers’ consent, in violation of the California Invasion of Privacy Act Sections 631 and 632.7. The plaintiff seeks statutory damages, injunctive relief, attorneys’ fees and costs, and other unspecified damages. The Company has obtained an extension of time to file a response and the time to file such response has not yet passed. The Company believes these claims have no merit, and intends to vigorously defend against this lawsuit, though there can be no assurance regarding its ultimate outcome.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Our business involves significant risk. Stockholders should consider and read carefully all of the risks and uncertainties described below, together with all of the other information included in this Quarterly Report on Form 10-Q, as well as our audited condensed consolidated financial statements and related notes as disclosed in our prospectus, dated September 22, 2021, filed with the Securities and Exchange Commission (“SEC”) in accordance with Rule 424(b) of the Securities Act on September 24, 2021 (the “Prospectus”) in connection with our initial public offering.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market price of our Class A common stock could decline, and you may lose some or all of your investment. This Quarterly Report on Form 10-Q also contains forward-looking statements that involve risks and uncertainties. See “Cautionary Note Regarding Forward-Looking Statements.” Our actual results could differ materially and adversely from those anticipated in these forward-looking statements as a result of certain important factors, including those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35" w:lineRule="exact"/>
        <w:rPr>
          <w:sz w:val="20"/>
          <w:szCs w:val="20"/>
          <w:color w:val="auto"/>
        </w:rPr>
      </w:pPr>
    </w:p>
    <w:p>
      <w:pPr>
        <w:ind w:right="500"/>
        <w:spacing w:after="0" w:line="272" w:lineRule="auto"/>
        <w:rPr>
          <w:sz w:val="20"/>
          <w:szCs w:val="20"/>
          <w:color w:val="auto"/>
        </w:rPr>
      </w:pPr>
      <w:r>
        <w:rPr>
          <w:rFonts w:ascii="Arial" w:cs="Arial" w:eastAsia="Arial" w:hAnsi="Arial"/>
          <w:sz w:val="19"/>
          <w:szCs w:val="19"/>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grown rapidly over the last several years, and our recent growth rates and financial performance should not necessarily be considered indicative of our future performance. We were founded in 2005 and since then, we have grown to 14 showrooms across the U.S. as of today. Additionally, our net sales increased 25.1% from $201.3 million for the year ended December 31, 2019 to $251.8 million for the year ended December 31, 2020 and increased 58.3% from $163.2 million for the nine months ended September 30, 2020 to $258.3 million for the nine months ended September 30, 2021. To effectively manage and capitalize on our growth, we must continue to expand our sales and marketing, continue to open showrooms in strategic locations, focus on innovative product and website development, and upgrade our management information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diffuse and growing employee base. Failure to scale and preserve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culture with growth could harm our future success, including our ability to retain and recruit personnel and to effectively focus on and pursue our corporate objectives.</w:t>
      </w:r>
    </w:p>
    <w:p>
      <w:pPr>
        <w:spacing w:after="0" w:line="204"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Moreover, the vertically integrated nature of our business, where we create our designs, source natural and lab-grown diamonds as well as other gemstones, customize our IT systems, and sell our products exclusively through our own showrooms and custom e-commerce site,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growth strategy contemplates a significant increase in our advertising and other marketing spending, expanding our product offerings, and expanding our showroom presence. Many of our existing showrooms are relatively new, and we cannot assure you that these showrooms or that future showrooms will generate net sales and cash flow comparable with those generated by our more mature showrooms, especially as we move to new geographic markets. We also cannot assure you that there will not be delays in the development of our planned new showrooms, including those that we are currently planning to open by the end of 2021. Moreover, certain occurrences outside of our control may result in the closure of our showrooms or delay the development of new showrooms. For example, as a result of the ongoing COVID-19 pandemic, we temporarily closed all of our showrooms, and while we have reopened all showrooms, we have been under new operating limitations such as limited showroom capacity, including limited in-store appointments, mask guidelines for employees and customers, and other constraints on our previous retail sales strategies. We are unable to predict whether consumer shopping behaviors will change as we make these changes to adjust to the COVID-19 pandemic. Further, many of our showrooms are leased pursuant to multi-year short-term leases, and our ability to negotiate favorable terms on an expiring lease or for a lease renewal option may depend on factors that are not within our control. In addition, our ability to expand our showroom presence depends on our ability to find suitable showroom locations and negotiate acceptable lease terms.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97" w:lineRule="exact"/>
        <w:rPr>
          <w:sz w:val="20"/>
          <w:szCs w:val="20"/>
          <w:color w:val="auto"/>
        </w:rPr>
      </w:pPr>
    </w:p>
    <w:p>
      <w:pPr>
        <w:jc w:val="both"/>
        <w:ind w:right="40"/>
        <w:spacing w:after="0" w:line="246" w:lineRule="auto"/>
        <w:rPr>
          <w:sz w:val="20"/>
          <w:szCs w:val="20"/>
          <w:color w:val="auto"/>
        </w:rPr>
      </w:pPr>
      <w:r>
        <w:rPr>
          <w:rFonts w:ascii="Arial" w:cs="Arial" w:eastAsia="Arial" w:hAnsi="Arial"/>
          <w:sz w:val="19"/>
          <w:szCs w:val="19"/>
          <w:color w:val="auto"/>
        </w:rPr>
        <w:t>The industry for design-driven, responsibly-sourced fine jewelry is rapidly evolving and may not develop as we expect. Even if our net sales continue to increase, our net sales growth rates may decline in the future as a result of a variety of factors, including macroeconomic factors, changes in supply and in the supply chain, changes in consumer preferences, increased competition, and the maturation of our business. As a result, you should not rely on our net sales growth rate for any prior period as an indication of our future performance. Overall growth of our net sales will depend on a number of factors, including our ability to:</w:t>
      </w:r>
    </w:p>
    <w:p>
      <w:pPr>
        <w:spacing w:after="0" w:line="203" w:lineRule="exact"/>
        <w:rPr>
          <w:sz w:val="20"/>
          <w:szCs w:val="20"/>
          <w:color w:val="auto"/>
        </w:rPr>
      </w:pPr>
    </w:p>
    <w:p>
      <w:pPr>
        <w:ind w:left="660" w:right="240" w:hanging="328"/>
        <w:spacing w:after="0" w:line="233"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price our products and services effectively so that we are able to attract new customers, and expand our relationships with existing customers;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accurately forecast our net sales and plan our operating expenses;</w:t>
      </w:r>
    </w:p>
    <w:p>
      <w:pPr>
        <w:ind w:left="660" w:right="260" w:hanging="328"/>
        <w:spacing w:after="0" w:line="281" w:lineRule="auto"/>
        <w:tabs>
          <w:tab w:leader="none" w:pos="6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successfully compete with other companies that are currently in, or may in the future enter, the markets in which we compete, and respond to developments from these competitors such as pricing changes and the introduction of new products and services;</w:t>
      </w:r>
    </w:p>
    <w:p>
      <w:pPr>
        <w:spacing w:after="0" w:line="1" w:lineRule="exact"/>
        <w:rPr>
          <w:rFonts w:ascii="Arial" w:cs="Arial" w:eastAsia="Arial" w:hAnsi="Arial"/>
          <w:sz w:val="16"/>
          <w:szCs w:val="16"/>
          <w:color w:val="auto"/>
        </w:rPr>
      </w:pPr>
    </w:p>
    <w:p>
      <w:pPr>
        <w:ind w:left="640" w:hanging="308"/>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comply with existing and new laws and regulations applicable to our business;</w:t>
      </w:r>
    </w:p>
    <w:p>
      <w:pPr>
        <w:ind w:left="640" w:hanging="308"/>
        <w:spacing w:after="0" w:line="225" w:lineRule="auto"/>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successfully expand in existing markets and enter new markets, including new geographies and categories;</w:t>
      </w:r>
    </w:p>
    <w:p>
      <w:pPr>
        <w:ind w:left="660" w:right="220" w:hanging="328"/>
        <w:spacing w:after="0" w:line="234"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successfully launch new offerings and enhance our products and services and their features, including in response to new trends or competitive dynamics or the needs or preferences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140" w:hanging="328"/>
        <w:spacing w:after="0" w:line="233"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successfully identify and acquire or invest in businesses, products, or technologies that we believe could complement or expand our business;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avoid interruptions or disruptions in distributing our products and services;</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 increase in the supply of natural or lab-grown diamonds could result in a decrease in diamond prices;</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provide customers with high-quality support that meets their needs;</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hire, integrate, and retain talented sales, customer service, and other personnel;</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effectively manage growth of our business, personnel, and operations, including new showroom openings;</w:t>
      </w: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effectively manage our costs related to our business and operations; and</w:t>
      </w:r>
    </w:p>
    <w:p>
      <w:pPr>
        <w:ind w:left="640" w:hanging="308"/>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maintain and enhance our reputation and the value of our brand.</w:t>
      </w: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89"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We also expect to continue to expend substantial financial and other resources to ready our business for growth, and we may fail to allocate our resources in a manner that results in increased net sales growth in our business. Additionally, we may encounter unforeseen operating expenses, challenges, complications, delays, and other unknown factors that may result in losses in future periods. If our net sales growth does not meet our expectations in future periods, our business, financial condition, and results of operations may be harmed, and we may not sustain or increase profitability in the future.</w:t>
      </w:r>
    </w:p>
    <w:p>
      <w:pPr>
        <w:spacing w:after="0" w:line="211"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b w:val="1"/>
          <w:bCs w:val="1"/>
          <w:i w:val="1"/>
          <w:iCs w:val="1"/>
          <w:color w:val="auto"/>
        </w:rPr>
        <w:t>Increases in the costs of diamonds, other gemstones and precious metals, lead times, supply shortages, and supply changes could disrupt our business and have an adverse effect on our operations, financial condition, and results.</w:t>
      </w:r>
    </w:p>
    <w:p>
      <w:pPr>
        <w:spacing w:after="0" w:line="204" w:lineRule="exact"/>
        <w:rPr>
          <w:sz w:val="20"/>
          <w:szCs w:val="20"/>
          <w:color w:val="auto"/>
        </w:rPr>
      </w:pPr>
    </w:p>
    <w:p>
      <w:pPr>
        <w:ind w:right="40"/>
        <w:spacing w:after="0"/>
        <w:rPr>
          <w:sz w:val="20"/>
          <w:szCs w:val="20"/>
          <w:color w:val="auto"/>
        </w:rPr>
      </w:pPr>
      <w:r>
        <w:rPr>
          <w:rFonts w:ascii="Arial" w:cs="Arial" w:eastAsia="Arial" w:hAnsi="Arial"/>
          <w:sz w:val="19"/>
          <w:szCs w:val="19"/>
          <w:color w:val="auto"/>
        </w:rPr>
        <w:t>Meeting customer demand partially depends on our ability to obtain timely and adequate delivery of materials for our products and services. The materials that go into the manufacturing of our products and services are sourced from a limited number of suppliers that are expected to adhere to our strict Supplier Code of Conduct and compliance requirements. Additionally, our natural diamonds in particular are subject to our Beyond Conflict Free Diamonds standards, requiring our suppliers to source diamonds that originate from specific mine operators that follow internationally recognized labor, trade, and environmental standards. Similarly, our gold and silver fine jewelry is crafted from recycled precious metals. Limited supply in the market poses a challenge to source recycled platinum, so we work with our suppliers to source recycled platinum when available and from refiners that are known to use recycled materials in their platinum products. We do not have long-term arrangements with most of our materials suppliers, and disruptions in the supply chain, such as those due to the COVID-19 pandemic, may affect the availability and cost of recycled precious metal, Beyond Conflict Free Diamonds, and other materials used in our products. Additionally, our Beyond Conflict Free Diamonds standards go beyond the Kimberly Process definition of “conflict free” diamonds, which limits our supply of ethically and environmentally sourced diamonds more than other fine jewelers. We are therefore subject to the risk of shortages and long lead times in the supply of these materials, and the risk that our suppliers discontinue or modify materials used in our products.</w:t>
      </w:r>
    </w:p>
    <w:p>
      <w:pPr>
        <w:spacing w:after="0" w:line="211"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In addition, the lead times associated with certain materials are lengthy and may impede or preclude rapid changes in design, quantities, and delivery schedules. Our ability to meet increases in demand has been, and may in the future be, impacted by our reliance on the availability of materials. We have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and may in the future experience supply shortages, and the predictability of the availability of these materials may be limited. In the event of a shortage or interruption of supply of these materials, we may not be able to develop alternate sources in a timely or cost-effective manner. Developing alternate sources of supply for these materials may be time-consuming, difficult, and costly, and we may not be able to source these materials on terms that are acceptable to us, or at all, which may undermine our ability to fill orders in a timely manner. Any interruption or delay in the supply of any of these parts or materials, or the inability to obtain these materials from alternate sources at acceptable prices and within a reasonable amount of time, would harm our ability to timely ship products to our customers.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as since at least the beginning of 2018, there has been increasing rhetoric, in some cases coupled with legislative or executive action, from several U.S. and foreign leaders regarding tariffs against foreign imports of certain materials. Several of the materials that go into the manufacturing of our products are sourced internationally. These issues have been further exacerbated by the COVID-19 pandemic: we have seen, and may continue to see, increased congestion and/or new import/export restrictions implemented at ports that we rely on for our business. In some cases, we have had to secure alternative transportation, such as air freight, or use alternative routes, at increased costs to run our supply chain. These tariffs have an impact on our materials costs and have the potential to have an even greater impact depending on the outcome of the current trade negotiations. Increases in our materials costs could have a material effect on our gross margins. The loss of a significant supplier, an increase in materials costs, or delays or disruptions in the delivery of materials, could adversely impact our ability to generate future net sales and earnings and have an adverse effect on our business, financial condition, and operating results.</w:t>
      </w:r>
    </w:p>
    <w:p>
      <w:pPr>
        <w:spacing w:after="0" w:line="20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i w:val="1"/>
          <w:iCs w:val="1"/>
          <w:color w:val="auto"/>
        </w:rPr>
        <w:t>Our business model relies on maintaining a low cost of production and distribution. Fluctuations in the pricing and supply of diamonds, other gemstones, and precious metals, particularly responsibly sourced natural and lab-grown diamonds and recycled precious metals such as gold, which account for the majority of our merchandise costs, increases in labor costs for manufacturing such as wage rate increases, as well as inflation, and energy prices could adversely impact our earnings and cash availability.</w:t>
      </w:r>
    </w:p>
    <w:p>
      <w:pPr>
        <w:spacing w:after="0" w:line="156" w:lineRule="exact"/>
        <w:rPr>
          <w:sz w:val="20"/>
          <w:szCs w:val="20"/>
          <w:color w:val="auto"/>
        </w:rPr>
      </w:pPr>
    </w:p>
    <w:p>
      <w:pPr>
        <w:ind w:right="660"/>
        <w:spacing w:after="0" w:line="246" w:lineRule="auto"/>
        <w:rPr>
          <w:sz w:val="20"/>
          <w:szCs w:val="20"/>
          <w:color w:val="auto"/>
        </w:rPr>
      </w:pPr>
      <w:r>
        <w:rPr>
          <w:rFonts w:ascii="Arial" w:cs="Arial" w:eastAsia="Arial" w:hAnsi="Arial"/>
          <w:sz w:val="20"/>
          <w:szCs w:val="20"/>
          <w:color w:val="auto"/>
        </w:rPr>
        <w:t>The jewelry industry generally is affected by fluctuations in the price and supply of responsibly sourced natural diamonds, lab-grown diamonds, gold, and other precious and semi-precious metals and gemstones.</w:t>
      </w:r>
    </w:p>
    <w:p>
      <w:pPr>
        <w:spacing w:after="0" w:line="20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mining, production, and inventory policies followed by major producers of rough diamonds can have a significant impact on natural diamond prices and demand, as can the inventory and buying patterns of jewelry retailers and other parties in the supply chain. The availability of diamonds is significantly influenced by the political situation in diamond producing countries and by the Kimberley Process, an inter-governmental agreement for the international trading of rough diamonds. Until acceptable alternative sources of diamonds can be developed, any sustained interruption in the supply of diamonds from significant producing countries, or to the trading in rough and polished diamonds, which could occur as a result of disruption to the Kimberley Process, could adversely affect our business, as well as the retail jewelry market as a whole. In addition, the current Kimberley Process decision-making procedure is dependent on reaching a consensus among member governments, which can result in the protracted resolution of issues, and there is little expectation of significant reform over the long-term. The impact of this review process on the supply of diamonds, and consumers’ perception of the diamond supply chain, is unknown. Our diamonds in particular are subject to our Beyond Conflict Free Diamonds standards requiring our suppliers to source diamonds that originate from specific mine operators who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internationally recognized labor, trade, and environmental standards. The possibility of constraints in the supply of diamonds we require to meet our Beyond Conflict Free Diamonds requirements or our recycled or lab-grown diamonds requirements may result in changes in our supply chain practices. Additionally, a substantial increase in the supply of natural or lab-grown diamonds could result in a change in consumer perception of the value of diamonds as well as a decrease in the price of diamonds, which generally depend on the attributes of the diamond.</w:t>
      </w:r>
    </w:p>
    <w:p>
      <w:pPr>
        <w:spacing w:after="0" w:line="21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Similarly, we use primarily recycled precious metals in our gold and silver fine jewelry. There is a limited supply of recycled platinum, so we work with our suppliers to source recycled platinum when available and from refiners that are known to use recycled materials in their platinum products. In addition, we may from time to time choose to hold more inventory, purchase raw materials at an earlier stage in the supply chain, or enter into commercial agreements of a nature that we currently do not use. Such actions could require the investment of cash and/or additional management skills, and may not resolve supply issues or result in the expected returns and other projected benefits anticipated by management.</w:t>
      </w:r>
    </w:p>
    <w:p>
      <w:pPr>
        <w:spacing w:after="0" w:line="211"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An inability to increase retail prices to reflect higher diamond, gemstone, or precious metal costs would result in lower profitability. There could also be a lag time before particularly sharp increases or other volatility in diamond, gemstones, and precious metal costs can be reflected in retail prices. Even if price changes are implemented, there is no certainty that these changes will be sustainable or sufficient. These factors may cause decreases in gross margins and earnings. In addition, any sustained increases in the cost of diamonds, other gemstones, and precious metals could increase costs, disrupt sales, or require higher inventory levels or changes in the merchandise available to customers.</w:t>
      </w:r>
    </w:p>
    <w:p>
      <w:pPr>
        <w:spacing w:after="0" w:line="21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addition, increases in labor costs for manufacturing due to compensation, wage pressure, and other expenses may adversely affect our profitability. Increases in minimum wages and other wage and hour regulations can exacerbate this risk. Additional tariffs or other future cost increases, such as increases in the cost of merchandise, shipping rates, raw material prices, freight costs, and store occupancy costs, may also reduce our profitability. Inflationary pressures could further reduce our sales or profitability. Increases in other operating costs, including changes in energy prices and lease and utility costs, may increase our cost of products sold or selling, general, and administrative expenses. Our model and competitive pressures in the fine jewelry industry may inhibit our ability to reflect these increased costs in the prices of our products, in which case such increased costs could have a material adverse effect on our business, financial condition, and results of operations.</w:t>
      </w:r>
    </w:p>
    <w:p>
      <w:pPr>
        <w:spacing w:after="0" w:line="21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i w:val="1"/>
          <w:iCs w:val="1"/>
          <w:color w:val="auto"/>
        </w:rPr>
        <w:t>If we fail to cost-effectively turn existing customers into repeat customers or to acquire new customers, our business, financial condition, and results of operations would be harmed.</w:t>
      </w:r>
    </w:p>
    <w:p>
      <w:pPr>
        <w:spacing w:after="0" w:line="204"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The growth of our business is dependent upon our ability to continue to grow by cost-effectively turn existing customers into repeat customers and adding new customers. Although we believe that many of our customers originate from word-of-mouth and other non-paid referrals, we expect to continue to expend resources and run marketing campaigns to acquire additional customers, all of which could impact our overall profitability. If we are not able to continue to expand our customer base or fail to retain customers, our net sales may grow more slowly than expected or decline.</w:t>
      </w: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Gaining market acceptance of the e-commerce and omnichannel approach to shopping for fine jewelry is critical to our continued customer retention and growth. Historically, consumers have been slower to adopt online shopping for fine jewelry than e-commerce offerings in other industries like consumer electronics and apparel. Transitioning the consumer in-store experience to an online platform for fine jewelry is difficult because jewelry tends to be a considered and high-value purchase that consumers like to physically see and touch before making a purchase. Changing traditional fine jewelry retail habits is difficult, and if consumers and retailers do not embrace the transition to an e-commerce and omnichannel fine jewelry retail experience as we expect, our business and operations could be harmed. Moreover, even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40"/>
        <w:spacing w:after="0" w:line="237" w:lineRule="auto"/>
        <w:rPr>
          <w:sz w:val="20"/>
          <w:szCs w:val="20"/>
          <w:color w:val="auto"/>
        </w:rPr>
      </w:pPr>
      <w:r>
        <w:rPr>
          <w:rFonts w:ascii="Arial" w:cs="Arial" w:eastAsia="Arial" w:hAnsi="Arial"/>
          <w:sz w:val="20"/>
          <w:szCs w:val="20"/>
          <w:color w:val="auto"/>
        </w:rPr>
        <w:t>if more consumers begin to shop for fine jewelry online, if we are unable to address their changing needs and anticipate or respond to market trends and new technologies in a timely and cost-efficient manner, we could experience increased customer churn and other negative impacts on our business and results of operations.</w:t>
      </w:r>
    </w:p>
    <w:p>
      <w:pPr>
        <w:spacing w:after="0" w:line="2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ability to attract new customers and increase net sales from existing customers also depends in large part on our ability to enhance and improve our existing products and to introduce new products and services, in each case, in a timely manner. We also must be able to identify and originate trends, as well as anticipate and react to changing consumer demands in a timely manner. The success of new products and services depends on several factors, including their timely introduction and completion, sufficient demand, and cost effectiveness. We are building and improving machine learning models and other technological capabilities to drive improved customer experience, as well as efficiencies in our operations, such as virtual try-ons, virtual appointments with jewelry specialists, optimized payment processing and customer service, and automated key support workflows. While we expect these technologies to lead to improvements in the performance of our business and operations, including inventory prediction and customer traffic prediction and management, any flaws or failures of such technologies could cause interruptions or delays in our service, which may harm our business.</w:t>
      </w:r>
    </w:p>
    <w:p>
      <w:pPr>
        <w:spacing w:after="0" w:line="200" w:lineRule="exact"/>
        <w:rPr>
          <w:sz w:val="20"/>
          <w:szCs w:val="20"/>
          <w:color w:val="auto"/>
        </w:rPr>
      </w:pPr>
    </w:p>
    <w:p>
      <w:pPr>
        <w:ind w:right="3340"/>
        <w:spacing w:after="0" w:line="246" w:lineRule="auto"/>
        <w:rPr>
          <w:sz w:val="20"/>
          <w:szCs w:val="20"/>
          <w:color w:val="auto"/>
        </w:rPr>
      </w:pPr>
      <w:r>
        <w:rPr>
          <w:rFonts w:ascii="Arial" w:cs="Arial" w:eastAsia="Arial" w:hAnsi="Arial"/>
          <w:sz w:val="20"/>
          <w:szCs w:val="20"/>
          <w:color w:val="auto"/>
        </w:rPr>
        <w:t>Our number of customers may decline materially or fluctuate as a result of many factors, including, among other things:</w:t>
      </w:r>
    </w:p>
    <w:p>
      <w:pPr>
        <w:spacing w:after="0" w:line="204"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dissatisfaction with the quality, pricing of, or changes we make to our products and services;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quality, consumer appeal and price of products and services offered by us;</w:t>
      </w:r>
    </w:p>
    <w:p>
      <w:pPr>
        <w:ind w:left="660" w:right="40" w:hanging="328"/>
        <w:spacing w:after="0" w:line="22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intense competition in the fine jewelry retail industry, including certain competitors ability to offer lower prices by not charging sales tax;</w:t>
      </w:r>
    </w:p>
    <w:p>
      <w:pPr>
        <w:ind w:left="640" w:hanging="308"/>
        <w:spacing w:after="0" w:line="225"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negative publicity related to our brand;</w:t>
      </w:r>
    </w:p>
    <w:p>
      <w:pPr>
        <w:ind w:left="640" w:hanging="308"/>
        <w:spacing w:after="0" w:line="225" w:lineRule="auto"/>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lack of market acceptance of our business model, particularly in new geographies where we seek to expand; or</w:t>
      </w: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unpredictable nature of the impact of the COVID-19 pandemic or a future outbreak of disease or similar public health concern.</w:t>
      </w:r>
    </w:p>
    <w:p>
      <w:pPr>
        <w:spacing w:after="0" w:line="236"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In addition, if we are unable to provide high-quality support to customers or help resolve issues in a timely and acceptable manner, our ability to attract and retain customers could be adversely affected. If our number of customers declines or fluctuates for any of these or other reasons, our business would suffer.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plan to expand showrooms in the U.S., which may expose us to significant risks.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growth strategy includes opening new showrooms throughout the U.S. There can be no assurance that we will be able to successfully expand or acquire critical market presence for our brand in new geographical markets in the U.S</w:t>
      </w:r>
      <w:r>
        <w:rPr>
          <w:rFonts w:ascii="Arial" w:cs="Arial" w:eastAsia="Arial" w:hAnsi="Arial"/>
          <w:sz w:val="18"/>
          <w:szCs w:val="18"/>
          <w:i w:val="1"/>
          <w:iCs w:val="1"/>
          <w:color w:val="auto"/>
        </w:rPr>
        <w:t>.</w:t>
      </w:r>
      <w:r>
        <w:rPr>
          <w:rFonts w:ascii="Arial" w:cs="Arial" w:eastAsia="Arial" w:hAnsi="Arial"/>
          <w:sz w:val="18"/>
          <w:szCs w:val="18"/>
          <w:color w:val="auto"/>
        </w:rPr>
        <w:t xml:space="preserve"> Consumer characteristics and competition in new markets may differ substantially from those in the markets where we currently operate. Additionally, we may be unable to develop brand recognition, successfully market our products, or attract new customers in such markets, and we may be unable to identify appropriate locations in such markets. We face many other challenges in opening additional showrooms in the U.S., including:</w:t>
      </w:r>
    </w:p>
    <w:p>
      <w:pPr>
        <w:spacing w:after="0" w:line="189"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selection and availability of and competition for suitable showroom locations;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negotiation of acceptable lease terms;</w:t>
      </w:r>
    </w:p>
    <w:p>
      <w:pPr>
        <w:ind w:left="640" w:hanging="308"/>
        <w:spacing w:after="0" w:line="225"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securing required applicable governmental permits and approvals;</w:t>
      </w:r>
    </w:p>
    <w:p>
      <w:pPr>
        <w:ind w:left="640" w:hanging="308"/>
        <w:spacing w:after="0" w:line="225"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impact of natural disasters and other acts of nature and terrorist acts or political instability;</w:t>
      </w: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employment, training, and retention of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66" w:name="page67"/>
    <w:bookmarkEnd w:id="6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incurrence or assumption of debt to finance acquisitions or improvements and/or the assumption of long-term, non-cancelable leases;</w:t>
      </w:r>
    </w:p>
    <w:p>
      <w:pPr>
        <w:spacing w:after="0" w:line="48" w:lineRule="exact"/>
        <w:rPr>
          <w:rFonts w:ascii="Arial" w:cs="Arial" w:eastAsia="Arial" w:hAnsi="Arial"/>
          <w:sz w:val="16"/>
          <w:szCs w:val="16"/>
          <w:color w:val="auto"/>
        </w:rPr>
      </w:pPr>
    </w:p>
    <w:p>
      <w:pPr>
        <w:ind w:left="640" w:hanging="308"/>
        <w:spacing w:after="0" w:line="225" w:lineRule="auto"/>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availability of financing on acceptable terms; and</w:t>
      </w: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general economic and business conditions.</w:t>
      </w:r>
    </w:p>
    <w:p>
      <w:pPr>
        <w:spacing w:after="0" w:line="213"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Should we not succeed in opening additional showrooms, there may be adverse impacts to our growth strategy and to our ability to generate additional profits, which in turn could materially and adversely affect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COVID-19 pandemic has had, and may in the future continue to have, a material adverse impact on our business.</w:t>
      </w:r>
    </w:p>
    <w:p>
      <w:pPr>
        <w:spacing w:after="0" w:line="229"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The COVID-19 pandemic and the travel restrictions, quarantines, other and related public health measures and actions taken by governments and the private sector have adversely affected global</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economies, financial markets, and the overall environment for our business, and the extent to which it may continue to impact our future results of operations and overall financial performance remains uncertain. The global macroeconomic effects of the pandemic may persist for an indefinite period of time, even after the pandemic has subsided.</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As a result of the pandemic and the recommendations of government and health authorities, our showrooms closed to the public beginning in March 2020. We began reopening our showrooms to the public in May 2020 and, by the end of June 2020, we completed the reopening of all our showrooms. While we expect to be able to continue operations for the duration of the pandemic, our operations were and are still subject to local or regional public health orders, including temporary government-mandated closures, which may impact our showrooms or other operations. Social distancing protocols, government mandated occupancy limitations, and general consumer behaviors due to COVID-19 may continue to negatively impact showroom traffic, which may negatively impact sales in our showrooms. Such negative impacts may be exacerbated during peak traffic times such as the holiday shopping season. Further, while we have implemented strict safety protocols in showrooms that we have re-opened, there is no guarantee that such protocols will be effective or be perceived as effective, and any virus-related illnesses linked or alleged to be linked to our showrooms, whether accurate or not, may negatively affect our reputation, operating results, and/or financial condition. The COVID-19 pandemic also has disrupted the Company’s global supply chain, and may cause additional disruptions to operations, including increased costs of production and distribution and longer fulfillment times. For example, we faced production capacity issues in crafting sufficient quantities of certain products in 2020 due to government shutdowns, as well as disruption in jewelry manufacturing and sourcing of diamonds and gemstones, which could continue into 2022 and beyond due to the pandemic.</w:t>
      </w:r>
    </w:p>
    <w:p>
      <w:pPr>
        <w:spacing w:after="0" w:line="221" w:lineRule="exact"/>
        <w:rPr>
          <w:sz w:val="20"/>
          <w:szCs w:val="20"/>
          <w:color w:val="auto"/>
        </w:rPr>
      </w:pPr>
    </w:p>
    <w:p>
      <w:pPr>
        <w:ind w:right="280"/>
        <w:spacing w:after="0" w:line="272" w:lineRule="auto"/>
        <w:rPr>
          <w:sz w:val="20"/>
          <w:szCs w:val="20"/>
          <w:color w:val="auto"/>
        </w:rPr>
      </w:pPr>
      <w:r>
        <w:rPr>
          <w:rFonts w:ascii="Arial" w:cs="Arial" w:eastAsia="Arial" w:hAnsi="Arial"/>
          <w:sz w:val="19"/>
          <w:szCs w:val="19"/>
          <w:color w:val="auto"/>
        </w:rPr>
        <w:t>COVID-19 and related governmental reactions have had and may continue to have a negative impact on our financial condition, business, and results of operations due to the occurrence of some or all of the following events or circumstances, among others:</w:t>
      </w:r>
    </w:p>
    <w:p>
      <w:pPr>
        <w:spacing w:after="0" w:line="180" w:lineRule="exact"/>
        <w:rPr>
          <w:sz w:val="20"/>
          <w:szCs w:val="20"/>
          <w:color w:val="auto"/>
        </w:rPr>
      </w:pPr>
    </w:p>
    <w:p>
      <w:pPr>
        <w:ind w:left="660" w:right="180" w:hanging="328"/>
        <w:spacing w:after="0" w:line="256"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showroom capacity, including limited in-store appointments; our and our third-party suppliers’, contract manufacturers’, logistics providers’, and other business partners’ inability to operate worksites, including manufacturing facilities and shipping and fulfillment centers, due to employee illness or reluctance to appear at work, or “stay-at-home” regulations;</w:t>
      </w:r>
    </w:p>
    <w:p>
      <w:pPr>
        <w:spacing w:after="0" w:line="1" w:lineRule="exact"/>
        <w:rPr>
          <w:rFonts w:ascii="Arial" w:cs="Arial" w:eastAsia="Arial" w:hAnsi="Arial"/>
          <w:sz w:val="18"/>
          <w:szCs w:val="18"/>
          <w:color w:val="auto"/>
        </w:rPr>
      </w:pPr>
    </w:p>
    <w:p>
      <w:pPr>
        <w:ind w:left="640" w:hanging="308"/>
        <w:spacing w:after="0" w:line="225" w:lineRule="auto"/>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longer wait times and delayed responses to customer support inquiries and requests;</w:t>
      </w:r>
    </w:p>
    <w:p>
      <w:pPr>
        <w:ind w:left="660" w:right="620" w:hanging="328"/>
        <w:spacing w:after="0" w:line="225"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our inability to meet consumer demand and delays in the delivery of our products to our customers, which could also result in reputational harm and damaged customer relationships;</w:t>
      </w:r>
    </w:p>
    <w:p>
      <w:pPr>
        <w:ind w:left="660" w:right="460" w:hanging="328"/>
        <w:spacing w:after="0" w:line="225"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increased rates of post-purchase order cancellation, or consumer claims and litigation as a result of long delivery lead times and delivery reschedules;</w:t>
      </w: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increased return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120" w:hanging="328"/>
        <w:spacing w:after="0" w:line="23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inventory shortages caused by any combination of increased demand that has been difficult to predict with accuracy, longer lead-times and/or material shortages, work restrictions related to COVID-19, import/export conditions such as port congestion, and local government orders;</w:t>
      </w:r>
    </w:p>
    <w:p>
      <w:pPr>
        <w:spacing w:after="0" w:line="2" w:lineRule="exact"/>
        <w:rPr>
          <w:rFonts w:ascii="Arial" w:cs="Arial" w:eastAsia="Arial" w:hAnsi="Arial"/>
          <w:sz w:val="20"/>
          <w:szCs w:val="20"/>
          <w:color w:val="auto"/>
        </w:rPr>
      </w:pPr>
    </w:p>
    <w:p>
      <w:pPr>
        <w:ind w:left="660" w:right="400" w:hanging="328"/>
        <w:spacing w:after="0" w:line="237" w:lineRule="auto"/>
        <w:tabs>
          <w:tab w:leader="none" w:pos="648" w:val="left"/>
        </w:tabs>
        <w:numPr>
          <w:ilvl w:val="0"/>
          <w:numId w:val="22"/>
        </w:numPr>
        <w:rPr>
          <w:rFonts w:ascii="Arial" w:cs="Arial" w:eastAsia="Arial" w:hAnsi="Arial"/>
          <w:sz w:val="19"/>
          <w:szCs w:val="19"/>
          <w:color w:val="auto"/>
        </w:rPr>
      </w:pPr>
      <w:r>
        <w:rPr>
          <w:rFonts w:ascii="Arial" w:cs="Arial" w:eastAsia="Arial" w:hAnsi="Arial"/>
          <w:sz w:val="19"/>
          <w:szCs w:val="19"/>
          <w:color w:val="auto"/>
        </w:rPr>
        <w:t>interruptions in manufacturing (including the sourcing of key materials), shipment, and delivery of our products; for example, in certain instances, our business partners’ have temporarily closed certain manufacturing facilities for short periods of time, particularly in India, in response to COVID-19, which has caused longer fulfillment times for products;</w:t>
      </w:r>
    </w:p>
    <w:p>
      <w:pPr>
        <w:ind w:left="660" w:right="420" w:hanging="328"/>
        <w:spacing w:after="0" w:line="225"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inability to manage our business effectively due to key employees becoming ill, working from home inefficiently, and being unable to travel to our showrooms and distribution centers;</w:t>
      </w:r>
    </w:p>
    <w:p>
      <w:pPr>
        <w:ind w:left="660" w:right="100" w:hanging="328"/>
        <w:spacing w:after="0" w:line="225"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disruptions of the operations of our third-party suppliers, which could impact our ability to purchase materials at efficient prices and in sufficient amounts; and</w:t>
      </w: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incurrence of significant increases to employee health care and benefits costs.</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scope and duration of the pandemic, including the current resurgences in various regions in the U.S. and globally and other future resurgences, the pace at which government restrictions are lifted or whether additional actions may be taken to contain the virus, the impact on our customers and suppliers, the speed and extent to which markets recover from the disruptions caused by the pandemic, and the impact of these factors on our business, will depend on future developments that are highly uncertain and cannot be predicted with confidence. It is possible that changes in economic conditions and steps taken by the federal government and the Federal Reserve in response to the COVID-19 pandemic could lead to higher inflation than we had anticipated, which could in turn lead to an increase in our costs of products and services and other operating expenses. In addition, to the extent COVID-19 adversely affects our operations and global economic conditions more generally, it may also have the effect of heightening many of the other risks described herein.</w:t>
      </w:r>
    </w:p>
    <w:p>
      <w:pPr>
        <w:spacing w:after="0" w:line="198" w:lineRule="exact"/>
        <w:rPr>
          <w:sz w:val="20"/>
          <w:szCs w:val="20"/>
          <w:color w:val="auto"/>
        </w:rPr>
      </w:pPr>
    </w:p>
    <w:p>
      <w:pPr>
        <w:ind w:right="260"/>
        <w:spacing w:after="0" w:line="244" w:lineRule="auto"/>
        <w:rPr>
          <w:sz w:val="20"/>
          <w:szCs w:val="20"/>
          <w:color w:val="auto"/>
        </w:rPr>
      </w:pPr>
      <w:r>
        <w:rPr>
          <w:rFonts w:ascii="Arial" w:cs="Arial" w:eastAsia="Arial" w:hAnsi="Arial"/>
          <w:sz w:val="19"/>
          <w:szCs w:val="19"/>
          <w:color w:val="auto"/>
        </w:rPr>
        <w:t>While we believe that the long-term fundamentals of our business are sound, and anticipate that our operating results in future fiscal years will begin to reflect a more normal operating environment, the current economic and public health climate has created a high degree of uncertainty. As such, we continue to closely monitor this global health crisis and will continue to reassess our strategy and operational structure on a regular, ongoing basis as the situation evolves. See “Management’s Discussion and Analysis of Financial Condition and Results of Operations” for more details on the potential impact of the COVID-19 pandemic and associated economic disruptions, and the actual operational and financial impacts that we have experienced to date.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a history of losses, and we may be unable to sustain profitability.</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We have a history of incurring net losses. While we earned net income of $21.6 million for the year ended December 31, 2020, for the year ended December 31, 2019 we incurred net losses of $7.8 million. We earned net income of $14.8 million for the nine months ended September 30, 2021, compared to $8.2 million for the nine months ended September 30, 2020. Because we have a short operating history at scale, it is difficult for us to predict our future operating results. We will need to generate and sustain increased revenue and manage our costs to sustain profitability. Even if we do, we may not be able to sustain or increase our profitability.</w:t>
      </w:r>
    </w:p>
    <w:p>
      <w:pPr>
        <w:spacing w:after="0" w:line="203"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While we have experienced significant revenue growth in recent periods, it is possible that this growth rate will decline or reverse in future periods, for example, our revenue declined year-over-year in the second quarter of 2020 due to the impacts of the COVID-19 pandemic, but we experienced strong growth in the second half of the year ended December 31, 2020, during which revenue grew year-over-year by 38.8% and also in the nine months ended September 30, 2021, during which revenue grew year-over-year by 58.3%.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Our ability to generate profit depends on our ability to grow our number of customers and drive operational efficiencies in our business to generate better margins. We expect to incur increased operating costs in the near term in order to:</w:t>
      </w:r>
    </w:p>
    <w:p>
      <w:pPr>
        <w:spacing w:after="0" w:line="20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increase the engagement of customers;</w:t>
      </w:r>
    </w:p>
    <w:p>
      <w:pPr>
        <w:spacing w:after="0" w:line="2" w:lineRule="exact"/>
        <w:rPr>
          <w:rFonts w:ascii="Arial" w:cs="Arial" w:eastAsia="Arial" w:hAnsi="Arial"/>
          <w:sz w:val="20"/>
          <w:szCs w:val="20"/>
          <w:color w:val="auto"/>
        </w:rPr>
      </w:pPr>
    </w:p>
    <w:p>
      <w:pPr>
        <w:ind w:left="640" w:hanging="308"/>
        <w:spacing w:after="0" w:line="237" w:lineRule="auto"/>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drive adoption of our products and services, and increase awareness of our brand, through marketing and other campaigns;</w:t>
      </w:r>
    </w:p>
    <w:p>
      <w:pPr>
        <w:ind w:left="640" w:hanging="308"/>
        <w:spacing w:after="0" w:line="225" w:lineRule="auto"/>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enhance our products and services with new designs and offerings; and</w:t>
      </w: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invest in our operations to support the growth in our business, including by opening additional showrooms.</w:t>
      </w:r>
    </w:p>
    <w:p>
      <w:pPr>
        <w:spacing w:after="0" w:line="213"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We may discover that these initiatives are more expensive than we currently anticipate, and we may not succeed in increasing our net sales sufficiently to offset these expenses or realize the benefits we anticipate. We will also face greater compliance costs associated with the increased scope of our business and being a public company. Any failure to adequately increase net sales or manage operating costs could prevent us from sustaining or increasing profitability. As we expand our offerings and our showroom presence, we may be less profitable than we are now. Additionally, we may not realize the operating efficiencies we expect to achieve through our efforts to scale the business, reduce friction in the shopping experience, and optimize costs such as payments to raw material suppliers, payment processing, and customer support. As such, due to these factors and others, we may not be able to sustain or increase profitability in the near term or at all. If we are unable to sustain or increase profitability, the value of our business and the trading price of our Class A common stock may be negatively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fine jewelry retail industry is highly competitive, and if we do not compete successfully, our business may be adversely impacted.</w:t>
      </w:r>
    </w:p>
    <w:p>
      <w:pPr>
        <w:spacing w:after="0" w:line="275"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We operate in a competitive industry. Our primary competitors include global jewelry retailers and brands, department stores, and independent stores, many of which have an online presence. In addition, other retail categories and forms of expenditure, such as electronics and travel, also compete for consumers’ discretionary spending, particularly during the holiday gift giving season. The price of fine jewelry relative to other products also influences consumer spending habits for fine jewelry.</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9"/>
          <w:szCs w:val="19"/>
          <w:color w:val="auto"/>
        </w:rPr>
        <w:t>Many of our competitors have greater financial and operational resources, longer operating histories,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 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responsible fine jewelry. These competitors can advantageously leverage this structure to better compete with us, and certain vertically-integrated organizations with significant market power could potentially utilize this power to make it more difficult for us to compete. We purchase some of our products from suppliers who are affiliates of our competitors. In addition, if any of our competitors were to consolidate operations, such consolidation could exacerbate these risks.</w:t>
      </w:r>
    </w:p>
    <w:p>
      <w:pPr>
        <w:spacing w:after="0" w:line="213" w:lineRule="exact"/>
        <w:rPr>
          <w:sz w:val="20"/>
          <w:szCs w:val="20"/>
          <w:color w:val="auto"/>
        </w:rPr>
      </w:pPr>
    </w:p>
    <w:p>
      <w:pPr>
        <w:ind w:right="660"/>
        <w:spacing w:after="0" w:line="246" w:lineRule="auto"/>
        <w:rPr>
          <w:sz w:val="20"/>
          <w:szCs w:val="20"/>
          <w:color w:val="auto"/>
        </w:rPr>
      </w:pPr>
      <w:r>
        <w:rPr>
          <w:rFonts w:ascii="Arial" w:cs="Arial" w:eastAsia="Arial" w:hAnsi="Arial"/>
          <w:sz w:val="20"/>
          <w:szCs w:val="20"/>
          <w:color w:val="auto"/>
        </w:rPr>
        <w:t>We may not be able to continue to successfully compete against existing or future competitors. Our inability to respond effectively to competitive pressures, improved performance by our competitors,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69" w:name="page70"/>
    <w:bookmarkEnd w:id="6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changes in the retail markets could result in lost market share and have material adverse effects on our business, financial condition, and results of operations.</w:t>
      </w:r>
    </w:p>
    <w:p>
      <w:pPr>
        <w:spacing w:after="0" w:line="204"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b w:val="1"/>
          <w:bCs w:val="1"/>
          <w:i w:val="1"/>
          <w:iCs w:val="1"/>
          <w:color w:val="auto"/>
        </w:rPr>
        <w:t>Our profitability and cash flows may be negatively affected if we are not successful in managing our inventory balances and inventory shrinkage.</w:t>
      </w:r>
    </w:p>
    <w:p>
      <w:pPr>
        <w:spacing w:after="0" w:line="2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Efficient inventory management is a key component of our business success and profitability. Our inventory management requires us to maintain the optimal mix of products to meet customer demand. To be successful, we keep our inventory low while still maintaining sufficient inventory levels, both in store and virtually, to meet our customers’ demands without allowing those levels to increase to such an extent that the costs to hold the goods unduly impacts our financial results. We must balance the need to maintain inventory levels that are sufficient to ensure competitive lead times against the risk of inventory obsolescence because of changing customer requirements, fluctuating commodity prices, changes to our products, product transfers or the life cycle of our products. For example, we faced production capacity issues in crafting sufficient quantities of certain products in 2020 due to government shutdowns in response to COVID-19, which could continue in 2021 and beyond.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Conversely, if we underestimate future demand for a particular product or do not respond quickly enough to replenish our best performing products, we may have a shortfall in inventory of such products, likely leading to unfulfilled orders, reduced net sales, and customer dissatisfaction.</w:t>
      </w:r>
    </w:p>
    <w:p>
      <w:pPr>
        <w:spacing w:after="0" w:line="19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facilities or those of our third-party suppliers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9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i w:val="1"/>
          <w:iCs w:val="1"/>
          <w:color w:val="auto"/>
        </w:rPr>
        <w:t>We derive a significant portion of our revenue from sales of our Create Your Own rings. A decline in sales of our Create Your Own rings would negatively affect our business, financial condition, and results of operations.</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We derive a significant portion of our revenue from the sale of our Create Your Own rings. Our fine jewelry is sold in highly competitive markets with limited barriers to entry. Introduction by competitors of comparable products at lower price points, a maturing product lifecycle, a decline in consumer spending, or other factors could result in a material decline in our revenue. Because we derive a significant amount of our revenue from the sale of our Create Your Own rings, any material decline in sales of our Create Your Own rings would have a material adverse impact on our business, financial condition, and operating results.</w:t>
      </w:r>
    </w:p>
    <w:p>
      <w:pPr>
        <w:spacing w:after="0" w:line="20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b w:val="1"/>
          <w:bCs w:val="1"/>
          <w:i w:val="1"/>
          <w:iCs w:val="1"/>
          <w:color w:val="auto"/>
        </w:rPr>
        <w:t>If we fail to maintain and enhance our brand, our ability to engage or expand our base of customers may be impaired and our business, financial condition, and results of operations may suffer.</w:t>
      </w:r>
    </w:p>
    <w:p>
      <w:pPr>
        <w:spacing w:after="0" w:line="204" w:lineRule="exact"/>
        <w:rPr>
          <w:sz w:val="20"/>
          <w:szCs w:val="20"/>
          <w:color w:val="auto"/>
        </w:rPr>
      </w:pPr>
    </w:p>
    <w:p>
      <w:pPr>
        <w:ind w:right="100"/>
        <w:spacing w:after="0" w:line="248" w:lineRule="auto"/>
        <w:rPr>
          <w:sz w:val="20"/>
          <w:szCs w:val="20"/>
          <w:color w:val="auto"/>
        </w:rPr>
      </w:pPr>
      <w:r>
        <w:rPr>
          <w:rFonts w:ascii="Arial" w:cs="Arial" w:eastAsia="Arial" w:hAnsi="Arial"/>
          <w:sz w:val="19"/>
          <w:szCs w:val="19"/>
          <w:color w:val="auto"/>
        </w:rPr>
        <w:t>Maintaining and enhancing our reputation as an authentic, socially conscious, inclusive, and innovative company is critical to attracting and expanding our relationships with customers. The successful promotion of our brand and the market’s awareness of our products and services will depend on a number of factors, including our marketing efforts, ability to continue to develop our products and services, and ability to successfully differentiate our offerings and customer experiences from those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70" w:name="page71"/>
    <w:bookmarkEnd w:id="7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products, services, and customer experiences. Brand promotion activities may not yield increased net sales, and even if they do, the increased net sales may not offset the expenses we incur in promoting and maintaining our brand and reputation. In order to protect our brand, we also expend substantial resources to regist</w:t>
      </w:r>
      <w:r>
        <w:rPr>
          <w:rFonts w:ascii="Arial" w:cs="Arial" w:eastAsia="Arial" w:hAnsi="Arial"/>
          <w:sz w:val="15"/>
          <w:szCs w:val="15"/>
          <w:color w:val="auto"/>
        </w:rPr>
        <w:t>er</w:t>
      </w:r>
      <w:r>
        <w:rPr>
          <w:rFonts w:ascii="Arial" w:cs="Arial" w:eastAsia="Arial" w:hAnsi="Arial"/>
          <w:sz w:val="18"/>
          <w:szCs w:val="18"/>
          <w:color w:val="auto"/>
        </w:rPr>
        <w:t xml:space="preserve">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Unfavorable publicity about our brand or products, including perceived quality and safety, customer service, or privacy practices, whether or not true or untrue, could also harm our reputation and diminish confidence in, and the popularity of, our products and services. In addition, negative publicity related to key brands with which we have partnered or with our third party suppliers, including any reputational issues arising from their failure to comply with applicable law, including environmental law, may damage our reputation, even if the publicity is not directly related to us. Our brand or reputation could also be adversely impacted if industry organizations were to find we did not or no longer meet their standards or membership criteria. 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results of operations may suffer.</w:t>
      </w:r>
    </w:p>
    <w:p>
      <w:pPr>
        <w:spacing w:after="0" w:line="198"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b w:val="1"/>
          <w:bCs w:val="1"/>
          <w:i w:val="1"/>
          <w:iCs w:val="1"/>
          <w:color w:val="auto"/>
        </w:rPr>
        <w:t>Our marketing efforts to help grow our business may not be effective, and failure to effectively develop and expand our sales and marketing capabilities could harm our ability to increase our customer base and achieve broader market acceptance of our e-commerce and omnichannel approach to shopping for fine jewelry.</w:t>
      </w:r>
    </w:p>
    <w:p>
      <w:pPr>
        <w:spacing w:after="0" w:line="21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Promoting awareness of our products and services is important to our ability to grow our business, and attracting new customers can be costly. Our marketing efforts include traditional media and online advertising, as well as third-party social media platforms such as Facebook, Twitter, and Instagram, as marketing tools. As traditional advertising, online, and social media platforms continue to rapidly evolve or grow more competitive, we must continue to maintain a presence on these platforms and establish a presence on new or emerging popular social media and advertising and marketing platforms.</w:t>
      </w:r>
    </w:p>
    <w:p>
      <w:pPr>
        <w:spacing w:after="0" w:line="211" w:lineRule="exact"/>
        <w:rPr>
          <w:sz w:val="20"/>
          <w:szCs w:val="20"/>
          <w:color w:val="auto"/>
        </w:rPr>
      </w:pPr>
    </w:p>
    <w:p>
      <w:pPr>
        <w:ind w:right="40"/>
        <w:spacing w:after="0"/>
        <w:rPr>
          <w:sz w:val="20"/>
          <w:szCs w:val="20"/>
          <w:color w:val="auto"/>
        </w:rPr>
      </w:pPr>
      <w:r>
        <w:rPr>
          <w:rFonts w:ascii="Arial" w:cs="Arial" w:eastAsia="Arial" w:hAnsi="Arial"/>
          <w:sz w:val="19"/>
          <w:szCs w:val="19"/>
          <w:color w:val="auto"/>
        </w:rPr>
        <w:t>Many customers locate our platform through internet search engines, such as Google and Facebook, and advertisements on social networking sites and online streaming services. If we are listed less prominently or fail to appear in search results for any reason, visits to our website could decline significantly, and we may not be able to replace this traffic. Search engines revise their algorithms from time to time in an attempt to optimize their search results. If the search engines on which we rely for algorithmic listings modify their algorithms, we may appear less prominently or not at all in search results, which could result in reduced traffic to our website that we may not be able to replace. Additionally, if the costs of search engine marketing services, such as Google AdWords,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 Furthermore, social media platforms, search engines, and video streaming services may change their advertising policies from time to time. If any change to these policies delays or prevents us fro</w:t>
      </w:r>
      <w:r>
        <w:rPr>
          <w:rFonts w:ascii="Arial" w:cs="Arial" w:eastAsia="Arial" w:hAnsi="Arial"/>
          <w:sz w:val="16"/>
          <w:szCs w:val="16"/>
          <w:color w:val="auto"/>
        </w:rPr>
        <w:t>m</w:t>
      </w:r>
      <w:r>
        <w:rPr>
          <w:rFonts w:ascii="Arial" w:cs="Arial" w:eastAsia="Arial" w:hAnsi="Arial"/>
          <w:sz w:val="19"/>
          <w:szCs w:val="19"/>
          <w:color w:val="auto"/>
        </w:rPr>
        <w:t xml:space="preserve"> advertising through these channels, it could result in reduced traffic to our website and sales. If we cannot cost effectively use these marketing tools, if we fail to promote our products and services efficiently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1" w:name="page72"/>
    <w:bookmarkEnd w:id="7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effectively, or if our marketing campaigns attract negative media attention, our business, financial condition, and results of operations may be adversely affected.</w:t>
      </w:r>
    </w:p>
    <w:p>
      <w:pPr>
        <w:spacing w:after="0" w:line="20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net sales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209"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Our ability to grow our marketing efforts depends to a significant extent on our ability to expand our sales and marketing organization. We plan to continue expanding our sales force, both in the U.S. and in Canada, and may further expand internationally in the future. We also plan to dedicate significant resources to sales and marketing programs. All of these efforts will require us to invest significant financial and other resources, including in channels and locations in which we have limited experience to date. We may not achieve anticipated net sales growth from expanding our sales force if we are unable to hire, develop, integrate, and retain talented and effective sales personnel, or if our new and existing sales personnel are unable to achieve desired productivity levels in a reasonable period of time. In addition, our efforts to acquire customers through direct marketing may subject us to increased regulatory scrutiny by state regulators pursuant to unfair methods of competition or unfair or deceptive acts or practices laws, which may impact our ability to achieve anticipated net sales growth from increased direct marketing.</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w:t>
      </w:r>
    </w:p>
    <w:p>
      <w:pPr>
        <w:spacing w:after="0" w:line="210"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A variety of organizations measure the performance of companies on ESG topics, and the results of these assessments are widely publicized. In addition, investment in funds that specialize in companies that perform well in such assessments are increasingly popular, and major institutional investors have publicly emphasized the importance of ESG measures to their investment decisions. Topics taken into account in such assessments include, among others, the company’s efforts and impacts, including impacts associated with our suppliers or other partners, on climate change and human rights, ethics and compliance with law, diversity, and the role of the company’s board of directors in supervising various sustainability issues.</w:t>
      </w:r>
    </w:p>
    <w:p>
      <w:pPr>
        <w:spacing w:after="0" w:line="211" w:lineRule="exact"/>
        <w:rPr>
          <w:sz w:val="20"/>
          <w:szCs w:val="20"/>
          <w:color w:val="auto"/>
        </w:rPr>
      </w:pPr>
    </w:p>
    <w:p>
      <w:pPr>
        <w:ind w:right="20"/>
        <w:spacing w:after="0" w:line="243" w:lineRule="auto"/>
        <w:rPr>
          <w:sz w:val="20"/>
          <w:szCs w:val="20"/>
          <w:color w:val="auto"/>
        </w:rPr>
      </w:pPr>
      <w:r>
        <w:rPr>
          <w:rFonts w:ascii="Arial" w:cs="Arial" w:eastAsia="Arial" w:hAnsi="Arial"/>
          <w:sz w:val="19"/>
          <w:szCs w:val="19"/>
          <w:color w:val="auto"/>
        </w:rPr>
        <w:t>In light of investors’ increased focus on ESG matters, there can be no certainty that we will manage such issues successfully, or that we will successfully meet society’s expectations as to our proper role or our own ESG goals and values, including in respect of our diamond sourcing standards. This could lead to risk of litigation or reputational damage relating to our ESG policies or performance.</w:t>
      </w:r>
    </w:p>
    <w:p>
      <w:pPr>
        <w:ind w:right="60"/>
        <w:spacing w:after="0" w:line="241" w:lineRule="auto"/>
        <w:rPr>
          <w:sz w:val="20"/>
          <w:szCs w:val="20"/>
          <w:color w:val="auto"/>
        </w:rPr>
      </w:pPr>
      <w:r>
        <w:rPr>
          <w:rFonts w:ascii="Arial" w:cs="Arial" w:eastAsia="Arial" w:hAnsi="Arial"/>
          <w:sz w:val="19"/>
          <w:szCs w:val="19"/>
          <w:color w:val="auto"/>
        </w:rPr>
        <w:t>Further, our emphasis on ESG issues may not maximize short-term financial results and may yield financial results that conflict with the market’s expectations. We have and may in the future make business decisions that may reduce our short-term financial results if we believe that the decisions are consistent with our ESG goals, which we believe will improve our financial results over the long-term. These decisions may not be consistent with the short-term expectations of our stockholders and may not produce the long-term benefits that we expect, in which case our business, financial condition, and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72" w:name="page73"/>
    <w:bookmarkEnd w:id="7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color w:val="auto"/>
        </w:rPr>
        <w:t>Our e-commerce and omnichannel business faces distinct risks, and our failure to successfully manage those risks could have a negative impact on our profitability.</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As an e-commerce and omnichannel retailer, we encounter risks and difficulties frequently experienced by internet-based businesses. The successful operation of our business as well as our ability to provide a positive shopping experience that will generate orders and drive subsequent visits depends on efficient and uninterrupted operation of our order-taking and fulfillment operations. Risks associated with our e-commerce and omnichannel business include:</w:t>
      </w:r>
    </w:p>
    <w:p>
      <w:pPr>
        <w:spacing w:after="0" w:line="210" w:lineRule="exact"/>
        <w:rPr>
          <w:sz w:val="20"/>
          <w:szCs w:val="20"/>
          <w:color w:val="auto"/>
        </w:rPr>
      </w:pPr>
    </w:p>
    <w:p>
      <w:pPr>
        <w:ind w:left="660" w:right="400" w:hanging="328"/>
        <w:spacing w:after="0" w:line="256"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associated with our websites,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1" w:lineRule="exact"/>
        <w:rPr>
          <w:rFonts w:ascii="Arial" w:cs="Arial" w:eastAsia="Arial" w:hAnsi="Arial"/>
          <w:sz w:val="18"/>
          <w:szCs w:val="18"/>
          <w:color w:val="auto"/>
        </w:rPr>
      </w:pP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disruptions in internet service or power outages;</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reliance on third parties for computer hardware and software, as well as delivery of merchandise to our customers;</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rapid technology changes;</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credit or debit card fraud and other payment processing related issues;</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changes in applicable federal, state, and international regulations;</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liability for online content;</w:t>
      </w:r>
    </w:p>
    <w:p>
      <w:pPr>
        <w:ind w:left="640" w:hanging="308"/>
        <w:spacing w:after="0" w:line="225" w:lineRule="auto"/>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cybersecurity and data privacy concerns and regulation; and</w:t>
      </w: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natural disasters or adverse weather conditions.</w:t>
      </w:r>
    </w:p>
    <w:p>
      <w:pPr>
        <w:spacing w:after="0" w:line="213"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In addition, we must keep up to date with competitive technology trends, including the use of new or improved technology, creative user interfaces, virtual and augmented reality, and other e-commerce marketing tools such as paid search and mobile applications (“apps”), among others, which may increase our costs and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209" w:lineRule="exact"/>
        <w:rPr>
          <w:sz w:val="20"/>
          <w:szCs w:val="20"/>
          <w:color w:val="auto"/>
        </w:rPr>
      </w:pPr>
    </w:p>
    <w:p>
      <w:pPr>
        <w:ind w:right="440"/>
        <w:spacing w:after="0" w:line="368" w:lineRule="auto"/>
        <w:rPr>
          <w:sz w:val="20"/>
          <w:szCs w:val="20"/>
          <w:color w:val="auto"/>
        </w:rPr>
      </w:pPr>
      <w:r>
        <w:rPr>
          <w:rFonts w:ascii="Arial" w:cs="Arial" w:eastAsia="Arial" w:hAnsi="Arial"/>
          <w:sz w:val="16"/>
          <w:szCs w:val="16"/>
          <w:b w:val="1"/>
          <w:bCs w:val="1"/>
          <w:i w:val="1"/>
          <w:iCs w:val="1"/>
          <w:color w:val="auto"/>
        </w:rPr>
        <w:t>If we are unable to effectively anticipate and respond to changes in consumer preferences and shopping patterns, or are unable to introduce new products or programs that appeal to new or existing customers, our sales and profitability could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Our continued success depends on our ability to anticipate and respond in a timely and cost-effective manner to changes in consumer preferences for jewelry, natural and lab-grown diamonds and gemstones in particular, and other luxury goods, as well as attitudes towards the global jewelry industry as a whole, and the manner and locations in which consumers purchase such goods. Our business is subject to rapidly changing consumer preferences and future sales may suffer if the consumer preferences shift away from our product offerings or styles. Changes in fashion could also affect the popularity and, therefore, the value of engagement ring and fine jewelry designs and products. Any event or circumstance resulting in reduced market acceptance of one or more of our designs or offerings could reduce our sales. Unanticipated shifts in consumer preferences may also result in excess inventory. We recognize that consumer tastes cannot be predicted with certainty and are subject to change, which is compounded by the expanding use of digital and social media by consumers and the speed by which information and opinions are shared. Our product development strategy is to introduce new design collections, primarily jewelry, and/or expand certain existing collections regularly. If we are unable to anticipate and respond in a timely and cost-effective manner to changes in consumer preferences and shopping patterns,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73" w:name="page74"/>
    <w:bookmarkEnd w:id="7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the development of an engaging omnichannel experience for our customers, our sales and profitability could be adversely affected.</w:t>
      </w:r>
    </w:p>
    <w:p>
      <w:pPr>
        <w:spacing w:after="0" w:line="241"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b w:val="1"/>
          <w:bCs w:val="1"/>
          <w:i w:val="1"/>
          <w:iCs w:val="1"/>
          <w:color w:val="auto"/>
        </w:rPr>
        <w:t>We expect a number of factors to cause our results of operations and operating cash flows to fluctuate on a quarterly and annual basis, which may make it difficult to predict our future performance.</w:t>
      </w:r>
    </w:p>
    <w:p>
      <w:pPr>
        <w:spacing w:after="0" w:line="20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spacing w:after="0" w:line="179"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accurately forecast net sales and appropriately plan our expenses;</w:t>
      </w:r>
    </w:p>
    <w:p>
      <w:pPr>
        <w:spacing w:after="0" w:line="2" w:lineRule="exact"/>
        <w:rPr>
          <w:rFonts w:ascii="Arial" w:cs="Arial" w:eastAsia="Arial" w:hAnsi="Arial"/>
          <w:sz w:val="20"/>
          <w:szCs w:val="20"/>
          <w:color w:val="auto"/>
        </w:rPr>
      </w:pPr>
    </w:p>
    <w:p>
      <w:pPr>
        <w:ind w:left="660" w:right="500" w:hanging="328"/>
        <w:spacing w:after="0" w:line="225"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to financial accounting standards and the interpretation of those standards, which may affect the way we recognize and report our financial results;</w:t>
      </w:r>
    </w:p>
    <w:p>
      <w:pPr>
        <w:ind w:left="640" w:hanging="308"/>
        <w:spacing w:after="0" w:line="225" w:lineRule="auto"/>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effectiveness of our internal controls;</w:t>
      </w:r>
    </w:p>
    <w:p>
      <w:pPr>
        <w:ind w:left="640" w:hanging="308"/>
        <w:spacing w:after="0" w:line="225" w:lineRule="auto"/>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seasonality of our business;</w:t>
      </w:r>
    </w:p>
    <w:p>
      <w:pPr>
        <w:ind w:left="640" w:hanging="308"/>
        <w:spacing w:after="0" w:line="225" w:lineRule="auto"/>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collect payments from customers on a timely basis; and</w:t>
      </w: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of the COVID-19 pandemic on our business.</w:t>
      </w:r>
    </w:p>
    <w:p>
      <w:pPr>
        <w:spacing w:after="0" w:line="213"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inability to strategically expand our showroom footprint could negatively impact on our growth and profitability.</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plan to continue to strategically open showrooms across the U.S. and, eventually, internationally, as part of our omnichannel expansion, is dependent upon a number of factors. These includes strategically picking new markets to expand into, the availability of desirable property, placement of showrooms in easily accessible locations with high visibility, the demographic characteristics of the area around the showroom, the design and maintenance of the showrooms, the availability of attractive locations within the markets that also meet the operational and financial criteria of management, and the ability to negotiate attractive lease terms. If we are unable to effectively expand our showroom footprint to satisfy our operational, and financial strategies, our growth and profitability could be negatively impacted.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Refunds, cancellations, and warranty claims could harm our business.</w:t>
      </w:r>
    </w:p>
    <w:p>
      <w:pPr>
        <w:spacing w:after="0" w:line="229"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We allow our customers to return our products, subject to our refund policy, which generally allows customers to return our products within the first 30 days of when a purchase is available for shipment or pickup and receive a full refund or an exchange. At the time of sale, we establish a reserve for returns, based on historical experience and expected future returns, which is recorded as a reduction of sales. If we experience a substantial increase in refunds, our cancellation reserve levels might not be sufficient and our business, financial condition, and results of operations could be harmed.</w:t>
      </w:r>
    </w:p>
    <w:p>
      <w:pPr>
        <w:spacing w:after="0" w:line="4" w:lineRule="exact"/>
        <w:rPr>
          <w:sz w:val="20"/>
          <w:szCs w:val="20"/>
          <w:color w:val="auto"/>
        </w:rPr>
      </w:pPr>
    </w:p>
    <w:p>
      <w:pPr>
        <w:jc w:val="both"/>
        <w:ind w:right="100"/>
        <w:spacing w:after="0" w:line="231" w:lineRule="auto"/>
        <w:rPr>
          <w:sz w:val="20"/>
          <w:szCs w:val="20"/>
          <w:color w:val="auto"/>
        </w:rPr>
      </w:pPr>
      <w:r>
        <w:rPr>
          <w:rFonts w:ascii="Arial" w:cs="Arial" w:eastAsia="Arial" w:hAnsi="Arial"/>
          <w:sz w:val="20"/>
          <w:szCs w:val="20"/>
          <w:color w:val="auto"/>
        </w:rPr>
        <w:t>In addition, we generally offer one complimentary resizing within 60 days of when a purchase is available for shipment or pickup. We could incur significant costs to honor this guarantee. Outside of the 60 day complimentary resize period, rings can be resized for a fee when within jeweler’s recommended sizing range.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face the risk of theft, loss, or damage to our products from inventory or during shipment.</w:t>
      </w:r>
    </w:p>
    <w:p>
      <w:pPr>
        <w:spacing w:after="0" w:line="229"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We have experienced and may continue to experience theft, loss, or damage to our products during the course of shipment to our customers by third-party shipping carriers or from our inventory.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4" w:name="page75"/>
    <w:bookmarkEnd w:id="7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we have 14 showrooms across the U.S. While these showrooms differ from traditional retailers in that they do not stock significant amounts of inventory to sell to consumers, they do have some products on display, and we allow customers to pick-up and return products purchased online to the store. We have taken steps to prevent theft of our products. However, if security measures fail, losses exceed our insurance coverage or we are not able to maintain insurance at a reasonable cost, we could incur significant losses from theft, which would substantially harm our business and results of operations.</w:t>
      </w:r>
    </w:p>
    <w:p>
      <w:pPr>
        <w:spacing w:after="0" w:line="211"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b w:val="1"/>
          <w:bCs w:val="1"/>
          <w:i w:val="1"/>
          <w:iCs w:val="1"/>
          <w:color w:val="auto"/>
        </w:rPr>
        <w:t>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14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rely heavily on our information technology systems for many functions across our operations, including managing our supply chain and inventory, processing customer transactions in our showrooms, our financial accounting and reporting, compensating our employees, and operating our websites. Our ability to effectively manage our business and coordinate the sourcing, distribution, and sale of our products depends significantly on the reliability and capacity of these systems. We also collect, process, and store sensitive and confidential information, including our proprietary business information and personally identifiable information and that of our customers, employees, suppliers, and business partners. The secure processing, maintenance, and transmission of this information is critical to our operations.</w:t>
      </w:r>
    </w:p>
    <w:p>
      <w:pPr>
        <w:spacing w:after="0" w:line="194"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Our systems may be subject to damage or interruption from power outages or damages, telecommunications problems, data corruption, software errors, network failures, physical or electronic break-ins, acts of war or terrorist attacks, fire, flood and natural disasters, and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9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can originate from a wide variety of sources (including outside groups such as external service providers, organized crime affiliates, terrorist organizations, or hostile foreign governments or agencies), and may originate from less regulated and remote areas around the world, we may be unable to proactively address all possible techniques or implement adequate preventive measures for all situations.</w:t>
      </w:r>
    </w:p>
    <w:p>
      <w:pPr>
        <w:spacing w:after="0" w:line="195"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Security incidents compromising the confidentiality, integrity, and availability of this information and our systems could result from cyber-attacks, computer malware, viruses, denial-of-service attacks, social engineering (including spear phishing and ransomware attacks), credential stuffing, efforts by individuals or groups of hackers and sophisticated organizations, including state-sponsored organizations, errors or malfeasance of our personnel, and security vulnerabilities in the software or systems on which we rely. Such incidents may occur in the future, resulting in unauthorized, unlawful, or inappropriate access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5" w:name="page76"/>
    <w:bookmarkEnd w:id="7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inability to access, disclosure of, or loss of the sensitive, proprietary, and confidential information that we handle. While we employ security measures to prevent, detect, and mitigate potential for harm to our users from the misuse of user credentials on our network, these measures may not be effective in every instance. Moreover, while we maintain cybersecurity insurance that may help provide coverage for these types of incidents, we cannot assure you that our insurance will be adequate to cover costs and liabilities related to these incidents. Any such breach, attack, virus, or other event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financial condition, and results of operations.</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rely on a number of third-party service providers to operate our critical business systems and process confidential and personal information, such as the payment processors that process customer credit card payments. These service providers may not have adequate security measures and could experience a security incident that compromises the confidentiality, integrity, or availability of the systems they operate for us or the information they process on our behalf. Cybercrime and hacking techniques are constantly evolving, and we or our third-party service providers may be unable to anticipate attempted security breaches, react in a timely manner, or implement adequate preventative measures, particularly given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 Moreover, we or our third-party service providers may be more vulnerable to such attacks in remote work environments, which have increased in response to the COVID-19 pandemic. If the information technology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also rely on a third-party provider for website services. Although alternative website providers could support our business on a substantially similar basis to our current third-party provider, transitioning our current website infrastructure to alternative providers could potentially be disruptive, and we could incur significant one-time costs. If we are unable to renew our agreement with our third-party provider on commercially acceptable terms, our agreement is prematurely terminated, or we add additional website providers, we may experience costs or downtime in connection with the transfer to, or the addition of, new website providers. If our website provider increases the costs of its services, our business, financial condition, or results of operations could be materially and adversely affected.</w:t>
      </w:r>
    </w:p>
    <w:p>
      <w:pPr>
        <w:spacing w:after="0" w:line="194"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regulatory environment surrounding information security and privacy is increasingly demanding, with the frequent imposition of new and changing requirements across our business. For example, if we are unable to comply with the security standards established by banks and the payment card industry, we may be subject to fines, restrictions, and expulsion from card acceptance programs, which could adversely affect our retail operations. Our business partners may have contractual rights of indemnification against us or seek to terminate our contracts with them in the event that their customer or proprietary business information is released as a result of a breach of our information technology.</w:t>
      </w:r>
    </w:p>
    <w:p>
      <w:pPr>
        <w:spacing w:after="0" w:line="211"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Additionally, under certain regulatory schemes, such as the CCPA, we may be liable for statutory damages on a per breached record basis, irrespective of any actual damages or harm to the individual. This means that in the event of a breach we could face government scrutiny or consumer class actions alleging statutory damages amounting to hundreds of millions, and possibly billions of U.S. dollars. And we may also be subject to civil claims under the General Data Protection Regulation (“GDPR”) and U.K. Data Protection Laws, including representative actions and other class action type litigation.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6" w:name="page77"/>
    <w:bookmarkEnd w:id="7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 Any of these events could have a significant effect on our business and financial condition. As privacy and information security laws and regulations change, we may incur additional compliance costs.</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Any material disruption or slowdown of our systems or those of our third-party service providers and business partners, could have a material adverse effect on our business, financial condition, and results of operations.</w:t>
      </w:r>
    </w:p>
    <w:p>
      <w:pPr>
        <w:spacing w:after="0" w:line="204"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i w:val="1"/>
          <w:iCs w:val="1"/>
          <w:color w:val="auto"/>
        </w:rPr>
        <w:t>An overall decline in the health of the economy and other factors impacting consumer spending, such as recessionary conditions, governmental instability, and natural disasters, may affect consumer purchases, which could reduce demand for our products and harm our business, financial conditions, and results of operations.</w:t>
      </w:r>
    </w:p>
    <w:p>
      <w:pPr>
        <w:spacing w:after="0" w:line="2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As a result of the COVID-19 pandemic, we temporarily closed our showrooms to the public in the first half of 2020, which adversely affected our sales and profitability. Unfavorable economic conditions may lead consumers to delay or reduce purchases of our products and services and consumer demand for our products and services may not grow as we expect. Prolonged or pervasive economic downturns could also slow the pace of new showroom openings or cause current locations to close.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plan to expand into international markets, which will expose us to significant risks.</w:t>
      </w:r>
    </w:p>
    <w:p>
      <w:pPr>
        <w:spacing w:after="0" w:line="229"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auto"/>
        </w:rPr>
        <w:t>As we expand our operations to other countries, significant resources and management attention is required and doing so subjects us to regulatory, economic, and political risks in addition to those we already face in the U.S., Canada, Australia, and the United Kingdom. There are significant risks and costs inherent in doing business in international markets, including:</w:t>
      </w:r>
    </w:p>
    <w:p>
      <w:pPr>
        <w:spacing w:after="0" w:line="210" w:lineRule="exact"/>
        <w:rPr>
          <w:sz w:val="20"/>
          <w:szCs w:val="20"/>
          <w:color w:val="auto"/>
        </w:rPr>
      </w:pPr>
    </w:p>
    <w:p>
      <w:pPr>
        <w:ind w:left="660" w:right="520" w:hanging="328"/>
        <w:spacing w:after="0" w:line="23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difficulty establishing and managing international operations and the increased operations, travel, infrastructure, including establishment of showrooms and customer service operations, and legal compliance costs associated with locations in different countries or regions;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need to vary pricing and margins to effectively compete in international markets;</w:t>
      </w: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need to adapt and localize products for specific countries;</w:t>
      </w: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increased competition from local providers of similar products and services;</w:t>
      </w: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varying degrees of consumer acceptance of e-commerce and omnichannel business, specifically of fine jewelry;</w:t>
      </w: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challenges in obtaining, maintaining, protecting, and enforcing intellectual property rights abroad;</w:t>
      </w: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need to offer content and customer support in various languages;</w:t>
      </w:r>
    </w:p>
    <w:p>
      <w:pPr>
        <w:ind w:left="640" w:hanging="308"/>
        <w:spacing w:after="0" w:line="225" w:lineRule="auto"/>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other jurisdictions;</w:t>
      </w:r>
    </w:p>
    <w:p>
      <w:pPr>
        <w:ind w:left="660" w:right="100" w:hanging="328"/>
        <w:spacing w:after="0" w:line="234"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compliance with anti-bribery laws, such as the U.S. Foreign Corrupt Practices Act (“FCPA”), and the U.K. Bribery Act 2010 (“U.K. Bribery Act”), by us, our employees, and our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77" w:name="page78"/>
    <w:bookmarkEnd w:id="7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180" w:hanging="328"/>
        <w:spacing w:after="0" w:line="229"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complexity and other risks associated with current and future legal requirements in other countries, including legal requirements related to consumer protection, consumer product safety, and data privacy frameworks, such as the Personal Information Protection and Electronic Documents Act (“PIPEDA”), the U.K. Data Protection Act, and the U.K. and E.U. General Data Protection Regulations;</w:t>
      </w:r>
    </w:p>
    <w:p>
      <w:pPr>
        <w:spacing w:after="0" w:line="2" w:lineRule="exact"/>
        <w:rPr>
          <w:rFonts w:ascii="Arial" w:cs="Arial" w:eastAsia="Arial" w:hAnsi="Arial"/>
          <w:sz w:val="20"/>
          <w:szCs w:val="20"/>
          <w:color w:val="auto"/>
        </w:rPr>
      </w:pPr>
    </w:p>
    <w:p>
      <w:pPr>
        <w:ind w:left="660" w:right="440" w:hanging="328"/>
        <w:spacing w:after="0" w:line="225"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varying levels of internet technology adoption and infrastructure, and increased or varying network and hosting service provider costs;</w:t>
      </w:r>
    </w:p>
    <w:p>
      <w:pPr>
        <w:ind w:left="640" w:hanging="308"/>
        <w:spacing w:after="0" w:line="225" w:lineRule="auto"/>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tariffs and other non-tariff barriers, such as quotas and local content rules, as well as tax consequences;</w:t>
      </w:r>
    </w:p>
    <w:p>
      <w:pPr>
        <w:ind w:left="660" w:right="720" w:hanging="328"/>
        <w:spacing w:after="0" w:line="225"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fluctuations in currency exchange rates and the requirements of currency control regulations, which might restrict or prohibit conversion of other currencies into U.S. dollars; and</w:t>
      </w: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limited experience with international regulatory and business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Our failure to successfully manage these risks could harm our international operations and have an adverse effect on our business, financial condition, and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revenue could decline due to changes in credit markets and decisions made by credit providers.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some of our customers have financed their purchase of our products through third-party loan providers. If we are unable to maintain our relationships with our third-party loan providers, there is no guarantee that we will be able to find replacement partners who will provide our customers with financing on similar terms, and our ability to sell our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We also offer layaway payments for both U.S. and international customers. After an initial deposit, our layaway plan allows customers to make monthly payments on any purchase. There is a risk that if credit is extended to consumers during times when economic conditions are strong, and then economic conditions subsequently deteriorate, consumers may not meet their then-current payment obligations.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affected by seasonality.</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Our business is subject to seasonal fluctuation with a typical increase in sales around the holiday season, with the fourth quarter representing approximately 30% of annual net sales over the three-year period ended December 31, 2019 and a high percentage of annual net income. A number of factors, such as higher unemployment, the level of consumers’ disposable income, the availability of credit, interest rates, consumer debt, and asset values, delays in the issuance of tax refunds, or deteriorating economic conditions can impact consumer spending decisions. Jewelry purchases are discretionary and are dependent on many factors relating to discretionary consumer spending, particularly as jewelry is often perceived to be a luxury purchase. Adverse changes in the economy and periods when discretionary spending by consumers may be under pressure could unfavorably impact sales and earnings. In addition, in order to prepare for our peak shopping quarters, we must increase the staffing at our showrooms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8" w:name="page79"/>
    <w:bookmarkEnd w:id="7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auto"/>
        </w:rPr>
        <w:t>order and keep in stock more merchandise than we carry during other parts of the year. This staffing increase and inventory build-up may require us to expend cash faster than is generated by our operations during these periods. Any unanticipated decrease in demand for our products during such a period could require us to sell excess inventory at a substantial markdown, which could have a material adverse effect on our business, financial condition, and results of operations.</w:t>
      </w:r>
    </w:p>
    <w:p>
      <w:pPr>
        <w:spacing w:after="0" w:line="210"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i w:val="1"/>
          <w:iCs w:val="1"/>
          <w:color w:val="auto"/>
        </w:rPr>
        <w:t>We depend on highly skilled personnel to grow and operate our business, and if we are unable to hire, retain, and motivate our personnel, we may not be able to grow effectively.</w:t>
      </w:r>
    </w:p>
    <w:p>
      <w:pPr>
        <w:spacing w:after="0" w:line="204" w:lineRule="exact"/>
        <w:rPr>
          <w:sz w:val="20"/>
          <w:szCs w:val="20"/>
          <w:color w:val="auto"/>
        </w:rPr>
      </w:pPr>
    </w:p>
    <w:p>
      <w:pPr>
        <w:ind w:right="360"/>
        <w:spacing w:after="0" w:line="231" w:lineRule="auto"/>
        <w:rPr>
          <w:sz w:val="20"/>
          <w:szCs w:val="20"/>
          <w:color w:val="auto"/>
        </w:rPr>
      </w:pPr>
      <w:r>
        <w:rPr>
          <w:rFonts w:ascii="Arial" w:cs="Arial" w:eastAsia="Arial" w:hAnsi="Arial"/>
          <w:sz w:val="20"/>
          <w:szCs w:val="20"/>
          <w:color w:val="auto"/>
        </w:rPr>
        <w:t>Our success and future growth depend largely upon the continued services of our management team, including our Co-Founders, Beth Gerstein and Eric Grossberg. From time to time, there may be changes in our executive management team resulting from the hiring or departure of these personnel.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maintain key man life insurance with respect to certain key members of management.</w:t>
      </w:r>
    </w:p>
    <w:p>
      <w:pPr>
        <w:spacing w:after="0" w:line="21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our future success will depend, in part, upon our continued ability to identify and hire skilled personnel with the skills and technical knowledge that we require, including engineering, software design and programming, jewelry design, marketing, sales, and other key management personnel. Such efforts will require significant time, expense, and attention as there is intense competition for such individuals, particularly in the Denver and San Francisco areas, and new hires require significant training and time before they achieve full productivity, particularly in new sales segments and territories. In addition to hiring new employees, we must continue to focus on developing, motivating, and retaining our best employees, all of whom are at-will employees. If we fail to identify, recruit, and integrate strategic personnel hires, our business, financial condition, and results of operations could be adversely affected.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are not able to effectively add and retain employees, our ability to achieve our strategic objectives will be adversely impacted, and our business and future growth prospects will be harmed.</w:t>
      </w:r>
    </w:p>
    <w:p>
      <w:pPr>
        <w:spacing w:after="0" w:line="397" w:lineRule="exact"/>
        <w:rPr>
          <w:sz w:val="20"/>
          <w:szCs w:val="20"/>
          <w:color w:val="auto"/>
        </w:rPr>
      </w:pPr>
    </w:p>
    <w:p>
      <w:pPr>
        <w:ind w:right="540"/>
        <w:spacing w:after="0" w:line="237" w:lineRule="auto"/>
        <w:rPr>
          <w:sz w:val="20"/>
          <w:szCs w:val="20"/>
          <w:color w:val="auto"/>
        </w:rPr>
      </w:pPr>
      <w:r>
        <w:rPr>
          <w:rFonts w:ascii="Arial" w:cs="Arial" w:eastAsia="Arial" w:hAnsi="Arial"/>
          <w:sz w:val="20"/>
          <w:szCs w:val="20"/>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210"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Our success will depend, in part, on our ability to expand our services and grow our business in response to changing technologies, customer demands, and competitive pressures. In some circumstances, we may choose to expand our services and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addition, once we have completed an acquisition,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79" w:name="page80"/>
    <w:bookmarkEnd w:id="7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may not be able to successfully integrate the acquired business. The risks we face in connection with acquisitions include:</w:t>
      </w:r>
    </w:p>
    <w:p>
      <w:pPr>
        <w:spacing w:after="0" w:line="229" w:lineRule="exact"/>
        <w:rPr>
          <w:sz w:val="20"/>
          <w:szCs w:val="20"/>
          <w:color w:val="auto"/>
        </w:rPr>
      </w:pPr>
    </w:p>
    <w:p>
      <w:pPr>
        <w:ind w:left="660" w:right="120" w:hanging="328"/>
        <w:spacing w:after="0" w:line="255"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may not generate sufficient financial return to offset additional costs and expenses related to the acquisition, or may not perform as well financially as expected;</w:t>
      </w:r>
    </w:p>
    <w:p>
      <w:pPr>
        <w:ind w:left="660" w:hanging="328"/>
        <w:spacing w:after="0" w:line="237" w:lineRule="auto"/>
        <w:tabs>
          <w:tab w:leader="none" w:pos="6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we may encounter difficulties or unforeseen expenditures in integrating the business, offerings, technologies, personnel, or operations of any company that we acquire, particularly if key personnel of the acquired company decide not to work for us;</w:t>
      </w:r>
    </w:p>
    <w:p>
      <w:pPr>
        <w:ind w:left="640" w:hanging="308"/>
        <w:spacing w:after="0" w:line="237" w:lineRule="auto"/>
        <w:tabs>
          <w:tab w:leader="none" w:pos="6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 acquisition may disrupt our ongoing business, divert resources, increase our expenses, and distract our management;</w:t>
      </w:r>
    </w:p>
    <w:p>
      <w:pPr>
        <w:ind w:left="660" w:right="600" w:hanging="328"/>
        <w:spacing w:after="0" w:line="225"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 acquisition may result in a delay or reduction of customer purchases for both us and the company acquired due to customer uncertainty about continuity and effectiveness of service from either company;</w:t>
      </w:r>
    </w:p>
    <w:p>
      <w:pPr>
        <w:ind w:left="640" w:hanging="308"/>
        <w:spacing w:after="0" w:line="225" w:lineRule="auto"/>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we may encounter difficulties in, or may be unable to, successfully sell any acquired products;</w:t>
      </w:r>
    </w:p>
    <w:p>
      <w:pPr>
        <w:ind w:left="640" w:hanging="308"/>
        <w:spacing w:after="0" w:line="225" w:lineRule="auto"/>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use of cash to pay for an acquisition would limit other potential uses for our cash;</w:t>
      </w:r>
    </w:p>
    <w:p>
      <w:pPr>
        <w:ind w:left="660" w:right="180" w:hanging="328"/>
        <w:spacing w:after="0" w:line="225"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we incur debt to fund such acquisition, such debt may subject us to material restrictions on our ability to conduct our business, as well as financial maintenance covenants; and</w:t>
      </w:r>
    </w:p>
    <w:p>
      <w:pPr>
        <w:ind w:left="660" w:right="140" w:hanging="328"/>
        <w:spacing w:after="0" w:line="225"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we issue a significant amount of equity securities in connection with future acquisitions, existing stockholders may be diluted and earnings per share may decrease.</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The occurrence of any of these foregoing risks could adversely affect our business, financial condition, and results of operations, and expose us to unknown risks or liabilities.</w:t>
      </w:r>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color w:val="auto"/>
        </w:rPr>
        <w:t>We may require additional capital to support the growth of our business, and this capital might not be available on acceptable terms, if at all.</w:t>
      </w:r>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funded our operations since inception primarily through equity financings and revenue generated from our products and services. We cannot be certain that our operations will continue to generate sufficient cash to fully fund our ongoing operations and the growth of our business. We intend to continue to make investments to support the development of our products and services and will require additional funds for such development. We may need additional funding for marketing expenses and to develop and expand sales resources, develop new features or enhance our products and services, improve our operating infrastructure, or acquire complementary businesses and technologies.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If we are unable to obtain adequate financing or financing on terms satisfactory to us, our ability to develop our products and services, support our business growth, and respond to business challenges could be significantly impaired, and our business may be adversely affected.</w:t>
      </w:r>
    </w:p>
    <w:p>
      <w:pPr>
        <w:spacing w:after="0" w:line="195"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w:t>
      </w:r>
    </w:p>
    <w:p>
      <w:pPr>
        <w:spacing w:after="0" w:line="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80" w:name="page81"/>
    <w:bookmarkEnd w:id="8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60"/>
        <w:spacing w:after="0" w:line="300"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158"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As of September 30, 2021, we had outstanding $65.0 million aggregate principal amount of borrowings under our Term Loan Agreement (as defined herein).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w:t>
      </w:r>
    </w:p>
    <w:p>
      <w:pPr>
        <w:spacing w:after="0" w:line="209" w:lineRule="exact"/>
        <w:rPr>
          <w:sz w:val="20"/>
          <w:szCs w:val="20"/>
          <w:color w:val="auto"/>
        </w:rPr>
      </w:pPr>
    </w:p>
    <w:p>
      <w:pPr>
        <w:ind w:right="920"/>
        <w:spacing w:after="0" w:line="272" w:lineRule="auto"/>
        <w:rPr>
          <w:sz w:val="20"/>
          <w:szCs w:val="20"/>
          <w:color w:val="auto"/>
        </w:rPr>
      </w:pPr>
      <w:r>
        <w:rPr>
          <w:rFonts w:ascii="Arial" w:cs="Arial" w:eastAsia="Arial" w:hAnsi="Arial"/>
          <w:sz w:val="19"/>
          <w:szCs w:val="19"/>
          <w:color w:val="auto"/>
        </w:rPr>
        <w:t>In addition, our indebtedness under our Term Loan Agreement bears interest at variable rates. Because we have variable rate debt, fluctuations in interest rates may affect our cash flows or business, financial condition, and results of operations.</w:t>
      </w:r>
    </w:p>
    <w:p>
      <w:pPr>
        <w:spacing w:after="0" w:line="18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b w:val="1"/>
          <w:bCs w:val="1"/>
          <w:i w:val="1"/>
          <w:iCs w:val="1"/>
          <w:color w:val="auto"/>
        </w:rPr>
        <w:t>Our Term Loan Agreement contains financial covenants and other restrictions on our actions that may limit our operational flexibility or otherwise adversely affect our business, financial condition, and results of operations.</w:t>
      </w:r>
    </w:p>
    <w:p>
      <w:pPr>
        <w:spacing w:after="0" w:line="204"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The terms of our Term Loan Agreement include a number of covenants that limit our ability to (subject to negotiated exceptions), among other things, incur additional indebtedness, incur liens on any of our property, enter into agreements related to mergers and acquisitions, dispose of property, or pay dividends and make distributions. The terms of our Term Loan Agreement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that are not subject to such restrictions.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 failure by us to comply with the covenants specified in the Term Loan Agreement could result in an event of default under the agreement, which would give the lenders the right to stop advancing money or extending credit and to declare all obligations to pay the loans when due, together with principal interest, fees, and expenses, to be immediately due and payable. If the debt under the Term Loan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Legal and Regulatory Environment</w:t>
      </w:r>
    </w:p>
    <w:p>
      <w:pPr>
        <w:spacing w:after="0" w:line="235"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81" w:name="page82"/>
    <w:bookmarkEnd w:id="8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210"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Further, the Federal Trade Commission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Our transactions with suppliers and other parties outside the U.S. may subject us to FCPA, U.S. export controls, including the Export Administration Regulations, and trade sanction laws, and similar anti-corruption, anti-bribery, and international trade laws, any violation of which could create substantial liability for us and also harm our reputation. Our operations may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philanthropic endeavors, we must also comply with additional federal, state, and local tax and other laws and regulations.</w:t>
      </w:r>
    </w:p>
    <w:p>
      <w:pPr>
        <w:spacing w:after="0" w:line="209"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auto"/>
        </w:rPr>
        <w:t>Additionally, because we accept debit and credit cards for payment, we are subject to the Payment Card Industry (“PCI”) Standard issued by the Payment Card Industry Security Standards 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209" w:lineRule="exact"/>
        <w:rPr>
          <w:sz w:val="20"/>
          <w:szCs w:val="20"/>
          <w:color w:val="auto"/>
        </w:rPr>
      </w:pPr>
    </w:p>
    <w:p>
      <w:pPr>
        <w:jc w:val="both"/>
        <w:ind w:right="80"/>
        <w:spacing w:after="0" w:line="237" w:lineRule="auto"/>
        <w:rPr>
          <w:sz w:val="20"/>
          <w:szCs w:val="20"/>
          <w:color w:val="auto"/>
        </w:rPr>
      </w:pPr>
      <w:r>
        <w:rPr>
          <w:rFonts w:ascii="Arial" w:cs="Arial" w:eastAsia="Arial" w:hAnsi="Arial"/>
          <w:sz w:val="20"/>
          <w:szCs w:val="20"/>
          <w:b w:val="1"/>
          <w:bCs w:val="1"/>
          <w:i w:val="1"/>
          <w:iCs w:val="1"/>
          <w:color w:val="auto"/>
        </w:rPr>
        <w:t>Failure to adequately obtain, maintain, protect and enforce our intellectual property and proprietary rights or prevent third parties from making unauthorized use of such rights could harm our brand, devalue our proprietary content and technology, and adversely affect our ability to compete effectively.</w:t>
      </w:r>
    </w:p>
    <w:p>
      <w:pPr>
        <w:spacing w:after="0" w:line="210"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Our success depends to a significant degree on our ability to obtain, maintain, protect, and enforce our intellectual property rights, including our brand, proprietary designs, technology, and know-how. We rely on a variety of mechanisms to protect our intellectual property rights, including trademark and copyright laws, trade secret protection, domain name registration, confidentiality agreements, and other contractual arrangements with our employees, affiliates, clients, strategic partners, and others. However, the protective steps we have taken and plan to take may be inadequate to deter infringement, misappropriation or other violations of our intellectual property, proprietary designs, technology, know-how, and our brand. We may not learn of, or may be unable to detect, the unauthorized use of, or take appropriate steps to enforce, our intellectual property rights. Effective intellectual property protection may not be available to us or available in every jurisdiction in which we offer or may offer our products and services. Failure to adequately protect our intellectual property could harm our brand, devalue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82" w:name="page83"/>
    <w:bookmarkEnd w:id="8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proprietary designs, technology, and other intellectual property, and adversely affect our ability to compete effectively. Further, defending our intellectual property rights could result in the expenditure of significant financial resources and divert attention of management, which could adversely affect our business, financial condition, and results of operations.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If we fail to protect our intellectual property rights adequately, our competitors may exploit our intellectual property and develop and commercialize substantially identical products and we may lose an important advantage in the markets in which we compete. In addition, defending our intellectual property rights might entail significant expense. Any trademarks, copyrights, patents, or other intellectual property rights that we have or may obtain may be challenged or circumvented by others or invalidated or held unenforceable through administrative processes, including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and derivation proceedings, and equivalent proceedings in foreign jurisdictions (e.g., opposition proceedings), or litigation. Any challenge to our intellectual property rights could result in them being narrowed in scope or declared invalid or unenforceable. We do not currently own any issued patents, and even if we seek patent protection in the future, we may be unable to obtain or maintain such protection. In addition, any patents issued from future patent applications or licensed to us in the future may not provide us with competitive advantages or may be successfully challenged by third parties. Further, the laws of some foreign countries may not be as protective of intellectual property rights as those in the U.S., and mechanisms for enforcement of intellectual property rights in those countries may be inadequate. Moreover, policing unauthorized use of our technologies, trade secrets, and intellectual property may be difficult, expensive, and time-consuming. Despite our precautions, it may be possible for unauthorized third parties to copy our offerings and capabilities and use information that we regard as proprietary to create offerings that compete with ours. If our trademarks and trade names are not adequately protected, then we may not be able to build name recognition in our markets of interest and our business may be adversely affected.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or may have developed intellectual property on our behalf. Moreover, no assurance can be given that these agreements will be effective in controlling access to our proprietary information or the distribution, use, misuse, misappropriation, reverse engineering, or disclosure of our proprietary information, know-how, and trade secrets. These agreements may not be self-executing or they may be breached, and we may not have adequate remedies for any such breach. Additionally, we may be subject to claims that our employees misappropriated relevant rights from their previous employers. Further, these agreements may not prevent our competitors from independently developing technologies that are substantially equivalent or superior to our offerings and capabilities.</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intellectual property against unauthorized copying or use, as well as any costly litigation or diversion of our management’s attention and resources, could delay further sales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 w:right="379" w:bottom="1440" w:gutter="0" w:footer="0" w:header="0"/>
        </w:sectPr>
      </w:pPr>
    </w:p>
    <w:bookmarkStart w:id="83" w:name="page84"/>
    <w:bookmarkEnd w:id="8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60"/>
        <w:spacing w:after="0" w:line="246" w:lineRule="auto"/>
        <w:rPr>
          <w:sz w:val="20"/>
          <w:szCs w:val="20"/>
          <w:color w:val="auto"/>
        </w:rPr>
      </w:pPr>
      <w:r>
        <w:rPr>
          <w:rFonts w:ascii="Arial" w:cs="Arial" w:eastAsia="Arial" w:hAnsi="Arial"/>
          <w:sz w:val="20"/>
          <w:szCs w:val="20"/>
          <w:color w:val="auto"/>
        </w:rPr>
        <w:t>implementation of our offerings and capabilities, impair the functionality of our offerings and capabilities, delay introductions of new offerings, or injure our reputation.</w:t>
      </w:r>
    </w:p>
    <w:p>
      <w:pPr>
        <w:spacing w:after="0" w:line="204" w:lineRule="exact"/>
        <w:rPr>
          <w:sz w:val="20"/>
          <w:szCs w:val="20"/>
          <w:color w:val="auto"/>
        </w:rPr>
      </w:pPr>
    </w:p>
    <w:p>
      <w:pPr>
        <w:ind w:right="80"/>
        <w:spacing w:after="0" w:line="248" w:lineRule="auto"/>
        <w:rPr>
          <w:sz w:val="20"/>
          <w:szCs w:val="20"/>
          <w:color w:val="auto"/>
        </w:rPr>
      </w:pPr>
      <w:r>
        <w:rPr>
          <w:rFonts w:ascii="Arial" w:cs="Arial" w:eastAsia="Arial" w:hAnsi="Arial"/>
          <w:sz w:val="19"/>
          <w:szCs w:val="19"/>
          <w:b w:val="1"/>
          <w:bCs w:val="1"/>
          <w:i w:val="1"/>
          <w:iCs w:val="1"/>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Intellectual property-related litigations and proceedings are expensive and time consuming to defend, and, if resolved adversely, could materially adversely impact our business, financial condition and results of operations.</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and proprietary rights of third parties and other intellectual property-related disputes. Our registered or unregistered trademarks or trade names may be challenged, infringed, circumvented, diluted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Further,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Similarly, not every variation of a domain name may be available or be registered, even if available. The occurrence of any of these events could result in the erosion of our brand and limit our ability to market our brand using our various domain names, as well as impede our ability to effectively compete against competitors with similar products or technologies.</w:t>
      </w:r>
    </w:p>
    <w:p>
      <w:pPr>
        <w:spacing w:after="0" w:line="196" w:lineRule="exact"/>
        <w:rPr>
          <w:sz w:val="20"/>
          <w:szCs w:val="20"/>
          <w:color w:val="auto"/>
        </w:rPr>
      </w:pPr>
    </w:p>
    <w:p>
      <w:pPr>
        <w:ind w:right="900"/>
        <w:spacing w:after="0" w:line="233" w:lineRule="auto"/>
        <w:rPr>
          <w:sz w:val="20"/>
          <w:szCs w:val="20"/>
          <w:color w:val="auto"/>
        </w:rPr>
      </w:pPr>
      <w:r>
        <w:rPr>
          <w:rFonts w:ascii="Arial" w:cs="Arial" w:eastAsia="Arial" w:hAnsi="Arial"/>
          <w:sz w:val="20"/>
          <w:szCs w:val="20"/>
          <w:color w:val="auto"/>
        </w:rPr>
        <w:t>In addition to fighting intellectual property infringement from third parties, we may need to defend claims against us related to our intellectual property rights. Some third-party intellectual property rights</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may prove to be extremely broad, and it may not be possible for us to conduct our operations in such a way as to avoid violating those intellectual property rights. As we face increasing competition, the possibility of intellectual property rights claims against us grows. Such claims and litigation may involve adverse intellectual property rights holders who have no relevant product revenue, and, therefore, our own issued and pending copyrights, trademarks, and other intellectual property rights may provide little or no deterrence to these rights holders in bringing intellectual property rights claims against us. There may be intellectual property rights held by others that cover significant aspects of our offerings and we cannot assure that we are not infringing or violating, and have not infringed or violated, any third-party intellectual property rights, or that we will not be held to have done so or be accused of doing so in the future. In addition, any disputes with third parties with respect to any third-party intellectual property agreements could narrow what we believe to be the scope of our rights to the relevant intellectual property or increase our obligations under such agreements, either of which could have a material adverse effect on our business, financial condition, results of operations, and cash flows.</w:t>
      </w:r>
    </w:p>
    <w:p>
      <w:pPr>
        <w:spacing w:after="0" w:line="205"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Any claim that we have violated intellectual property or other proprietary rights of third parties, with or without merit, and whether or not it results in litigation, is settled out of court or is determined in our favor, could be expensive and time-consuming to address and resolve, and could divert the time and attention of management and technical personnel from our business. The litigation process is subject to inherent uncertainties, and we may not prevail in litigation matters regardless of the merits of our position. Intellectual property lawsuits or claims may become extremely disruptive if plaintiffs were to succeed in blocking the trade of our products and services. An adverse outcome of a dispute may result in an injunction and could require us to pay substantial monetary damages, including treble damages and attorneys’ fees, if we are found to have willfully infringed a party’s intellectual property rights. Further, our liability insurance may not cover potential claims of this type adequately or at all. We may be unable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4" w:name="page85"/>
    <w:bookmarkEnd w:id="8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successfully resolve these types of conflicts to our satisfaction and may be required to enter into costly license agreements, if available at all; be required to pay significant royalty, settlements costs, or damages; be required to rebrand our products; and/or be prevented from selling some of our products. The terms of such a settlement or judgment may require us to cease some or all of our operations or pay substantial amounts to the other party. Even if we have an agreement to indemnify us against such costs, the indemnifying party may be unable or unwilling to uphold its contractual obligations. In addition,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use the same intellectual property to compete with us. We may also have to redesign our products so they do not infringe, misappropriate, or otherwise violate third-party intellectual property rights, which may not be possible or may require substantial monetary expenditures and time, during which our products may not be available for commercialization or use. Such outcomes would increase our operating expenses, and if we cannot redesign our products in a non-infringing manner or obtain a license for any allegedly infringing aspect of our business, we may be forced to limit our product offerings, which could adversely affect our ability to compete effectively.</w:t>
      </w:r>
    </w:p>
    <w:p>
      <w:pPr>
        <w:spacing w:after="0" w:line="20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laws and industry standards relating to privacy, data security, and data protection. The restrictions and costs imposed by these laws, or our actual or perceived failure to comply with them, could subject us to liabilities that adversely affect our business, operations, and financial performance.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We collect, process, store, and use a wide variety of data from current and prospective customers, including personal information, such as home addresses and geolocation. These activities are regulated by a variety of federal, state, local, and foreign privacy, data security, and data protection laws and regulations, which have become increasingly stringent in recent years.</w:t>
      </w:r>
    </w:p>
    <w:p>
      <w:pPr>
        <w:spacing w:after="0" w:line="197"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Domestic privacy and data security laws are complex and changing rapidly. In the U.S., we are subject to a variety of laws and regulations, including regulation by federal government agencies, including the FTC, and state and local agencies. In addition to federal laws such as Section 5 of the Federal Trade Commission Act, the Gramm-Leach-Bliley Act, and the Fair Credit Reporting Act, many states have enacted laws regulating the collection, use, and disclosure of personal information and requiring that companies implement reasonable data security measures. Laws in all states and U.S. territories also require businesses to notify affected individuals, governmental entities, and/or credit reporting agencies of certain security breaches affecting personal information. These laws are not consistent, and compliance with them in the event of a widespread data breach is complex and costly.</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19"/>
          <w:szCs w:val="19"/>
          <w:color w:val="auto"/>
        </w:rPr>
        <w:t>Further, the California Consumer Privacy Act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Our products rely on these technologies and could be adversely affected by the CCPA’s restrictions. The CCPA prohibits discrimination against individuals who exercise their privacy rights, provides for civil penalties for violations, and creates a private right of action for data breaches that is expected to increase data breach litigation. Additionally, a new California ballot initiative, the California Privacy Rights Act (the “CPRA”), was recently passed in California. The CPRA will restrict use of certain categories of sensitive personal information that we handle; further restrict the use of cross-context behavioral advertising techniques on which our products may rely in the future; establish restrictions on the retention of personal information; expand the types of data breaches subject to the private right of action; and establish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5" w:name="page86"/>
    <w:bookmarkEnd w:id="8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California Privacy Protection Agency to implement and enforce the new law, as well as impose administrative fines. The majority of the CPRA’s provisions will go into effect on January 1, 2023 (with a look back to January 1, 2022), and additional compliance investment and potential business process changes will likely be required. Additionally, Virginia enacted the Virginia Consumer Data Protection Act (the “CDPA”), another comprehensive state privacy law, that will also be effective January 1, 2023. The CCPA, CPRA, and CDPA may increase our compliance costs and potential liability, particularly in the event of a data breach, and could have a material adverse effect on our business, including how we use personal information, our financial condition, the results of our operations or prospects. Similar laws have been proposed in other states and at the federal level, reflecting a trend toward more stringent privacy legislation in the U.S. The enactment of such laws could have potentially conflicting requirements that would make compliance challenging.</w:t>
      </w:r>
    </w:p>
    <w:p>
      <w:pPr>
        <w:spacing w:after="0" w:line="19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In addition,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In particular, the TCPA imposes significant restrictions on the ability to make telephone calls or send text messages to mobile telephone numbers without the prior consent of the person being contacted. Claims that we have violated the TCPA could be costly to litigate, and if successful, expose us to substantial statutory damages.</w:t>
      </w:r>
    </w:p>
    <w:p>
      <w:pPr>
        <w:spacing w:after="0" w:line="19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Foreign privacy laws are also undergoing a period of rapid change, have become more stringent in recent years, and may increase the costs and complexity of offering our products in new geographies. In Canada, where we operate, PIPEDA, and various provincial laws require that 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the European Union, which has adopted strict data privacy and security regulations in its GDPR. The GDPR imposes strict requirements on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and restrictions on the flow of personal data outside of the EU. The GDPR also provides individuals with various rights in respect of their personal data, including rights of access, erasure, portability, rectification, restriction, and objection. Following its departure from the European Union, the United Kingdom has adopted a separate regime based on the GDPR that imposes similarly onerous requirements. Companies that violate the EU or U.K. regime can face private litigation, prohibitions on data processing, and fines of up to the greater of 4% of their worldwide annual revenue or 20 million Euros (for the EU) or £17.5 million (for the U.K.). Other EU and U.K. data protection laws restrict the ability of companies to market electronically, including through the use of cookies and similar technologies on which we rely for our marketing.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consumer information.</w:t>
      </w:r>
    </w:p>
    <w:p>
      <w:pPr>
        <w:spacing w:after="0" w:line="196"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6" w:name="page87"/>
    <w:bookmarkEnd w:id="8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210"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Further, we are subject to the PCI Data Security Standard, which is a multifaceted security standard that is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 future business practices, which could have an adverse impact on our business and reputation. See also “Failure to comply with laws, regulations, and enforcement activities, or changes in statutory, regulatory, accounting, and other legal requirements could potentially impact our operating and financial results.”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Despite our efforts to comply with all applicable data protection laws and regulations, our interpretations of such laws and regulations and such measures to comply therewith may have been or may prove to be insufficient or incorrect, and we may not be successful in achieving compliance with the rapidly evolving privacy, data security, and data protection requirements discussed above.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services. Such occurrences could adversely affect our business, financial condition, and results of operations. Our general liability insurance may not cover all potential claims to which we are exposed and may not be adequate to indemnify us for the full extent of our potential liabilities.</w:t>
      </w:r>
    </w:p>
    <w:p>
      <w:pPr>
        <w:spacing w:after="0" w:line="198"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b w:val="1"/>
          <w:bCs w:val="1"/>
          <w:i w:val="1"/>
          <w:iCs w:val="1"/>
          <w:color w:val="auto"/>
        </w:rPr>
        <w:t>Our business could be adversely impacted by changes in the internet and mobile device accessibility of users. Companies and governmental agencies may restrict access to our products and services, our mobile apps, website, app stores, or the internet generally, which could negatively impact our operations.</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Our business depends on customers accessing our products and services via a mobile device or a personal computer, and the internet.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consumers’ ability to access our products and services. In addition, the internet infrastructure that we and our customers rely on in any particular geographic area may be unable to support the demands placed upon it and could interfere with the speed and availability of our products and services. Any such failure in internet or mobile device or computer accessibility, even for a short period of time, could adversely affect our results of operations.</w:t>
      </w:r>
    </w:p>
    <w:p>
      <w:pPr>
        <w:spacing w:after="0" w:line="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Governmental agencies in any of the countries in which we or our customers are located could block access to or require a license for our mobile apps, website, or the internet generally for a number of reasons, including security, confidentiality, or regulatory concerns. In addition, companies may adopt policies that prohibit their employees from using our products and services. If companies or governmental entities block, limit, or otherwise restrict customers from accessing our products and services, our business could be negatively impacted, the number of customers could decline or grow more slowly, and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7" w:name="page88"/>
    <w:bookmarkEnd w:id="8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8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subject to the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8" w:lineRule="exact"/>
        <w:rPr>
          <w:sz w:val="20"/>
          <w:szCs w:val="20"/>
          <w:color w:val="auto"/>
        </w:rPr>
      </w:pPr>
    </w:p>
    <w:p>
      <w:pPr>
        <w:ind w:right="240"/>
        <w:spacing w:after="0" w:line="272" w:lineRule="auto"/>
        <w:rPr>
          <w:sz w:val="20"/>
          <w:szCs w:val="20"/>
          <w:color w:val="auto"/>
        </w:rPr>
      </w:pPr>
      <w:r>
        <w:rPr>
          <w:rFonts w:ascii="Arial" w:cs="Arial" w:eastAsia="Arial" w:hAnsi="Arial"/>
          <w:sz w:val="19"/>
          <w:szCs w:val="19"/>
          <w:color w:val="auto"/>
        </w:rPr>
        <w:t>We cannot assure you that all of our employees and agents will not take actions in violation of any of the above laws, for which we may be ultimately held responsible. As we increase our international sales and business, our risks under these laws may increase.</w:t>
      </w:r>
    </w:p>
    <w:p>
      <w:pPr>
        <w:spacing w:after="0" w:line="180"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color w:val="auto"/>
        </w:rPr>
        <w:t>Detecting, investigating, and resolving actual or alleged violations of any of the above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From time to time, we may be subject to legal proceedings, regulatory disputes, and governmental inquiries that could cause us to incur significant expenses, divert our management’s attention, and materially harm our business, financial condition, and operating results. </w:t>
      </w:r>
      <w:r>
        <w:rPr>
          <w:rFonts w:ascii="Arial" w:cs="Arial" w:eastAsia="Arial" w:hAnsi="Arial"/>
          <w:sz w:val="18"/>
          <w:szCs w:val="18"/>
          <w:color w:val="auto"/>
        </w:rPr>
        <w:t>From time to time, we may be subject to claims, lawsuits, government investigations, and other proceedings involving products liability, competition and antitrust, intellectual property, data privacy and protection,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8" w:name="page89"/>
    <w:bookmarkEnd w:id="8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suppliers from whom our products are sourced and are dependent on a limited number of suppliers.</w:t>
      </w:r>
    </w:p>
    <w:p>
      <w:pPr>
        <w:spacing w:after="0" w:line="25"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auto"/>
        </w:rPr>
        <w:t>We purchase substantially all of the resources for our products including diamonds, gemstones, precious metals, parts, packaging, and raw materials from domestic and international suppliers. For our business to be successful, our suppliers must be willing and able to provide us with resources in substantial quantities, in compliance with regulatory requirements, and further in compliance with our ethical and environmentally responsible standards, at acceptable costs and on a timely basis. Our ability to obtain a sufficient selection or volume of resources on a timely basis at competitive prices could suffer as a result of any deterioration or change in our supplier relationships or events that adversely affect our suppliers.</w:t>
      </w:r>
    </w:p>
    <w:p>
      <w:pPr>
        <w:spacing w:after="0" w:line="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typically do not enter into long-term contracts with our suppliers, and in some cases do not have formal written contracts, and, as such, we operate without significant contractual assurances of continued supply, pricing or access to resources. Pricing with suppliers is typically established and renegotiated based on product specifications, market conditions, and other variables. Any of our suppliers could discontinue supplying us with desired inputs in sufficient quantities or offer us less favorable terms on future transactions for a variety of reasons. The benefits we currently experience from our supplier relationships could be adversely affected if our suppliers:</w:t>
      </w:r>
    </w:p>
    <w:p>
      <w:pPr>
        <w:spacing w:after="0" w:line="194"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discontinue selling resources to us;</w:t>
      </w:r>
    </w:p>
    <w:p>
      <w:pPr>
        <w:spacing w:after="0" w:line="2" w:lineRule="exact"/>
        <w:rPr>
          <w:rFonts w:ascii="Arial" w:cs="Arial" w:eastAsia="Arial" w:hAnsi="Arial"/>
          <w:sz w:val="20"/>
          <w:szCs w:val="20"/>
          <w:color w:val="auto"/>
        </w:rPr>
      </w:pPr>
    </w:p>
    <w:p>
      <w:pPr>
        <w:ind w:left="660" w:right="220" w:hanging="328"/>
        <w:spacing w:after="0" w:line="225"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enter into arrangements with competitors that could impair our ability to source their products, including by giving our competitors exclusivity arrangements or limiting our access to certain resources;</w:t>
      </w:r>
    </w:p>
    <w:p>
      <w:pPr>
        <w:ind w:left="640" w:hanging="308"/>
        <w:spacing w:after="0" w:line="225" w:lineRule="auto"/>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raise the prices they charge us;</w:t>
      </w:r>
    </w:p>
    <w:p>
      <w:pPr>
        <w:ind w:left="660" w:right="240" w:hanging="328"/>
        <w:spacing w:after="0" w:line="225"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 pricing terms to require us to pay on delivery or upfront, including as a result of changes in the credit relationships some of our suppliers have with their various lending institutions; or</w:t>
      </w: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lengthen their lead times.</w:t>
      </w:r>
    </w:p>
    <w:p>
      <w:pPr>
        <w:spacing w:after="0" w:line="21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Events that adversely impact our suppliers could impair our ability to obtain adequate and timely supplies. Such events include, among others, difficulties or problems associated with our suppliers’ businesses, their financial instability and labor problems, resource quality and safety issues, natural or man-made disasters, inclement weather conditions, war, acts of terrorism and other political instability, economic conditions, shipment issues, the availability of their raw materials, and increased production costs. Our suppliers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We also source resources directly from suppliers outside of the U.S., including Russia, Canada, Botswana, Namibia, South Africa, Australia, Malawi, Sea of Cortez, Sri Lanka, and Zambia. A majority of the world’s supply of rough diamonds is controlled by a small number of diamond mining firms. Furthermore, Our Beyond Conflict Free Diamonds are sourced from a select group of diamond suppliers with a robust chain of custody protocol for their diamonds and are required to source diamonds that originate from specific mine operations or specific countries that have demonstrated their commitment to follow internationally recognized labor, trade, and environmental standards. As a result, any decisions made to restrict the supply of rough diamonds by these firms to our suppliers of Beyond Conflict Free Diamonds could substantially impair our ability to acquire such diamonds at commercially reasonable prices, if at all. Generally, diamond prices depend on the attributes of the diamond. Similarly, we craft our gold and silver fine jewelry from primarily recycled precious metals, and we work with our suppliers to source recycled platinum when available and from refiners that are known to use recycled materials in their platinum products.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89" w:name="page90"/>
    <w:bookmarkEnd w:id="8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resources,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suppliers source our products. For example, our resource sourcing could be impacted by current and future travel restrictions and/or the shut-down of certain businesses globally due to the COVID-19 pandemic, and our precious metals sourcing has been disrupted by the COVID-19 pandemic, including in India where we source our recycled platinum. In addition, a majority of the world’s diamond supply is cut and polished in India, which could by adversely impacted by the COVID-19 pandemic. Our sourcing operations may also be hurt by health concerns regarding infectious diseases in countries in which our resources are produced. Moreover, negative press or reports about internationally sourced resources may sway public opinion, and thus customer confidence, away from the products sold in our stores. These and other issues affecting our international suppliers or internationally sourced resources could have a material adverse effect on our business, financial condition, and results of operations.</w:t>
      </w:r>
    </w:p>
    <w:p>
      <w:pPr>
        <w:spacing w:after="0" w:line="195"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Material changes in the pricing practices of our suppliers could negatively impact our profitability. Our suppliers may also increase their pricing if their raw materials became more expensive. The resources used to manufacture our products are subject to availability constraints and price volatility. Our suppliers may pass the increase in sourcing costs to us through price increases, thereby impacting our margins. Moreover, many suppliers and manufacturers of diamonds, as well as retailers of diamonds and diamond jewelry, are vertically integrated, and we expect they will continue to vertically integrate their operations either by developing retail channels for the products they manufacture or acquiring sources of supply, including, without limitation, diamond mining operations. To the extent such vertical integration efforts are successful, some of the fragmentation in the existing diamond supply chain could be eliminated, our ability to obtain an adequate supply of diamonds and fine jewelry from multiple sources could be limited, and our competitors may be able to obtain diamonds at lower prices.</w:t>
      </w:r>
    </w:p>
    <w:p>
      <w:pPr>
        <w:spacing w:after="0" w:line="212"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color w:val="auto"/>
        </w:rPr>
        <w:t>In addition, some of our suppliers may not have the capacity to supply us with sufficient resources to keep pace with our growth plans, especially if we plan to manufacturer significantly greater amounts of inventory. In such cases, our ability to pursue our growth strategy will depend in part upon our ability to develop new supplier relationships. 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203" w:lineRule="exact"/>
        <w:rPr>
          <w:sz w:val="20"/>
          <w:szCs w:val="20"/>
          <w:color w:val="auto"/>
        </w:rPr>
      </w:pPr>
    </w:p>
    <w:p>
      <w:pPr>
        <w:jc w:val="both"/>
        <w:ind w:right="300"/>
        <w:spacing w:after="0" w:line="275" w:lineRule="auto"/>
        <w:rPr>
          <w:sz w:val="20"/>
          <w:szCs w:val="20"/>
          <w:color w:val="auto"/>
        </w:rPr>
      </w:pPr>
      <w:r>
        <w:rPr>
          <w:rFonts w:ascii="Arial" w:cs="Arial" w:eastAsia="Arial" w:hAnsi="Arial"/>
          <w:sz w:val="18"/>
          <w:szCs w:val="18"/>
          <w:color w:val="auto"/>
        </w:rPr>
        <w:t>We rely on a limited number of suppliers to supply the majority of the resources to our products and are thus exposed to concentration of supplier risk. If we were to lose any significant supplier, we may be unable to establish additional or replacement sources for our products that meet our quality controls and standards in a timely manner or on commercially reasonable terms, if at all.</w:t>
      </w:r>
    </w:p>
    <w:p>
      <w:pPr>
        <w:spacing w:after="0" w:line="17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b w:val="1"/>
          <w:bCs w:val="1"/>
          <w:i w:val="1"/>
          <w:iCs w:val="1"/>
          <w:color w:val="auto"/>
        </w:rPr>
        <w:t>We rely on our suppliers, third-party carriers, and third-party jewelers as part of our fulfillment process, and these third parties may fail to adequately serve our customers.</w:t>
      </w:r>
    </w:p>
    <w:p>
      <w:pPr>
        <w:spacing w:after="0" w:line="204"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We significantly rely on our suppliers to promptly ship us diamonds and other fine jewelry ordered by our customers. Any failure by our suppliers to sell and ship such products to us in a timely manner will have an adverse effect on our ability to fulfill customer orders and harm our business and results of operations. Our suppliers, in turn, rely on third-party carriers to ship diamonds to us, and in some cases, directly to our customers. We also rely on a limited number of third-party carriers to deliver inventory to us and product shipments to our customers. We and our suppliers are therefore subject to the risks, including employee strikes, inclement weather, power outages, national disasters, rising fuel costs, and financial constraints associated with such carriers’ abilities to provide delivery services to meet our and our suppliers’ shipping needs. In addition, for some customer orders we rely on third-party jewelers to assemble and ship the product. Our suppliers’, third-party carriers’, or third-party jewelers’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90" w:name="page91"/>
    <w:bookmarkEnd w:id="9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deliver high-quality products to us or our customers in a timely manner or to otherwise adequately serve our customers would damage our reputation and brand, and substantially harm our business and results of operations.</w:t>
      </w:r>
    </w:p>
    <w:p>
      <w:pPr>
        <w:spacing w:after="0" w:line="204"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b w:val="1"/>
          <w:bCs w:val="1"/>
          <w:i w:val="1"/>
          <w:iCs w:val="1"/>
          <w:color w:val="auto"/>
        </w:rPr>
        <w:t>We rely on a limited number of contract manufacturers and logistics partners for our products. A loss of any of these partners could negatively affect our business.</w:t>
      </w:r>
    </w:p>
    <w:p>
      <w:pPr>
        <w:spacing w:after="0" w:line="204"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We rely on a limited number of contract manufacturers and logistics partners to manufacture and transport our products. In the event of interruption from any of our contract manufacturers, we may not be able to increase capacity from other sources or develop alternate or secondary sources without incurring material additional costs and substantial delays. Our contract manufacturers’ primary facilities are principally located in the U.S., India, Mexico, and Thailand, and furthermore are geographically concentrated in limited regions of each. Thus, our business could be adversely affected if one or more of our manufacturers is impacted by a natural disaster, an epidemic such as the current COVID-19 pandemic, or other interruption at a particular location. For example, the COVID-19 pandemic caused interruptions in the development, manufacturing (including the sourcing of key materials), and shipment of our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09"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If we experience a significant increase in demand for our products that cannot be satisfied adequately through our existing manufacturing channels, or if we need to replace an existing manufacturer, we may be unable to supplement or replace them on terms that are acceptable to us, which may undermine our ability to deliver our products in a timely manner. For example, if we require additional manufacturing support, it may take a significant amount of time to identify a manufacturer that has the capability and resources to build our products to our specifications in sufficient volume. Identifying suitable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contract manufacturers or logistics partners could have an adverse effect on our business, financial condition, and operating results.</w:t>
      </w:r>
    </w:p>
    <w:p>
      <w:pPr>
        <w:spacing w:after="0" w:line="20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b w:val="1"/>
          <w:bCs w:val="1"/>
          <w:i w:val="1"/>
          <w:iCs w:val="1"/>
          <w:color w:val="auto"/>
        </w:rPr>
        <w:t>We rely on third parties for elements of the payment processing infrastructure underlying our business and are subject to risks related to online payment methods.</w:t>
      </w:r>
    </w:p>
    <w:p>
      <w:pPr>
        <w:spacing w:after="0" w:line="2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convenient payment mechanisms provided by our business are key factors contributing to the development of our business. We rely on third parties for elements of our payment processing infrastructure to accept payments from customers and remit payments to suppliers.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 third party financing sources,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2"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Future failures of the payment processing infrastructure underlying our business could cause customers to lose trust in our payment operations and could cause them to instead turn to our competitors’ products and services. If the quality or convenience of our payment processing infrastructure declines as a result of these limitations or for any other reason, the attractiveness of our business to customers could be adversely affected. If we are forced to migrate to other third-party payment service providers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1" w:name="page92"/>
    <w:bookmarkEnd w:id="9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reason, the transition would require significant time and management resources, and may not be as effective, efficient, or well-received by our customers.</w:t>
      </w:r>
    </w:p>
    <w:p>
      <w:pPr>
        <w:spacing w:after="0" w:line="204"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We occasionally receive orders placed with fraudulent credit card or other payment data, including stolen credit card numbers, or from clients who have closed bank accounts or have insufficient funds in open bank accounts to satisfy payment obligations. We may suffer losses as a result of orders placed with fraudulent credit card data or other fraudulent payment date even if the associated financial institution approved payment of the orders. Under current credit card practices and the practices of our other payment processing partners, we may be liable for fraudulent credit card or other payment transactions. If we are unable to detect or control credit card or other fraud, our liability for these transactions could harm our business, financial condition, and results of operations.</w:t>
      </w:r>
    </w:p>
    <w:p>
      <w:pPr>
        <w:spacing w:after="0" w:line="206"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i w:val="1"/>
          <w:iCs w:val="1"/>
          <w:color w:val="auto"/>
        </w:rPr>
        <w:t>Our business relies on third party providers of cloud services, and any disruption of, or interference with, our use of cloud services could adversely affect our business, financial condition, or results of operations.</w:t>
      </w:r>
    </w:p>
    <w:p>
      <w:pPr>
        <w:spacing w:after="0" w:line="20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outsource substantially all of our core cloud infrastructure services to third-party providers, including Amazon Web Services and NetSuite. The third-party providers provide the cloud computing infrastructure we use to host our website and mobile apps, serve our customers, and support our operations and many of the internal tools we use to operate our business. Our website, mobile apps, and internal tools use computing, storage, data transfer, and other functions and services provided by third parties. We do not have control over the operations of the facilities of the third-party providers that we use. The third-party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All of the aforementioned risks may be exacerbated if our business continuity and disaster recovery plans prove to be inadequate.</w:t>
      </w:r>
    </w:p>
    <w:p>
      <w:pPr>
        <w:spacing w:after="0" w:line="388" w:lineRule="exact"/>
        <w:rPr>
          <w:sz w:val="20"/>
          <w:szCs w:val="20"/>
          <w:color w:val="auto"/>
        </w:rPr>
      </w:pPr>
    </w:p>
    <w:p>
      <w:pPr>
        <w:ind w:right="160"/>
        <w:spacing w:after="0" w:line="241" w:lineRule="auto"/>
        <w:rPr>
          <w:sz w:val="20"/>
          <w:szCs w:val="20"/>
          <w:color w:val="auto"/>
        </w:rPr>
      </w:pPr>
      <w:r>
        <w:rPr>
          <w:rFonts w:ascii="Arial" w:cs="Arial" w:eastAsia="Arial" w:hAnsi="Arial"/>
          <w:sz w:val="19"/>
          <w:szCs w:val="19"/>
          <w:color w:val="auto"/>
        </w:rPr>
        <w:t>Additionally, data stored with any third-party provider is vulnerable to experiencing cyberattacks from computer malware, ransomware, viruses, social engineering (including phishing attacks), denial-of-service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services, including due to any failure by us to properly configure our third-party provider environment. Our business’ continuing and uninterrupted performance is critical to our success. Customers may become dissatisfied by any system failure that interrupts our ability to provide our products and services to them. We may not be able to easily switch our current operations to another cloud or other data center provider if there are disruptions or interference with our use of a third-party provider, and, even if we do switch our operations, other cloud and data center providers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92" w:name="page93"/>
    <w:bookmarkEnd w:id="9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to the same risks. Sustained or repeated system failures would reduce the attractiveness of our products and services, harm our reputation, and potentially reduce net sales. Moreover, negative publicity arising from these types of disruptions could damage our reputation and may adversely impact our business. For more information, see “—We rely heavily on our information technology systems, as well as those of our third-party vendors and service providers, for our business to effectively operate and to safeguard confidential information and any significant failure, inadequacy or interruption of these systems, security breaches or loss of data could materially adversely affect our business, financial condition and operations.”</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third-party providers do not have an obligation to renew their agreements with us on terms acceptable to us or at all. Although alternative data center providers could host our business on a substantially similar basis to our current third-party providers, transitioning our current cloud infrastructure to alternative providers could potentially be disruptive, and we could incur significant one-time costs. If we are unable to renew our agreement with our third-party providers on commercially acceptable terms, if our agreements with our third-party providers are prematurely terminated, or if we add additional infrastructure providers, we may experience costs or downtime in connection with the transfer to, or the addition of, new data center providers. If any of our infrastructure providers increase the costs of their services, our business, financial condition, or results of operations could be materially and adversely affected.</w:t>
      </w:r>
    </w:p>
    <w:p>
      <w:pPr>
        <w:spacing w:after="0" w:line="197"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procure third-party insurance policies to cover various operations-related risks, including employment practices liability, workers’ compensation, property and casualty, cybersecurity, directors’ and officers’ liability, and general business liabilities.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and our ability to adequately ensure the risks to our business could be impaired. A substantial amount of our inventory is in the custody of third parties such as our manufacturing partners, at any given time, and we are reliant on the adequacy of their insurance policies to cover potential loss or damage of our inventory in the custody of third parties. Any failure of such insurance policies to cover an event of loss or damage to inventory in the custody of third parties may result in a material loss to us.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93" w:name="page94"/>
    <w:bookmarkEnd w:id="9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Organizational Structure</w:t>
      </w:r>
    </w:p>
    <w:p>
      <w:pPr>
        <w:spacing w:after="0" w:line="235"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b w:val="1"/>
          <w:bCs w:val="1"/>
          <w:i w:val="1"/>
          <w:iCs w:val="1"/>
          <w:color w:val="auto"/>
        </w:rPr>
        <w:t>Our principal asset is our interest in Brilliant Earth, LLC, and, as a result, we depend on distributions from Brilliant Earth, LLC to pay our taxes and expenses, including payments under the Tax Receivable Agreement (as defined herein). Brilliant Earth, LLC’s ability to make such distributions may be subject to various limitations and restrictions.</w:t>
      </w:r>
    </w:p>
    <w:p>
      <w:pPr>
        <w:spacing w:after="0" w:line="19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are a holding company and have no material assets other than our ownership of LLC Interests (as defined herein). As such, we have no independent means of generating revenue or cash flow, and our ability to pay our taxes and operating expenses or declare and pay dividends in the future, if any, will be dependent upon the financial results and cash flows of Brilliant Earth, LLC and distributions we receive from Brilliant Earth, LLC. There can be no assurance that Brilliant Earth, LLC will generate sufficient cash flow to distribute funds to us or that applicable state law and contractual restrictions, including negative covenants in any applicable debt instruments, will permit such distributions. Brilliant Earth, LLC is currently subject to debt instruments or other agreements that restrict its ability to make distributions to us, which may in turn affect Brilliant Earth, LLC’s ability to pay distributions to us and thereby adversely affect our cash flows.</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Brilliant Earth, LLC will continue to be treated as a partnership for U.S. federal income tax purposes and, as such, generally will not be subject to any entity-level U.S. federal income tax. Instead, any taxable income of Brilliant Earth, LLC will be allocated to holders of LLC Interests, including us. Accordingly, we will incur income taxes on our allocable share of any net taxable income of Brilliant Earth, LLC. Under the terms of the Brilliant Earth LLC Agreement, Brilliant Earth, LLC will be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will be significant. We intend, as its managing member, to cause Brilliant Earth, LLC to make cash distributions to the holders of LLC Interests in an amount sufficient to (1) fund all or part of their tax obligations in respect of taxable income allocated to them and (2) cover our operating expenses, including payments under the Tax Receivable Agreement. However, Brilliant Earth, LLC’s ability to make such distributions may be subject to various limitations and restrictions, such as restrictions on distributions that would either violate any contract or agreement to which Brilliant Earth, LLC is then a party, including debt agreements, or any applicable law, or that would have the effect of rendering Brilliant Earth,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Brilliant Earth, LLC does not have sufficient funds to make distributions, our ability to declare and pay cash dividends will also be restricted or impaired, although we do not anticipate declaring or paying any cash dividends on our Class A common stock and Class D common stock in the foreseeable future.</w:t>
      </w:r>
    </w:p>
    <w:p>
      <w:pPr>
        <w:spacing w:after="0" w:line="199" w:lineRule="exact"/>
        <w:rPr>
          <w:sz w:val="20"/>
          <w:szCs w:val="20"/>
          <w:color w:val="auto"/>
        </w:rPr>
      </w:pPr>
    </w:p>
    <w:p>
      <w:pPr>
        <w:ind w:right="300"/>
        <w:spacing w:after="0" w:line="248" w:lineRule="auto"/>
        <w:rPr>
          <w:sz w:val="20"/>
          <w:szCs w:val="20"/>
          <w:color w:val="auto"/>
        </w:rPr>
      </w:pPr>
      <w:r>
        <w:rPr>
          <w:rFonts w:ascii="Arial" w:cs="Arial" w:eastAsia="Arial" w:hAnsi="Arial"/>
          <w:sz w:val="19"/>
          <w:szCs w:val="19"/>
          <w:color w:val="auto"/>
        </w:rPr>
        <w:t>Under the Brilliant Earth LLC Agreement, we intend to cause Brilliant Earth, LLC, from time to time, to make distributions in cash to its equityholders (including us) in amounts sufficient to cover the taxes imposed on their allocable share of taxable income of Brilliant Earth, LLC. As a result of (1) potential differences in the amount of net taxable income allocable to us and to Brilliant Earth, LLC’s other equityholders, (2) the lower tax rate applicable to corporations as opposed to individuals, and (3)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94" w:name="page95"/>
    <w:bookmarkEnd w:id="9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tax benefits that we anticipate from (a) future purchases or redemptions of LLC Interests from the Continuing Equity Owners, (b) payments under the Tax Receivable Agreement and (c) any acquisition of interests in Brilliant Earth,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or Class D common stock, as applicable, will be made as a result of any cash distribution by us or any retention of cash by us. To the extent we do not distribute such excess cash as dividends on our Class A common stock or Class D common stock we may take other actions with respect to such excess cash, for example, holding such excess cash, or lending it (or a portion thereof) to Brilliant Earth, LLC, which may result in shares of our Class A common stock and Class D common stock increasing in value relative to the value of LLC Interests. The holders of LLC Interests may benefit from any value attributable to such cash balances if they acquire shares of Class A common stock or Class D common stock, as applicable, in exchange for their LLC Interests, notwithstanding that such holders may have participated previously as holders of LLC Interests in distributions that resulted in such excess cash balances.</w:t>
      </w:r>
    </w:p>
    <w:p>
      <w:pPr>
        <w:spacing w:after="0" w:line="203"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consummation of our initial public offering of our Class A common stock, we entered into a Tax Receivable Agreement with Brilliant Earth, LLC and each of the Continuing Equity Owners (as defined.herein). Under the Tax Receivable Agreement, we are required to make cash payments to the Continuing Equity Owners equal to 85% of the tax benefits, if any, that we actually realize, or in certain circumstances are deemed to realize, as a result of (1) increases in Brilliant Earth Group, Inc.’s allocable share of the tax basis of Brilliant Earth, LLC’s assets resulting from (a) Brilliant Earth Group, Inc.’s purchase of LLC Interests directly from Brilliant Earth, LLC and from each Continuing Equity Owner, (b) any future redemptions or exchanges of LLC Interests for Class A common stock, Class D common stock, or cash, and (c) certain distributions (or deemed distributions) by Brilliant Earth, LLC; and (2) certain tax benefits arising from payments under the Tax Receivable Agreement. We expect that the amount of the cash payments we will be required to make under the Tax Receivable Agreement will be substantial. Any payments made by us to the Continuing Equity Owners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Payments under the Tax Receivable Agreement are not conditioned upon continued ownership of Brilliant Earth, LLC by the exchanging Continuing Equity Owners.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Assuming no material changes in the relevant tax laws and that we earn sufficient taxable income to realize all tax benefits that are subject to the Tax Receivable Agreement, we expect that the tax savings associated with the purchase of LLC Interests in connection with the initial public offering of our Class A common stock, together with future redemptions or exchanges of all remaining LLC Interests owned by the Continuing Equity Owners pursuant to the Brilliant Earth LLC Agreement as described above, would aggregate to approximately $349.2 million over 20 years from the date of our initial public offering based on the initial public offering price of $12.00 per share of our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 w:right="399" w:bottom="1440" w:gutter="0" w:footer="0" w:header="0"/>
        </w:sectPr>
      </w:pPr>
    </w:p>
    <w:bookmarkStart w:id="95" w:name="page96"/>
    <w:bookmarkEnd w:id="9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common stock assuming all future redemptions or exchanges would occur one year after September 23, 2021, the date of our initial public offering. Under such scenario, assuming future payments are made on the date each relevant tax return is due, without extensions, we would be required to pay approximately 85% of such amount, or approximately $296.9 million, over the 20-year period from September 23, 2021. The actual increase in tax basis and the actual utilization of any resulting tax benefits, as well as the amount and timing of any payments under the Tax Receivable Agreement,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12" w:lineRule="exact"/>
        <w:rPr>
          <w:sz w:val="20"/>
          <w:szCs w:val="20"/>
          <w:color w:val="auto"/>
        </w:rPr>
      </w:pPr>
    </w:p>
    <w:p>
      <w:pPr>
        <w:ind w:right="80"/>
        <w:spacing w:after="0" w:line="368" w:lineRule="auto"/>
        <w:rPr>
          <w:sz w:val="20"/>
          <w:szCs w:val="20"/>
          <w:color w:val="auto"/>
        </w:rPr>
      </w:pPr>
      <w:r>
        <w:rPr>
          <w:rFonts w:ascii="Arial" w:cs="Arial" w:eastAsia="Arial" w:hAnsi="Arial"/>
          <w:sz w:val="16"/>
          <w:szCs w:val="16"/>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entered into the Tax Receivable Agreement with Brilliant Earth, LLC and the Continuing Equity Owners in connection with the completion of our initial public offering and the Transactions, which will provide for the payment by us to the Continuing Equity Owners of 85% of the amount of tax benefits, if any, that we actually realize, or in some circumstances are deemed to realize, as a result of (1) increases in Brilliant Earth Group, Inc.’s allocable share of the tax basis of Brilliant Earth, LLC’s assets resulting from (a) Brilliant Earth Group, Inc.’s purchase of LLC Interests from each Continuing Equity Owner, (b) any future redemptions or exchanges of LLC Interests for Class A common stock or Class D common stock, and (c) certain distributions (or deemed distributions) by Brilliant Earth, LLC; and (2) certain tax benefits arising from payments under the Tax Receivable Agreement. Although we will retain 15% of the amount of such tax benefits, this and other aspects of our organizational structure may adversely impact the future trading market for our Class A common stock.</w:t>
      </w:r>
    </w:p>
    <w:p>
      <w:pPr>
        <w:spacing w:after="0" w:line="195" w:lineRule="exact"/>
        <w:rPr>
          <w:sz w:val="20"/>
          <w:szCs w:val="20"/>
          <w:color w:val="auto"/>
        </w:rPr>
      </w:pPr>
    </w:p>
    <w:p>
      <w:pPr>
        <w:ind w:right="380"/>
        <w:spacing w:after="0" w:line="300"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Continuing Equity Owners may be accelerated or significantly exceed any actual benefits we realize in respect of the tax attributes subject to the Tax Receivable Agreement.</w:t>
      </w:r>
    </w:p>
    <w:p>
      <w:pPr>
        <w:spacing w:after="0" w:line="158" w:lineRule="exact"/>
        <w:rPr>
          <w:sz w:val="20"/>
          <w:szCs w:val="20"/>
          <w:color w:val="auto"/>
        </w:rPr>
      </w:pPr>
    </w:p>
    <w:p>
      <w:pPr>
        <w:ind w:right="180"/>
        <w:spacing w:after="0" w:line="231" w:lineRule="auto"/>
        <w:rPr>
          <w:sz w:val="20"/>
          <w:szCs w:val="20"/>
          <w:color w:val="auto"/>
        </w:rPr>
      </w:pPr>
      <w:r>
        <w:rPr>
          <w:rFonts w:ascii="Arial" w:cs="Arial" w:eastAsia="Arial" w:hAnsi="Arial"/>
          <w:sz w:val="20"/>
          <w:szCs w:val="20"/>
          <w:color w:val="auto"/>
        </w:rPr>
        <w:t>The Tax Receivable Agreement provides that if (1) we materially breach any of our material obligations under the Tax Receivable Agreement, (2) certain mergers, asset sales, other forms of business combinations or other changes of control occur after the consummation of our initial public offering, or (3) we elect an early termination of the Tax Receivable Agreement, then our obligations, or our 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(including that we earn sufficient taxable income to realize all potential tax benefits that are subject to the Tax Receivable Agreement), which payment may be made significantly in advance of the actual realization, if any, of such future tax benefits. Such cash payment to the Continuing Equity Owners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6" w:name="page97"/>
    <w:bookmarkEnd w:id="9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48" w:lineRule="auto"/>
        <w:rPr>
          <w:sz w:val="20"/>
          <w:szCs w:val="20"/>
          <w:color w:val="auto"/>
        </w:rPr>
      </w:pPr>
      <w:r>
        <w:rPr>
          <w:rFonts w:ascii="Arial" w:cs="Arial" w:eastAsia="Arial" w:hAnsi="Arial"/>
          <w:sz w:val="19"/>
          <w:szCs w:val="19"/>
          <w:color w:val="auto"/>
        </w:rPr>
        <w:t>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204"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b w:val="1"/>
          <w:bCs w:val="1"/>
          <w:i w:val="1"/>
          <w:iCs w:val="1"/>
          <w:color w:val="auto"/>
        </w:rPr>
        <w:t>We will not be reimbursed for any payments made to the Continuing Equity Owners under the Tax Receivable Agreement in the event that any tax benefits are disallowed.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Payments under the Tax Receivable Agreement are based on the tax reporting positions that we determine, and the U.S. Internal Revenue Service (the “IRS”), or another tax authority, may challenge all or part of the tax basis increases or other tax benefits we claim, as well as other related tax positions we take, and a court could sustain such challenge. If the outcome of any such challenge would reasonably be expected to adversely affect the rights and obligations of Mainsail (as defined herein) or Just Rocks (as defined herein) in any material respect under the Tax Receivable Agreement, then we will not be permitted to settle such challenge without the consent (not to be unreasonably withheld or delayed) of Mainsail or Just Rocks, as applicable. The interests of Mainsail and Just Rocks in any such challenge may differ from or conflict with our interests and your interests, and Mainsail and Just Rocks may exercise their consent rights relating to any such challenge in a manner adverse to our interests and your interests. We will not be reimbursed for any cash payments previously made to the Continuing Equity Owners under the Tax Receivable Agreement in the event that any tax benefits initially claimed by us and for which payment has been made to a Continuing Equity Owner are subsequently challenged by a taxing authority and are ultimately disallowed. Instead, any excess cash payments made by us to a Continuing Equity Owner will be netted against future cash payments, if any, that we might otherwise be required to make to such Continuing Equity Owner, under the terms of the Tax Receivable Agreement. However, we might not determine that we have effectively made an excess cash payment to a Continuing Equity Owner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that are the subject of the Tax Receivable Agreement.</w:t>
      </w:r>
    </w:p>
    <w:p>
      <w:pPr>
        <w:spacing w:after="0" w:line="215"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204"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We are subject to taxation by U.S. federal, state, local, and foreign tax authorities. Our future effective tax rates could be subject to volatility or adversely affected by a number of factors, including:</w:t>
      </w:r>
    </w:p>
    <w:p>
      <w:pPr>
        <w:spacing w:after="0" w:line="204"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allocation of expenses to and among different jurisdictions;</w:t>
      </w:r>
    </w:p>
    <w:p>
      <w:pPr>
        <w:spacing w:after="0" w:line="2" w:lineRule="exact"/>
        <w:rPr>
          <w:rFonts w:ascii="Arial" w:cs="Arial" w:eastAsia="Arial" w:hAnsi="Arial"/>
          <w:sz w:val="20"/>
          <w:szCs w:val="20"/>
          <w:color w:val="auto"/>
        </w:rPr>
      </w:pPr>
    </w:p>
    <w:p>
      <w:pPr>
        <w:ind w:left="660" w:right="40" w:hanging="328"/>
        <w:spacing w:after="0" w:line="225"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expected timing and amount of the release of any tax valuation allowances;</w:t>
      </w:r>
    </w:p>
    <w:p>
      <w:pPr>
        <w:ind w:left="640" w:hanging="308"/>
        <w:spacing w:after="0" w:line="225" w:lineRule="auto"/>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tax effects of stock-based compensation;</w:t>
      </w:r>
    </w:p>
    <w:p>
      <w:pPr>
        <w:ind w:left="640" w:hanging="308"/>
        <w:spacing w:after="0" w:line="225" w:lineRule="auto"/>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costs related to intercompany restructurings;</w:t>
      </w:r>
    </w:p>
    <w:p>
      <w:pPr>
        <w:ind w:left="640" w:hanging="308"/>
        <w:spacing w:after="0" w:line="225" w:lineRule="auto"/>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tax laws, tax treaties, regulations or interpretations thereof;</w:t>
      </w: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outcome of current and future tax audits, examinations, or administrative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7" w:name="page98"/>
    <w:bookmarkEnd w:id="9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460" w:hanging="328"/>
        <w:spacing w:after="0" w:line="233"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lower than anticipated future earnings in jurisdictions where we have lower statutory tax rates and higher than anticipated future earnings in jurisdictions where we have higher statutory tax rates;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limitations or adverse findings regarding our ability to do business in some jurisdictions.</w:t>
      </w:r>
    </w:p>
    <w:p>
      <w:pPr>
        <w:spacing w:after="0" w:line="213"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Any changes in U.S. or foreign taxation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210"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i w:val="1"/>
          <w:iCs w:val="1"/>
          <w:color w:val="auto"/>
        </w:rPr>
        <w:t>If we were deemed to be an investment company under the Investment Company Act of 1940, as amended (the “1940 Act”), including as a result of our ownership of Brilliant Earth, LLC, applicable restrictions could make it impractical for us to continue our business as contemplated and could have a material adverse effect on our business.</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206" w:lineRule="exact"/>
        <w:rPr>
          <w:sz w:val="20"/>
          <w:szCs w:val="20"/>
          <w:color w:val="auto"/>
        </w:rPr>
      </w:pPr>
    </w:p>
    <w:p>
      <w:pPr>
        <w:jc w:val="both"/>
        <w:ind w:right="180"/>
        <w:spacing w:after="0" w:line="232" w:lineRule="auto"/>
        <w:rPr>
          <w:sz w:val="20"/>
          <w:szCs w:val="20"/>
          <w:color w:val="auto"/>
        </w:rPr>
      </w:pPr>
      <w:r>
        <w:rPr>
          <w:rFonts w:ascii="Arial" w:cs="Arial" w:eastAsia="Arial" w:hAnsi="Arial"/>
          <w:sz w:val="20"/>
          <w:szCs w:val="20"/>
          <w:color w:val="auto"/>
        </w:rPr>
        <w:t>We and Brilliant Earth, LLC intend to conduct our operations so that we will not be deemed an investment company. As the sole managing member of Brilliant Earth, LLC, we control and operate Brilliant Earth, LLC. On that basis, we believe that our interest in Brilliant Earth, LLC is not an “investment security” as that term is used in the 1940 Act. However, if we were to cease participation in the management of Brilliant Earth, LLC, or if Brilliant Earth, LLC itself becomes an investment company, our interest in Brilliant Earth, LLC could be deemed an “investment security” for purposes of the 1940 Act.</w:t>
      </w:r>
    </w:p>
    <w:p>
      <w:pPr>
        <w:spacing w:after="0" w:line="211"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We and Brilliant Earth,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Ownership of Our Class A Common Stock</w:t>
      </w:r>
    </w:p>
    <w:p>
      <w:pPr>
        <w:spacing w:after="0" w:line="235" w:lineRule="exact"/>
        <w:rPr>
          <w:sz w:val="20"/>
          <w:szCs w:val="20"/>
          <w:color w:val="auto"/>
        </w:rPr>
      </w:pPr>
    </w:p>
    <w:p>
      <w:pPr>
        <w:ind w:right="860"/>
        <w:spacing w:after="0" w:line="246" w:lineRule="auto"/>
        <w:rPr>
          <w:sz w:val="20"/>
          <w:szCs w:val="20"/>
          <w:color w:val="auto"/>
        </w:rPr>
      </w:pPr>
      <w:r>
        <w:rPr>
          <w:rFonts w:ascii="Arial" w:cs="Arial" w:eastAsia="Arial" w:hAnsi="Arial"/>
          <w:sz w:val="20"/>
          <w:szCs w:val="20"/>
          <w:b w:val="1"/>
          <w:bCs w:val="1"/>
          <w:i w:val="1"/>
          <w:iCs w:val="1"/>
          <w:color w:val="auto"/>
        </w:rPr>
        <w:t>The Continuing Equity Owners have significant influence over us, including control over decisions that require the approval of stockholders.</w:t>
      </w:r>
    </w:p>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Continuing Equity Owners control, in the aggregate, approximately 98.2% of the voting power represented by all our outstanding classes of stock. As a result, the Continuing Equity Owners exercise significant influence over all matters requiring stockholder approval, including the election and removal of directors and the size of our board, any amendment of our amended and restated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8" w:name="page99"/>
    <w:bookmarkEnd w:id="9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Continuing Equity Owners have the ability to elect through their voting power have the authority to incur additional debt, issue or repurchase stock, declare dividends, and make other decisions that could be detrimental to stockholders.</w:t>
      </w:r>
    </w:p>
    <w:p>
      <w:pPr>
        <w:spacing w:after="0" w:line="186"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Certain members of our board are appointed by and/or affiliated with the Continuing Equity Owners. The Continuing Equity Owners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Owners may have an adverse effect on the price of our Class A common stock. The Continuing Equity Owners may have interests that are different from yours and may vote in a way with which other stockholders disagree and that may be adverse to interests of our other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may change significantly and you could lose all or part of your investment as a result.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price of shares of our Class A Common stock may fluctuate based on</w:t>
      </w:r>
    </w:p>
    <w:p>
      <w:pPr>
        <w:spacing w:after="0" w:line="229"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technology changes, changes in consumer behavior in our industry;</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security breaches related to our systems or those of our affiliates or strategic partners;</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economic conditions for companies in our industry;</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market valuations of, or earnings and other announcements by, companies in our industry;</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declines in the market prices of stocks generally, particularly those of jewelry and consumer retail;</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strategic actions by us or our competitors;</w:t>
      </w:r>
    </w:p>
    <w:p>
      <w:pPr>
        <w:ind w:left="660" w:right="160" w:hanging="328"/>
        <w:spacing w:after="0" w:line="225"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announcements by us, our competitors or our strategic partners of significant contracts, new products, acquisitions, joint marketing relationships, joint ventures, other strategic relationships, or capital commitments;</w:t>
      </w:r>
    </w:p>
    <w:p>
      <w:pPr>
        <w:ind w:left="660" w:right="480" w:hanging="328"/>
        <w:spacing w:after="0" w:line="225"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general economic or market conditions or trends in our industry or the economy as a whole and, in particular, in the jewelry and consumer retail environment;</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business or regulatory conditions;</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future sales of our Class A common stock or other securities;</w:t>
      </w:r>
    </w:p>
    <w:p>
      <w:pPr>
        <w:ind w:left="660" w:right="840" w:hanging="328"/>
        <w:spacing w:after="0" w:line="225"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investor perceptions of the investment opportunity associated with our Class A common stock relative to other investment alternatives;</w:t>
      </w: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9" w:lineRule="exact"/>
        <w:rPr>
          <w:rFonts w:ascii="Arial" w:cs="Arial" w:eastAsia="Arial" w:hAnsi="Arial"/>
          <w:sz w:val="18"/>
          <w:szCs w:val="18"/>
          <w:color w:val="auto"/>
        </w:rPr>
      </w:pP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announcements relating to litigation or governmental investigations;</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guidance, if any, that we provide to the public, any changes in this guidance, or our failure to meet this guidance;</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development and sustainability of an active trading market for our stock;</w:t>
      </w:r>
    </w:p>
    <w:p>
      <w:pPr>
        <w:ind w:left="640" w:hanging="308"/>
        <w:spacing w:after="0" w:line="225" w:lineRule="auto"/>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accounting principles; and</w:t>
      </w:r>
    </w:p>
    <w:p>
      <w:pPr>
        <w:ind w:left="660" w:right="300" w:hanging="328"/>
        <w:spacing w:after="0" w:line="254" w:lineRule="auto"/>
        <w:tabs>
          <w:tab w:leader="none" w:pos="648" w:val="left"/>
        </w:tabs>
        <w:numPr>
          <w:ilvl w:val="0"/>
          <w:numId w:val="32"/>
        </w:numPr>
        <w:rPr>
          <w:rFonts w:ascii="Arial" w:cs="Arial" w:eastAsia="Arial" w:hAnsi="Arial"/>
          <w:sz w:val="19"/>
          <w:szCs w:val="19"/>
          <w:color w:val="auto"/>
        </w:rPr>
      </w:pPr>
      <w:r>
        <w:rPr>
          <w:rFonts w:ascii="Arial" w:cs="Arial" w:eastAsia="Arial" w:hAnsi="Arial"/>
          <w:sz w:val="19"/>
          <w:szCs w:val="19"/>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97"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6" w:right="419" w:bottom="1440" w:gutter="0" w:footer="0" w:header="0"/>
        </w:sectPr>
      </w:pPr>
    </w:p>
    <w:bookmarkStart w:id="99" w:name="page100"/>
    <w:bookmarkEnd w:id="9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cannot predict the effect our multi-class structure may have on the market price of our Class A common stock.</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cannot predict whether our multi-class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multi-class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i w:val="1"/>
          <w:iCs w:val="1"/>
          <w:color w:val="auto"/>
        </w:rPr>
        <w:t>We are a “controlled company” within the meaning of the Nasdaq rules and, as a result, qualify for, and intend to rely on, exemptions from certain corporate governance requirements and holders of our Class A common stock may not have the same protections afforded to stockholders of companies that are subject to such corporate governance requirements.</w:t>
      </w:r>
    </w:p>
    <w:p>
      <w:pPr>
        <w:spacing w:after="0" w:line="1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Mainsail and our Founders (as defined herein) have more than 50% of the voting power for the election of directors, and, as a result, we are considered a “controlled company” for the purposes of the corporate governance rules of Nasdaq. As such, we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corporate governance requirements and specifically the independence standards are intended to ensure that directors who are considered independent are free of any conflicting interest that could influence their actions as directors. We intend to utilize certain exemptions afforded to a “controlled company.” As a result, we are not be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00" w:name="page101"/>
    <w:bookmarkEnd w:id="100"/>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auto"/>
        </w:rPr>
        <w:t>Accordingly, holders of our Class A common stock may not have the same protections afforded to stockholders of companies that are subject to all of the corporate governance requirements of Nasdaq. Our status as a controlled company could make our Class A common stock less attractive to some investors or otherwise harm our stock price.</w:t>
      </w:r>
    </w:p>
    <w:p>
      <w:pPr>
        <w:spacing w:after="0" w:line="210" w:lineRule="exact"/>
        <w:rPr>
          <w:sz w:val="20"/>
          <w:szCs w:val="20"/>
          <w:color w:val="auto"/>
        </w:rPr>
      </w:pPr>
    </w:p>
    <w:p>
      <w:pPr>
        <w:ind w:right="460"/>
        <w:spacing w:after="0" w:line="246" w:lineRule="auto"/>
        <w:rPr>
          <w:sz w:val="20"/>
          <w:szCs w:val="20"/>
          <w:color w:val="auto"/>
        </w:rPr>
      </w:pPr>
      <w:r>
        <w:rPr>
          <w:rFonts w:ascii="Arial" w:cs="Arial" w:eastAsia="Arial" w:hAnsi="Arial"/>
          <w:sz w:val="20"/>
          <w:szCs w:val="20"/>
          <w:b w:val="1"/>
          <w:bCs w:val="1"/>
          <w:i w:val="1"/>
          <w:iCs w:val="1"/>
          <w:color w:val="auto"/>
        </w:rPr>
        <w:t>Certain provisions of Delaware law and antitakeover provisions in our organizational documents could delay or prevent a change of control.</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9"/>
          <w:szCs w:val="19"/>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204"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classified board of directors with staggered three-year terms;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ability of our board of directors to issue one or more series of preferred stock;</w:t>
      </w:r>
    </w:p>
    <w:p>
      <w:pPr>
        <w:ind w:left="660" w:right="340" w:hanging="328"/>
        <w:spacing w:after="0" w:line="250"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any time when Mainsail and our Founders beneficially own, in the aggregate, at least a majority of the voting power of our outstanding capital stock, our stockholders may take action by consent without a meeting, and at any time when Mainsail and our Founders beneficially own, in the aggregate, less than the majority of the voting power of our outstanding capital stock, our stockholders may not take action by consent, but may only take action at a meeting of stockholders;</w:t>
      </w:r>
    </w:p>
    <w:p>
      <w:pPr>
        <w:spacing w:after="0" w:line="1" w:lineRule="exact"/>
        <w:rPr>
          <w:rFonts w:ascii="Arial" w:cs="Arial" w:eastAsia="Arial" w:hAnsi="Arial"/>
          <w:sz w:val="18"/>
          <w:szCs w:val="18"/>
          <w:color w:val="auto"/>
        </w:rPr>
      </w:pPr>
    </w:p>
    <w:p>
      <w:pPr>
        <w:ind w:left="660" w:right="420" w:hanging="328"/>
        <w:spacing w:after="0" w:line="225"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vacancies on our board of directors will be able to be filled only by our board of directors and not by stockholders, subject to the rights granted pursuant to the stockholders agreement;</w:t>
      </w:r>
    </w:p>
    <w:p>
      <w:pPr>
        <w:ind w:left="660" w:right="340" w:hanging="328"/>
        <w:spacing w:after="0" w:line="225"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advance notice procedures apply for stockholders (other than the parties to our stockholders agreement for nominations made pursuant to the terms of the stockholders agreement) to nominate candidates for election as directors or to bring matters before an annual meeting of stockholders;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inability of our stockholders to call a special meeting of stockholders;</w:t>
      </w:r>
    </w:p>
    <w:p>
      <w:pPr>
        <w:ind w:left="640" w:hanging="308"/>
        <w:spacing w:after="0" w:line="225" w:lineRule="auto"/>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prohibit cumulative voting in the election of directors;</w:t>
      </w:r>
    </w:p>
    <w:p>
      <w:pPr>
        <w:ind w:left="660" w:hanging="328"/>
        <w:spacing w:after="0" w:line="237"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color w:val="auto"/>
        </w:rPr>
        <w:t>at any time when Mainsail and our Founders beneficially own, in the aggregate, at least a majority of the voting power of our outstanding capital stock, directors may be removed at any time with or without cause upon the affirmative vote of the holders of capital stock representing a majority of the voting power of our outstanding shares of capital stock entitled to vote thereon, and at any time when Mainsail and our Founders beneficially own, in the aggregate, less than the majority of the voting power of our outstanding shares of capital stock entitled to vote generally in the election of directors, in the aggregate, directors may only be removed for cause and only upon the affirmative vote of at least 66 2/3% of the holders of capital stock representing the voting power of our outstanding shares of capital stock entitled to vote thereon; and</w:t>
      </w:r>
    </w:p>
    <w:p>
      <w:pPr>
        <w:spacing w:after="0" w:line="1" w:lineRule="exact"/>
        <w:rPr>
          <w:rFonts w:ascii="Arial" w:cs="Arial" w:eastAsia="Arial" w:hAnsi="Arial"/>
          <w:sz w:val="19"/>
          <w:szCs w:val="19"/>
          <w:color w:val="auto"/>
        </w:rPr>
      </w:pPr>
    </w:p>
    <w:p>
      <w:pPr>
        <w:ind w:left="660" w:right="220" w:hanging="328"/>
        <w:spacing w:after="0" w:line="234"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that certain provisions of amended and restated certificate of incorporation may be amended only by the affirmative vote of at least 66 2/3% of the voting power represented by our then-outstanding common stock.</w:t>
      </w:r>
    </w:p>
    <w:p>
      <w:pPr>
        <w:spacing w:after="0" w:line="211" w:lineRule="exact"/>
        <w:rPr>
          <w:sz w:val="20"/>
          <w:szCs w:val="20"/>
          <w:color w:val="auto"/>
        </w:rPr>
      </w:pPr>
    </w:p>
    <w:p>
      <w:pPr>
        <w:ind w:right="320"/>
        <w:spacing w:after="0" w:line="300"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58" w:lineRule="exact"/>
        <w:rPr>
          <w:sz w:val="20"/>
          <w:szCs w:val="20"/>
          <w:color w:val="auto"/>
        </w:rPr>
      </w:pPr>
    </w:p>
    <w:p>
      <w:pPr>
        <w:ind w:right="120"/>
        <w:spacing w:after="0" w:line="248" w:lineRule="auto"/>
        <w:rPr>
          <w:sz w:val="20"/>
          <w:szCs w:val="20"/>
          <w:color w:val="auto"/>
        </w:rPr>
      </w:pPr>
      <w:r>
        <w:rPr>
          <w:rFonts w:ascii="Arial" w:cs="Arial" w:eastAsia="Arial" w:hAnsi="Arial"/>
          <w:sz w:val="19"/>
          <w:szCs w:val="19"/>
          <w:color w:val="auto"/>
        </w:rPr>
        <w:t>In addition, we have opted out of Section 203 of the General Corporation Law of the State of Delaware (the “DGCL”), but our amended and restated certificate of incorporation provides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1" w:name="page102"/>
    <w:bookmarkEnd w:id="101"/>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This reduced disclosure may make our Class A common stock less attractive to investors.</w:t>
      </w:r>
    </w:p>
    <w:p>
      <w:pPr>
        <w:spacing w:after="0" w:line="210"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The JOBS Act is intended to reduce the regulatory burden on “emerging growth companies.” As defined in the JOBS Act, a public company whose initial public offering of common equity securities occurs after December 8, 2011, and whose annual net sales are less than $1.07 billion will, in general, qualify as an “emerging growth company” until the earliest of:</w:t>
      </w:r>
    </w:p>
    <w:p>
      <w:pPr>
        <w:spacing w:after="0" w:line="210"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last day of its fiscal year following the fifth anniversary of the date of its initial public offering of common equity securities;</w:t>
      </w:r>
    </w:p>
    <w:p>
      <w:pPr>
        <w:spacing w:after="0" w:line="13" w:lineRule="exact"/>
        <w:rPr>
          <w:rFonts w:ascii="Arial" w:cs="Arial" w:eastAsia="Arial" w:hAnsi="Arial"/>
          <w:sz w:val="19"/>
          <w:szCs w:val="19"/>
          <w:color w:val="auto"/>
        </w:rPr>
      </w:pPr>
    </w:p>
    <w:p>
      <w:pPr>
        <w:ind w:left="640" w:hanging="308"/>
        <w:spacing w:after="0" w:line="225" w:lineRule="auto"/>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last day of its fiscal year in which it has annual gross revenue of $1.07 billion or more;</w:t>
      </w:r>
    </w:p>
    <w:p>
      <w:pPr>
        <w:ind w:left="640" w:hanging="308"/>
        <w:spacing w:after="0" w:line="237" w:lineRule="auto"/>
        <w:tabs>
          <w:tab w:leader="none" w:pos="6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date on which it has, during the previous three-year period, issued more than $1.07 billion in nonconvertible debt; and</w:t>
      </w:r>
    </w:p>
    <w:p>
      <w:pPr>
        <w:ind w:left="660" w:right="100" w:hanging="328"/>
        <w:spacing w:after="0" w:line="220" w:lineRule="exact"/>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which will occur at such time as the company (1) has an aggregate worldwide market value of common equity securities held by non</w:t>
      </w:r>
      <w:r>
        <w:rPr>
          <w:rFonts w:ascii="MS PGothic" w:cs="MS PGothic" w:eastAsia="MS PGothic" w:hAnsi="MS PGothic"/>
          <w:sz w:val="18"/>
          <w:szCs w:val="18"/>
          <w:color w:val="auto"/>
        </w:rPr>
        <w:t>‑</w:t>
      </w:r>
      <w:r>
        <w:rPr>
          <w:rFonts w:ascii="Arial" w:cs="Arial" w:eastAsia="Arial" w:hAnsi="Arial"/>
          <w:sz w:val="18"/>
          <w:szCs w:val="18"/>
          <w:color w:val="auto"/>
        </w:rPr>
        <w:t>affiliates of $700 million or more as of the last business day of its most recently completed second fiscal quarter, (2) has been required to file annual and quarterly reports under the Exchange, for a period of at least 12 months, and (3) has filed at least one annual report pursuant to the Exchange Act.</w:t>
      </w:r>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Under this definition, we are an “emerging growth company” and could remain an “emerging growth company” until as late as December 31, 2026. For so long as we are an “emerging growth company,” we will, among other things:</w:t>
      </w:r>
    </w:p>
    <w:p>
      <w:pPr>
        <w:spacing w:after="0" w:line="204"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 be required to comply with the auditor attestation requirements of Section 404(b) of the Sarbanes-Oxley Act;</w:t>
      </w:r>
    </w:p>
    <w:p>
      <w:pPr>
        <w:spacing w:after="0" w:line="2" w:lineRule="exact"/>
        <w:rPr>
          <w:rFonts w:ascii="Arial" w:cs="Arial" w:eastAsia="Arial" w:hAnsi="Arial"/>
          <w:sz w:val="20"/>
          <w:szCs w:val="20"/>
          <w:color w:val="auto"/>
        </w:rPr>
      </w:pPr>
    </w:p>
    <w:p>
      <w:pPr>
        <w:ind w:left="660" w:right="700" w:hanging="328"/>
        <w:spacing w:after="0" w:line="225"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 be required to hold a nonbinding advisory stockholder vote on executive compensation pursuant to Section 14A(a) of the Exchange Act;</w:t>
      </w:r>
    </w:p>
    <w:p>
      <w:pPr>
        <w:ind w:left="660" w:right="120" w:hanging="328"/>
        <w:spacing w:after="0" w:line="225"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 be required to seek stockholder approval of any golden parachute payments not previously approved pursuant to Section 14A(b) of the Exchange Act;</w:t>
      </w:r>
    </w:p>
    <w:p>
      <w:pPr>
        <w:ind w:left="660" w:right="120" w:hanging="328"/>
        <w:spacing w:after="0" w:line="225"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be exempt from the requirement of the Public Company Accounting Oversight Board, regarding the communication of critical audit matters in the auditor’s report on the financial statements; and</w:t>
      </w:r>
    </w:p>
    <w:p>
      <w:pPr>
        <w:ind w:left="640" w:hanging="308"/>
        <w:spacing w:after="0"/>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be subject to reduced disclosure obligations regarding executive compensation in our periodic reports and proxy statements.</w:t>
      </w:r>
    </w:p>
    <w:p>
      <w:pPr>
        <w:spacing w:after="0" w:line="225"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condensed consolidated financial statements may not be comparable to the financial statements of issuers who are required to comply with the effective dates for new or revised accounting standards that are applicable to public companies.</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Investors may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02" w:name="page103"/>
    <w:bookmarkEnd w:id="102"/>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i w:val="1"/>
          <w:iCs w:val="1"/>
          <w:color w:val="auto"/>
        </w:rPr>
        <w:t>Pursuant to the Dodd-Frank Act and SEC rules, we must file public disclosures regarding the country of origin of certain supplies, which could damage our reputation or impact our ability to obtain merchandise if customers or other stakeholders react negatively to our disclosures.</w:t>
      </w:r>
    </w:p>
    <w:p>
      <w:pPr>
        <w:spacing w:after="0" w:line="210" w:lineRule="exact"/>
        <w:rPr>
          <w:sz w:val="20"/>
          <w:szCs w:val="20"/>
          <w:color w:val="auto"/>
        </w:rPr>
      </w:pPr>
    </w:p>
    <w:p>
      <w:pPr>
        <w:ind w:right="80"/>
        <w:spacing w:after="0" w:line="243" w:lineRule="auto"/>
        <w:rPr>
          <w:sz w:val="20"/>
          <w:szCs w:val="20"/>
          <w:color w:val="auto"/>
        </w:rPr>
      </w:pPr>
      <w:r>
        <w:rPr>
          <w:rFonts w:ascii="Arial" w:cs="Arial" w:eastAsia="Arial" w:hAnsi="Arial"/>
          <w:sz w:val="19"/>
          <w:szCs w:val="19"/>
          <w:color w:val="auto"/>
        </w:rPr>
        <w:t>In August 2012, the SEC, pursuant to the Dodd-Frank Wall Street Reform and Consumer Protection Act (“Dodd-Frank Act”), issued final rules, which require annual disclosure and reporting on the source and use of certain minerals, including gold, from the Democratic Republic of Congo and adjoining countries. The gold supply chain is complex and, while management believes that the rules currently cover less than 1% of annual worldwide gold production (based upon recent estimates), the final rules require us and other affected companies that file with the SEC to make specified country of origin inquiries of our suppliers, and otherwise to exercise reasonable due diligence in determining the country of origin and certain other information relating to any of the statutorily designated minerals (gold, tin, tantalum, and tungsten), that are used in products sold by us in the U.S. and elsewhere.</w:t>
      </w:r>
    </w:p>
    <w:p>
      <w:pPr>
        <w:spacing w:after="0" w:line="206"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There may be reputational risks associated with any potential negative response of our customers and other stakeholders to future disclosures by us in the event that, due to the complexity of the global supply chain, we are unable to sufficiently verify the origin of the relevant metals. Also, if future responses to verification requests by suppliers of any of the covered minerals used in our products are inadequate or adverse, our ability to obtain merchandise may be impaired, and its compliance costs may increase. The final rules also cover tungsten and tin, which are contained in a small proportion of items that are sold by us. It is possible that other minerals, such as diamonds, could be subject to similar rules.</w:t>
      </w:r>
    </w:p>
    <w:p>
      <w:pPr>
        <w:spacing w:after="0" w:line="211"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provides (A) (i) any derivative action or proceeding brought on behalf of the Company,</w:t>
      </w:r>
    </w:p>
    <w:p>
      <w:pPr>
        <w:spacing w:after="0" w:line="25" w:lineRule="exact"/>
        <w:rPr>
          <w:sz w:val="20"/>
          <w:szCs w:val="20"/>
          <w:color w:val="auto"/>
        </w:rPr>
      </w:pPr>
    </w:p>
    <w:p>
      <w:pPr>
        <w:ind w:firstLine="8"/>
        <w:spacing w:after="0" w:line="252" w:lineRule="auto"/>
        <w:tabs>
          <w:tab w:leader="none" w:pos="2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03" w:name="page104"/>
    <w:bookmarkEnd w:id="103"/>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204" w:lineRule="exact"/>
        <w:rPr>
          <w:sz w:val="20"/>
          <w:szCs w:val="20"/>
          <w:color w:val="auto"/>
        </w:rPr>
      </w:pPr>
    </w:p>
    <w:p>
      <w:pPr>
        <w:ind w:right="80"/>
        <w:spacing w:after="0" w:line="228" w:lineRule="auto"/>
        <w:rPr>
          <w:sz w:val="20"/>
          <w:szCs w:val="20"/>
          <w:color w:val="auto"/>
        </w:rPr>
      </w:pPr>
      <w:r>
        <w:rPr>
          <w:rFonts w:ascii="Arial" w:cs="Arial" w:eastAsia="Arial" w:hAnsi="Arial"/>
          <w:sz w:val="20"/>
          <w:szCs w:val="20"/>
          <w:color w:val="auto"/>
        </w:rPr>
        <w:t>The trading market for our Class A common stock relies in part on the research and reports that industry or financial analysts publish about us or our business. We do not control these analysts. If one or more of the analysts who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4" w:lineRule="exact"/>
        <w:rPr>
          <w:sz w:val="20"/>
          <w:szCs w:val="20"/>
          <w:color w:val="auto"/>
        </w:rPr>
      </w:pPr>
    </w:p>
    <w:p>
      <w:pPr>
        <w:ind w:right="280"/>
        <w:spacing w:after="0" w:line="231" w:lineRule="auto"/>
        <w:rPr>
          <w:sz w:val="20"/>
          <w:szCs w:val="20"/>
          <w:color w:val="auto"/>
        </w:rPr>
      </w:pPr>
      <w:r>
        <w:rPr>
          <w:rFonts w:ascii="Arial" w:cs="Arial" w:eastAsia="Arial" w:hAnsi="Arial"/>
          <w:sz w:val="20"/>
          <w:szCs w:val="20"/>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11" w:lineRule="exact"/>
        <w:rPr>
          <w:sz w:val="20"/>
          <w:szCs w:val="20"/>
          <w:color w:val="auto"/>
        </w:rPr>
      </w:pPr>
    </w:p>
    <w:p>
      <w:pPr>
        <w:ind w:right="780"/>
        <w:spacing w:after="0" w:line="246" w:lineRule="auto"/>
        <w:rPr>
          <w:sz w:val="20"/>
          <w:szCs w:val="20"/>
          <w:color w:val="auto"/>
        </w:rPr>
      </w:pPr>
      <w:r>
        <w:rPr>
          <w:rFonts w:ascii="Arial" w:cs="Arial" w:eastAsia="Arial" w:hAnsi="Arial"/>
          <w:sz w:val="20"/>
          <w:szCs w:val="20"/>
          <w:b w:val="1"/>
          <w:bCs w:val="1"/>
          <w:i w:val="1"/>
          <w:iCs w:val="1"/>
          <w:color w:val="auto"/>
        </w:rPr>
        <w:t>If our estimates or judgments relating to our critical accounting policies prove to be incorrect, our results of operations could be adversely affected.</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of this Quarterly Report on Form 10-Q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contingencies; valuation of our common stock and equity awards; income taxes; and sales and indirect tax reserves.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95"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b w:val="1"/>
          <w:bCs w:val="1"/>
          <w:i w:val="1"/>
          <w:iCs w:val="1"/>
          <w:color w:val="auto"/>
        </w:rPr>
        <w:t>Future sales, or the perception of future sales, by us or our existing stockholders in the public market could cause the market price for our Class A common stock to decline.</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9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As of September 30, 2021, we have outstanding a total of 9,583,332 shares of Class A common stock. Of the outstanding shares, the 9,583,332 shares sold in our initial public offering are freely tradable without restriction or further registration under the Securities Act, other than any shares held by our affiliates. Any shares of Class A common stock held by our affiliates will be eligible for resale pursuant to Rule 144 under the Securities Act, subject to the volume, manner of sale, holding period and other limitations of Rule 144.</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Our directors and executive officers, and substantially all of our pre-initial public offering stockholders entered into lock-up agreements with the underwriters of our initial public offering which, subject to certain exceptions, restrict the sale of the shares of our Class A common stock and certain other securities held by them for a period of 180 days after the date of the Prospectus. J.P. Morgan Securities LLC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04" w:name="page105"/>
    <w:bookmarkEnd w:id="104"/>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Credit Suisse Securities (USA) LLC may, in their sole discretion and at any time without notice, release all or any portion of the shares or securities subject to any such lock-up agreements.</w:t>
      </w:r>
    </w:p>
    <w:p>
      <w:pPr>
        <w:spacing w:after="0" w:line="204" w:lineRule="exact"/>
        <w:rPr>
          <w:sz w:val="20"/>
          <w:szCs w:val="20"/>
          <w:color w:val="auto"/>
        </w:rPr>
      </w:pPr>
    </w:p>
    <w:p>
      <w:pPr>
        <w:jc w:val="both"/>
        <w:ind w:right="100"/>
        <w:spacing w:after="0" w:line="234" w:lineRule="auto"/>
        <w:rPr>
          <w:sz w:val="20"/>
          <w:szCs w:val="20"/>
          <w:color w:val="auto"/>
        </w:rPr>
      </w:pPr>
      <w:r>
        <w:rPr>
          <w:rFonts w:ascii="Arial" w:cs="Arial" w:eastAsia="Arial" w:hAnsi="Arial"/>
          <w:sz w:val="20"/>
          <w:szCs w:val="20"/>
          <w:color w:val="auto"/>
        </w:rPr>
        <w:t>In addition, we have reserved 10,923,912 shares of Class A common stock for issuance under our 2021 Incentive Award Plan and 1,638,586 shares of Class A common stock for issuance under our Employee Stock Purchase Plan. Any Class A common stock that we issue under the 2021 Plan, the ESPP, or other equity incentive plans that we may adopt in the future would dilute your percentage ownership in our Class A common stock.</w:t>
      </w:r>
    </w:p>
    <w:p>
      <w:pPr>
        <w:spacing w:after="0" w:line="210"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210"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35" w:lineRule="exact"/>
        <w:rPr>
          <w:sz w:val="20"/>
          <w:szCs w:val="20"/>
          <w:color w:val="auto"/>
        </w:rPr>
      </w:pPr>
    </w:p>
    <w:p>
      <w:pPr>
        <w:jc w:val="both"/>
        <w:ind w:right="240"/>
        <w:spacing w:after="0" w:line="325" w:lineRule="auto"/>
        <w:rPr>
          <w:sz w:val="20"/>
          <w:szCs w:val="20"/>
          <w:color w:val="auto"/>
        </w:rPr>
      </w:pPr>
      <w:r>
        <w:rPr>
          <w:rFonts w:ascii="Arial" w:cs="Arial" w:eastAsia="Arial" w:hAnsi="Arial"/>
          <w:sz w:val="16"/>
          <w:szCs w:val="16"/>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210"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In addition, we are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December 31, 2026.</w:t>
      </w:r>
    </w:p>
    <w:p>
      <w:pPr>
        <w:spacing w:after="0" w:line="20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05" w:name="page106"/>
    <w:bookmarkEnd w:id="105"/>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will incur significant costs as a result of operating as a public company.</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Prior to our initial public offering, we operated on a private basis, and most of our management team does not have public company experience. We are now subject to the reporting requirements of the Exchange Act, the Sarbanes-Oxley Act, the Dodd-Frank Act, the listing requirements of the Nasdaq Global Market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newly public company and being subject to new rules and regulations will make it more expensive for us to obtain director and officer liability or other types of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 Purchases of Equity Securities by the Issuer or Affiliated Purchaser</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On September 22, 2021, the Company issued (i) 35,542,035 shares of Class B common stock of the Company, par value $0.0001 per share, to Mainsail Partners III, L.P., a Delaware limited partnership, Mainsail Incentive Program, LLC, a Delaware limited liability company, Mainsail Co-Investors III, L.P., a Delaware Limited Partnership and the Members (as defined in the Amended and Restated Limited Liability Company Agreement of Brilliant Earth, LLC, dated September 22, 2021), on a one-to-one basis equal to the number of common membership interests of the LLC it owns, in exchange for nominal consideration and (ii) 49,505,250 shares of Class C common stock of the Company, par value $0.0001 per share, to Just Rocks, Inc., a Delaware corporation, on a one-to-one basis equal to the number of common membership interests of the LLC it owns, in exchange for nominal consideration (the “Exchange”).</w:t>
      </w:r>
    </w:p>
    <w:p>
      <w:pPr>
        <w:spacing w:after="0" w:line="206" w:lineRule="exact"/>
        <w:rPr>
          <w:sz w:val="20"/>
          <w:szCs w:val="20"/>
          <w:color w:val="auto"/>
        </w:rPr>
      </w:pPr>
    </w:p>
    <w:p>
      <w:pPr>
        <w:jc w:val="both"/>
        <w:ind w:right="80"/>
        <w:spacing w:after="0" w:line="325" w:lineRule="auto"/>
        <w:rPr>
          <w:sz w:val="20"/>
          <w:szCs w:val="20"/>
          <w:color w:val="auto"/>
        </w:rPr>
      </w:pPr>
      <w:r>
        <w:rPr>
          <w:rFonts w:ascii="Arial" w:cs="Arial" w:eastAsia="Arial" w:hAnsi="Arial"/>
          <w:sz w:val="16"/>
          <w:szCs w:val="16"/>
          <w:color w:val="auto"/>
        </w:rPr>
        <w:t>No underwriters were involved in the issuance and sale of the shares of Class B common stock or the issuance of shares of Class C common stock pursuant to the Exchange. The shares of Class B common stock and Class C common stock were issued in reliance upon an exemption from registration pursuant to Section 4(a)(2) of the Securities Act on the basis that the transaction did not involve a public offering.</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w:t>
      </w:r>
    </w:p>
    <w:p>
      <w:pPr>
        <w:spacing w:after="0" w:line="235" w:lineRule="exact"/>
        <w:rPr>
          <w:sz w:val="20"/>
          <w:szCs w:val="20"/>
          <w:color w:val="auto"/>
        </w:rPr>
      </w:pPr>
    </w:p>
    <w:p>
      <w:pPr>
        <w:jc w:val="both"/>
        <w:ind w:right="60"/>
        <w:spacing w:after="0" w:line="248" w:lineRule="auto"/>
        <w:rPr>
          <w:sz w:val="20"/>
          <w:szCs w:val="20"/>
          <w:color w:val="auto"/>
        </w:rPr>
      </w:pPr>
      <w:r>
        <w:rPr>
          <w:rFonts w:ascii="Arial" w:cs="Arial" w:eastAsia="Arial" w:hAnsi="Arial"/>
          <w:sz w:val="19"/>
          <w:szCs w:val="19"/>
          <w:color w:val="auto"/>
        </w:rPr>
        <w:t>On September 27, 2021, we completed the IPO of shares of our Class A common stock, in which we issued and sold 9,583,332 shares of our Class A common stock, including the full exercise by the underwriters of the offering of their option to purchase 1,249,999 shares, at a price to the public of $12.00 per share. We raised net proceeds to us of approximately $101.9 million, after deducting the underwriting discount of $7.5 million and offering expenses of $5.6 million. All shares sold were registered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 w:right="359" w:bottom="1440" w:gutter="0" w:footer="0" w:header="0"/>
        </w:sectPr>
      </w:pPr>
    </w:p>
    <w:bookmarkStart w:id="106" w:name="page107"/>
    <w:bookmarkEnd w:id="106"/>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registration statement on Form S-1 (File No. 333- 259164), as amended (the “Registration Statement”), declared effective by the SEC on September 22, 2021. J.P. Morgan Securities LLC, Credit Suisse Securities (USA) LLC, Jefferies LLC and Cowen and Company, LLC acted as representatives of the underwriters for the offering. The offering terminated after the sale of all securities registered pursuant to the Registration Statement. No payments for expenses were made directly or indirectly to (i) any of our officers or directors or their associates,</w:t>
      </w:r>
    </w:p>
    <w:p>
      <w:pPr>
        <w:ind w:firstLine="8"/>
        <w:spacing w:after="0" w:line="229" w:lineRule="auto"/>
        <w:tabs>
          <w:tab w:leader="none" w:pos="291"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persons owning 10% or more of any class of our equity securities or (iii) any of our affiliates. The net proceeds of the IPO were used to purchase 8,333,333 LLC Units from Brilliant Earth, LLC and 1,249,999 LLC Units in the form of a redemption from the Continuing Equity Owners at a price per unit equal to the IPO price of $11.22 per share after deducting the underwriting discount. There has been no material change in the expected use of the net proceeds from our initial public offering as described in our Prospectus dated September 22, 2021.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6" w:right="439" w:bottom="1440" w:gutter="0" w:footer="0" w:header="0"/>
        </w:sectPr>
      </w:pPr>
    </w:p>
    <w:bookmarkStart w:id="107" w:name="page108"/>
    <w:bookmarkEnd w:id="107"/>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gridSpan w:val="2"/>
          </w:tcPr>
          <w:p>
            <w:pPr>
              <w:ind w:left="520"/>
              <w:spacing w:after="0"/>
              <w:rPr>
                <w:sz w:val="20"/>
                <w:szCs w:val="20"/>
                <w:color w:val="auto"/>
              </w:rPr>
            </w:pPr>
            <w:r>
              <w:rPr>
                <w:rFonts w:ascii="Arial" w:cs="Arial" w:eastAsia="Arial" w:hAnsi="Arial"/>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6"/>
        </w:trPr>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333"/>
        </w:trPr>
        <w:tc>
          <w:tcPr>
            <w:tcW w:w="1140" w:type="dxa"/>
            <w:vAlign w:val="bottom"/>
          </w:tcPr>
          <w:p>
            <w:pPr>
              <w:ind w:left="100"/>
              <w:spacing w:after="0"/>
              <w:rPr>
                <w:sz w:val="20"/>
                <w:szCs w:val="20"/>
                <w:color w:val="auto"/>
              </w:rPr>
            </w:pPr>
            <w:r>
              <w:rPr>
                <w:rFonts w:ascii="Arial" w:cs="Arial" w:eastAsia="Arial" w:hAnsi="Arial"/>
                <w:sz w:val="14"/>
                <w:szCs w:val="14"/>
                <w:color w:val="auto"/>
              </w:rPr>
              <w:t>Exhibit Number</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40" w:type="dxa"/>
            <w:vAlign w:val="bottom"/>
            <w:gridSpan w:val="17"/>
          </w:tcPr>
          <w:p>
            <w:pPr>
              <w:ind w:left="60"/>
              <w:spacing w:after="0"/>
              <w:rPr>
                <w:sz w:val="20"/>
                <w:szCs w:val="20"/>
                <w:color w:val="auto"/>
              </w:rPr>
            </w:pPr>
            <w:r>
              <w:rPr>
                <w:rFonts w:ascii="Arial" w:cs="Arial" w:eastAsia="Arial" w:hAnsi="Arial"/>
                <w:sz w:val="14"/>
                <w:szCs w:val="14"/>
                <w:color w:val="auto"/>
              </w:rPr>
              <w:t>Exhibit Description</w:t>
            </w:r>
          </w:p>
        </w:tc>
        <w:tc>
          <w:tcPr>
            <w:tcW w:w="900" w:type="dxa"/>
            <w:vAlign w:val="bottom"/>
          </w:tcPr>
          <w:p>
            <w:pPr>
              <w:jc w:val="center"/>
              <w:spacing w:after="0"/>
              <w:rPr>
                <w:sz w:val="20"/>
                <w:szCs w:val="20"/>
                <w:color w:val="auto"/>
              </w:rPr>
            </w:pPr>
            <w:r>
              <w:rPr>
                <w:rFonts w:ascii="Arial" w:cs="Arial" w:eastAsia="Arial" w:hAnsi="Arial"/>
                <w:sz w:val="14"/>
                <w:szCs w:val="14"/>
                <w:color w:val="auto"/>
                <w:w w:val="97"/>
              </w:rPr>
              <w:t>Form</w:t>
            </w:r>
          </w:p>
        </w:tc>
        <w:tc>
          <w:tcPr>
            <w:tcW w:w="1220" w:type="dxa"/>
            <w:vAlign w:val="bottom"/>
          </w:tcPr>
          <w:p>
            <w:pPr>
              <w:ind w:left="380"/>
              <w:spacing w:after="0"/>
              <w:rPr>
                <w:sz w:val="20"/>
                <w:szCs w:val="20"/>
                <w:color w:val="auto"/>
              </w:rPr>
            </w:pPr>
            <w:r>
              <w:rPr>
                <w:rFonts w:ascii="Arial" w:cs="Arial" w:eastAsia="Arial" w:hAnsi="Arial"/>
                <w:sz w:val="14"/>
                <w:szCs w:val="14"/>
                <w:color w:val="auto"/>
              </w:rPr>
              <w:t>File No.</w:t>
            </w:r>
          </w:p>
        </w:tc>
        <w:tc>
          <w:tcPr>
            <w:tcW w:w="1060" w:type="dxa"/>
            <w:vAlign w:val="bottom"/>
          </w:tcPr>
          <w:p>
            <w:pPr>
              <w:ind w:left="260"/>
              <w:spacing w:after="0"/>
              <w:rPr>
                <w:sz w:val="20"/>
                <w:szCs w:val="20"/>
                <w:color w:val="auto"/>
              </w:rPr>
            </w:pPr>
            <w:r>
              <w:rPr>
                <w:rFonts w:ascii="Arial" w:cs="Arial" w:eastAsia="Arial" w:hAnsi="Arial"/>
                <w:sz w:val="14"/>
                <w:szCs w:val="14"/>
                <w:color w:val="auto"/>
              </w:rPr>
              <w:t>Exhibit</w:t>
            </w:r>
          </w:p>
        </w:tc>
        <w:tc>
          <w:tcPr>
            <w:tcW w:w="1220" w:type="dxa"/>
            <w:vAlign w:val="bottom"/>
          </w:tcPr>
          <w:p>
            <w:pPr>
              <w:jc w:val="center"/>
              <w:ind w:right="68"/>
              <w:spacing w:after="0"/>
              <w:rPr>
                <w:sz w:val="20"/>
                <w:szCs w:val="20"/>
                <w:color w:val="auto"/>
              </w:rPr>
            </w:pPr>
            <w:r>
              <w:rPr>
                <w:rFonts w:ascii="Arial" w:cs="Arial" w:eastAsia="Arial" w:hAnsi="Arial"/>
                <w:sz w:val="14"/>
                <w:szCs w:val="14"/>
                <w:color w:val="auto"/>
                <w:w w:val="95"/>
              </w:rPr>
              <w:t>Filing Date</w:t>
            </w:r>
          </w:p>
        </w:tc>
        <w:tc>
          <w:tcPr>
            <w:tcW w:w="1680" w:type="dxa"/>
            <w:vAlign w:val="bottom"/>
          </w:tcPr>
          <w:p>
            <w:pPr>
              <w:ind w:left="60"/>
              <w:spacing w:after="0"/>
              <w:rPr>
                <w:sz w:val="20"/>
                <w:szCs w:val="20"/>
                <w:color w:val="auto"/>
              </w:rPr>
            </w:pPr>
            <w:r>
              <w:rPr>
                <w:rFonts w:ascii="Arial" w:cs="Arial" w:eastAsia="Arial" w:hAnsi="Arial"/>
                <w:sz w:val="14"/>
                <w:szCs w:val="14"/>
                <w:color w:val="auto"/>
                <w:w w:val="97"/>
              </w:rPr>
              <w:t>Filed / Furnished Herewith</w:t>
            </w:r>
          </w:p>
        </w:tc>
      </w:tr>
      <w:tr>
        <w:trPr>
          <w:trHeight w:val="26"/>
        </w:trPr>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69"/>
        </w:trPr>
        <w:tc>
          <w:tcPr>
            <w:tcW w:w="11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3980" w:type="dxa"/>
            <w:vAlign w:val="bottom"/>
            <w:tcBorders>
              <w:bottom w:val="single" w:sz="8" w:color="0000FF"/>
            </w:tcBorders>
            <w:gridSpan w:val="20"/>
          </w:tcPr>
          <w:p>
            <w:pPr>
              <w:spacing w:after="0"/>
              <w:rPr>
                <w:rFonts w:ascii="Arial" w:cs="Arial" w:eastAsia="Arial" w:hAnsi="Arial"/>
                <w:sz w:val="14"/>
                <w:szCs w:val="14"/>
                <w:color w:val="0000FF"/>
                <w:w w:val="94"/>
              </w:rPr>
            </w:pPr>
            <w:hyperlink r:id="rId134">
              <w:r>
                <w:rPr>
                  <w:rFonts w:ascii="Arial" w:cs="Arial" w:eastAsia="Arial" w:hAnsi="Arial"/>
                  <w:sz w:val="14"/>
                  <w:szCs w:val="14"/>
                  <w:color w:val="0000FF"/>
                  <w:w w:val="94"/>
                </w:rPr>
                <w:t>Amended and Restated Certificate of Incorporation of Brilliant Earth</w:t>
              </w:r>
            </w:hyperlink>
          </w:p>
        </w:tc>
        <w:tc>
          <w:tcPr>
            <w:tcW w:w="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2"/>
              </w:rPr>
              <w:t>3.1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4020" w:type="dxa"/>
            <w:vAlign w:val="bottom"/>
            <w:gridSpan w:val="21"/>
          </w:tcPr>
          <w:p>
            <w:pPr>
              <w:spacing w:after="0" w:line="155" w:lineRule="exact"/>
              <w:rPr>
                <w:rFonts w:ascii="Arial" w:cs="Arial" w:eastAsia="Arial" w:hAnsi="Arial"/>
                <w:sz w:val="14"/>
                <w:szCs w:val="14"/>
                <w:color w:val="0000FF"/>
              </w:rPr>
            </w:pPr>
            <w:hyperlink r:id="rId134">
              <w:r>
                <w:rPr>
                  <w:rFonts w:ascii="Arial" w:cs="Arial" w:eastAsia="Arial" w:hAnsi="Arial"/>
                  <w:sz w:val="14"/>
                  <w:szCs w:val="14"/>
                  <w:color w:val="0000FF"/>
                </w:rPr>
                <w:t>Group, Inc.</w:t>
              </w:r>
            </w:hyperlink>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1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4020" w:type="dxa"/>
            <w:vAlign w:val="bottom"/>
            <w:gridSpan w:val="21"/>
          </w:tcPr>
          <w:p>
            <w:pPr>
              <w:spacing w:after="0"/>
              <w:rPr>
                <w:rFonts w:ascii="Arial" w:cs="Arial" w:eastAsia="Arial" w:hAnsi="Arial"/>
                <w:sz w:val="14"/>
                <w:szCs w:val="14"/>
                <w:color w:val="0000FF"/>
              </w:rPr>
            </w:pPr>
            <w:hyperlink r:id="rId135">
              <w:r>
                <w:rPr>
                  <w:rFonts w:ascii="Arial" w:cs="Arial" w:eastAsia="Arial" w:hAnsi="Arial"/>
                  <w:sz w:val="14"/>
                  <w:szCs w:val="14"/>
                  <w:color w:val="0000FF"/>
                </w:rPr>
                <w:t>Amended and Restated Bylaws of Brilliant Earth Group, Inc.</w:t>
              </w:r>
            </w:hyperlink>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2"/>
              </w:rPr>
              <w:t>3.2</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1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3860" w:type="dxa"/>
            <w:vAlign w:val="bottom"/>
            <w:tcBorders>
              <w:bottom w:val="single" w:sz="8" w:color="0000FF"/>
            </w:tcBorders>
            <w:gridSpan w:val="16"/>
          </w:tcPr>
          <w:p>
            <w:pPr>
              <w:spacing w:after="0"/>
              <w:rPr>
                <w:rFonts w:ascii="Arial" w:cs="Arial" w:eastAsia="Arial" w:hAnsi="Arial"/>
                <w:sz w:val="14"/>
                <w:szCs w:val="14"/>
                <w:color w:val="0000FF"/>
                <w:w w:val="92"/>
              </w:rPr>
            </w:pPr>
            <w:hyperlink r:id="rId136">
              <w:r>
                <w:rPr>
                  <w:rFonts w:ascii="Arial" w:cs="Arial" w:eastAsia="Arial" w:hAnsi="Arial"/>
                  <w:sz w:val="14"/>
                  <w:szCs w:val="14"/>
                  <w:color w:val="0000FF"/>
                  <w:w w:val="92"/>
                </w:rPr>
                <w:t>Specimen Stock Certificate evidencing shares of Class A Common</w:t>
              </w:r>
            </w:hyperlink>
          </w:p>
        </w:tc>
        <w:tc>
          <w:tcPr>
            <w:tcW w:w="16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2"/>
              </w:rPr>
              <w:t>4.1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9/14/2021</w:t>
            </w:r>
          </w:p>
        </w:tc>
        <w:tc>
          <w:tcPr>
            <w:tcW w:w="1680" w:type="dxa"/>
            <w:vAlign w:val="bottom"/>
          </w:tcPr>
          <w:p>
            <w:pPr>
              <w:spacing w:after="0"/>
              <w:rPr>
                <w:sz w:val="18"/>
                <w:szCs w:val="18"/>
                <w:color w:val="auto"/>
              </w:rPr>
            </w:pPr>
          </w:p>
        </w:tc>
      </w:tr>
      <w:tr>
        <w:trPr>
          <w:trHeight w:val="156"/>
        </w:trPr>
        <w:tc>
          <w:tcPr>
            <w:tcW w:w="1140" w:type="dxa"/>
            <w:vAlign w:val="bottom"/>
          </w:tcPr>
          <w:p>
            <w:pPr>
              <w:spacing w:after="0"/>
              <w:rPr>
                <w:sz w:val="13"/>
                <w:szCs w:val="13"/>
                <w:color w:val="auto"/>
              </w:rPr>
            </w:pPr>
          </w:p>
        </w:tc>
        <w:tc>
          <w:tcPr>
            <w:tcW w:w="400" w:type="dxa"/>
            <w:vAlign w:val="bottom"/>
            <w:tcBorders>
              <w:bottom w:val="single" w:sz="8" w:color="0000FF"/>
            </w:tcBorders>
          </w:tcPr>
          <w:p>
            <w:pPr>
              <w:spacing w:after="0" w:line="155" w:lineRule="exact"/>
              <w:rPr>
                <w:rFonts w:ascii="Arial" w:cs="Arial" w:eastAsia="Arial" w:hAnsi="Arial"/>
                <w:sz w:val="14"/>
                <w:szCs w:val="14"/>
                <w:color w:val="0000FF"/>
              </w:rPr>
            </w:pPr>
            <w:hyperlink r:id="rId136">
              <w:r>
                <w:rPr>
                  <w:rFonts w:ascii="Arial" w:cs="Arial" w:eastAsia="Arial" w:hAnsi="Arial"/>
                  <w:sz w:val="14"/>
                  <w:szCs w:val="14"/>
                  <w:color w:val="0000FF"/>
                </w:rPr>
                <w:t>Stock</w:t>
              </w:r>
            </w:hyperlink>
          </w:p>
        </w:tc>
        <w:tc>
          <w:tcPr>
            <w:tcW w:w="3620" w:type="dxa"/>
            <w:vAlign w:val="bottom"/>
            <w:gridSpan w:val="20"/>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4020" w:type="dxa"/>
            <w:vAlign w:val="bottom"/>
            <w:gridSpan w:val="21"/>
          </w:tcPr>
          <w:p>
            <w:pPr>
              <w:spacing w:after="0"/>
              <w:rPr>
                <w:rFonts w:ascii="Arial" w:cs="Arial" w:eastAsia="Arial" w:hAnsi="Arial"/>
                <w:sz w:val="14"/>
                <w:szCs w:val="14"/>
                <w:color w:val="0000FF"/>
              </w:rPr>
            </w:pPr>
            <w:hyperlink r:id="rId137">
              <w:r>
                <w:rPr>
                  <w:rFonts w:ascii="Arial" w:cs="Arial" w:eastAsia="Arial" w:hAnsi="Arial"/>
                  <w:sz w:val="14"/>
                  <w:szCs w:val="14"/>
                  <w:color w:val="0000FF"/>
                </w:rPr>
                <w:t>Amended and Restated Limited Liability Company Agreement of</w:t>
              </w:r>
            </w:hyperlink>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78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r:id="rId137">
              <w:r>
                <w:rPr>
                  <w:rFonts w:ascii="Arial" w:cs="Arial" w:eastAsia="Arial" w:hAnsi="Arial"/>
                  <w:sz w:val="14"/>
                  <w:szCs w:val="14"/>
                  <w:color w:val="0000FF"/>
                </w:rPr>
                <w:t>Brilliant Earth, LLC, dated as of September 22, 2021</w:t>
              </w:r>
              <w:r>
                <w:rPr>
                  <w:rFonts w:ascii="Arial" w:cs="Arial" w:eastAsia="Arial" w:hAnsi="Arial"/>
                  <w:sz w:val="14"/>
                  <w:szCs w:val="14"/>
                  <w:color w:val="000000"/>
                </w:rPr>
                <w:t>.</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3920" w:type="dxa"/>
            <w:vAlign w:val="bottom"/>
            <w:tcBorders>
              <w:bottom w:val="single" w:sz="8" w:color="0000FF"/>
            </w:tcBorders>
            <w:gridSpan w:val="19"/>
          </w:tcPr>
          <w:p>
            <w:pPr>
              <w:spacing w:after="0"/>
              <w:rPr>
                <w:rFonts w:ascii="Arial" w:cs="Arial" w:eastAsia="Arial" w:hAnsi="Arial"/>
                <w:sz w:val="14"/>
                <w:szCs w:val="14"/>
                <w:color w:val="0000FF"/>
                <w:w w:val="91"/>
              </w:rPr>
            </w:pPr>
            <w:hyperlink r:id="rId138">
              <w:r>
                <w:rPr>
                  <w:rFonts w:ascii="Arial" w:cs="Arial" w:eastAsia="Arial" w:hAnsi="Arial"/>
                  <w:sz w:val="14"/>
                  <w:szCs w:val="14"/>
                  <w:color w:val="0000FF"/>
                  <w:w w:val="91"/>
                </w:rPr>
                <w:t>Tax Receivable Agreement, dated as of September 22, 2021, by and</w:t>
              </w:r>
            </w:hyperlink>
          </w:p>
        </w:tc>
        <w:tc>
          <w:tcPr>
            <w:tcW w:w="100" w:type="dxa"/>
            <w:vAlign w:val="bottom"/>
            <w:gridSpan w:val="2"/>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10.2</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920" w:type="dxa"/>
            <w:vAlign w:val="bottom"/>
            <w:gridSpan w:val="19"/>
          </w:tcPr>
          <w:p>
            <w:pPr>
              <w:spacing w:after="0" w:line="142" w:lineRule="exact"/>
              <w:rPr>
                <w:rFonts w:ascii="Arial" w:cs="Arial" w:eastAsia="Arial" w:hAnsi="Arial"/>
                <w:sz w:val="14"/>
                <w:szCs w:val="14"/>
                <w:color w:val="0000FF"/>
              </w:rPr>
            </w:pPr>
            <w:hyperlink r:id="rId138">
              <w:r>
                <w:rPr>
                  <w:rFonts w:ascii="Arial" w:cs="Arial" w:eastAsia="Arial" w:hAnsi="Arial"/>
                  <w:sz w:val="14"/>
                  <w:szCs w:val="14"/>
                  <w:color w:val="0000FF"/>
                </w:rPr>
                <w:t>among Brilliant Earth Group, Inc., Brilliant Earth LLC and its</w:t>
              </w:r>
            </w:hyperlink>
          </w:p>
        </w:tc>
        <w:tc>
          <w:tcPr>
            <w:tcW w:w="10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58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r:id="rId138">
              <w:r>
                <w:rPr>
                  <w:rFonts w:ascii="Arial" w:cs="Arial" w:eastAsia="Arial" w:hAnsi="Arial"/>
                  <w:sz w:val="14"/>
                  <w:szCs w:val="14"/>
                  <w:color w:val="0000FF"/>
                </w:rPr>
                <w:t>Members</w:t>
              </w:r>
              <w:r>
                <w:rPr>
                  <w:rFonts w:ascii="Arial" w:cs="Arial" w:eastAsia="Arial" w:hAnsi="Arial"/>
                  <w:sz w:val="14"/>
                  <w:szCs w:val="14"/>
                  <w:color w:val="000000"/>
                </w:rPr>
                <w:t>.</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3820" w:type="dxa"/>
            <w:vAlign w:val="bottom"/>
            <w:tcBorders>
              <w:bottom w:val="single" w:sz="8" w:color="0000FF"/>
            </w:tcBorders>
            <w:gridSpan w:val="15"/>
          </w:tcPr>
          <w:p>
            <w:pPr>
              <w:spacing w:after="0"/>
              <w:rPr>
                <w:rFonts w:ascii="Arial" w:cs="Arial" w:eastAsia="Arial" w:hAnsi="Arial"/>
                <w:sz w:val="14"/>
                <w:szCs w:val="14"/>
                <w:color w:val="0000FF"/>
                <w:w w:val="91"/>
              </w:rPr>
            </w:pPr>
            <w:hyperlink r:id="rId139">
              <w:r>
                <w:rPr>
                  <w:rFonts w:ascii="Arial" w:cs="Arial" w:eastAsia="Arial" w:hAnsi="Arial"/>
                  <w:sz w:val="14"/>
                  <w:szCs w:val="14"/>
                  <w:color w:val="0000FF"/>
                  <w:w w:val="91"/>
                </w:rPr>
                <w:t>Registration Rights Agreement, dated September 22, 2021, by and</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3"/>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10.3</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820" w:type="dxa"/>
            <w:vAlign w:val="bottom"/>
            <w:gridSpan w:val="15"/>
          </w:tcPr>
          <w:p>
            <w:pPr>
              <w:spacing w:after="0" w:line="142" w:lineRule="exact"/>
              <w:rPr>
                <w:rFonts w:ascii="Arial" w:cs="Arial" w:eastAsia="Arial" w:hAnsi="Arial"/>
                <w:sz w:val="14"/>
                <w:szCs w:val="14"/>
                <w:color w:val="0000FF"/>
              </w:rPr>
            </w:pPr>
            <w:hyperlink r:id="rId139">
              <w:r>
                <w:rPr>
                  <w:rFonts w:ascii="Arial" w:cs="Arial" w:eastAsia="Arial" w:hAnsi="Arial"/>
                  <w:sz w:val="14"/>
                  <w:szCs w:val="14"/>
                  <w:color w:val="0000FF"/>
                </w:rPr>
                <w:t>among Brilliant Earth Group, Inc., Brilliant Earth LLC and its</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58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r:id="rId139">
              <w:r>
                <w:rPr>
                  <w:rFonts w:ascii="Arial" w:cs="Arial" w:eastAsia="Arial" w:hAnsi="Arial"/>
                  <w:sz w:val="14"/>
                  <w:szCs w:val="14"/>
                  <w:color w:val="0000FF"/>
                </w:rPr>
                <w:t>Original Equity Owners</w:t>
              </w:r>
              <w:r>
                <w:rPr>
                  <w:rFonts w:ascii="Arial" w:cs="Arial" w:eastAsia="Arial" w:hAnsi="Arial"/>
                  <w:sz w:val="14"/>
                  <w:szCs w:val="14"/>
                  <w:color w:val="000000"/>
                </w:rPr>
                <w:t>.</w:t>
              </w:r>
            </w:hyperlink>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3900" w:type="dxa"/>
            <w:vAlign w:val="bottom"/>
            <w:tcBorders>
              <w:bottom w:val="single" w:sz="8" w:color="0000FF"/>
            </w:tcBorders>
            <w:gridSpan w:val="18"/>
          </w:tcPr>
          <w:p>
            <w:pPr>
              <w:spacing w:after="0"/>
              <w:rPr>
                <w:rFonts w:ascii="Arial" w:cs="Arial" w:eastAsia="Arial" w:hAnsi="Arial"/>
                <w:sz w:val="14"/>
                <w:szCs w:val="14"/>
                <w:color w:val="0000FF"/>
                <w:w w:val="91"/>
              </w:rPr>
            </w:pPr>
            <w:hyperlink r:id="rId140">
              <w:r>
                <w:rPr>
                  <w:rFonts w:ascii="Arial" w:cs="Arial" w:eastAsia="Arial" w:hAnsi="Arial"/>
                  <w:sz w:val="14"/>
                  <w:szCs w:val="14"/>
                  <w:color w:val="0000FF"/>
                  <w:w w:val="91"/>
                </w:rPr>
                <w:t>Stockholders Agreement, dated September 22, 2021, by and among</w:t>
              </w:r>
            </w:hyperlink>
          </w:p>
        </w:tc>
        <w:tc>
          <w:tcPr>
            <w:tcW w:w="120" w:type="dxa"/>
            <w:vAlign w:val="bottom"/>
            <w:gridSpan w:val="3"/>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10.4</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900" w:type="dxa"/>
            <w:vAlign w:val="bottom"/>
            <w:gridSpan w:val="18"/>
          </w:tcPr>
          <w:p>
            <w:pPr>
              <w:spacing w:after="0" w:line="142" w:lineRule="exact"/>
              <w:rPr>
                <w:rFonts w:ascii="Arial" w:cs="Arial" w:eastAsia="Arial" w:hAnsi="Arial"/>
                <w:sz w:val="14"/>
                <w:szCs w:val="14"/>
                <w:color w:val="0000FF"/>
              </w:rPr>
            </w:pPr>
            <w:hyperlink r:id="rId140">
              <w:r>
                <w:rPr>
                  <w:rFonts w:ascii="Arial" w:cs="Arial" w:eastAsia="Arial" w:hAnsi="Arial"/>
                  <w:sz w:val="14"/>
                  <w:szCs w:val="14"/>
                  <w:color w:val="0000FF"/>
                </w:rPr>
                <w:t>Brilliant Earth Group, Inc., Brilliant Earth LLC and the Original</w:t>
              </w:r>
            </w:hyperlink>
          </w:p>
        </w:tc>
        <w:tc>
          <w:tcPr>
            <w:tcW w:w="120" w:type="dxa"/>
            <w:vAlign w:val="bottom"/>
            <w:gridSpan w:val="3"/>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700" w:type="dxa"/>
            <w:vAlign w:val="bottom"/>
            <w:tcBorders>
              <w:top w:val="single" w:sz="8" w:color="0000FF"/>
            </w:tcBorders>
            <w:gridSpan w:val="13"/>
          </w:tcPr>
          <w:p>
            <w:pPr>
              <w:spacing w:after="0" w:line="142" w:lineRule="exact"/>
              <w:rPr>
                <w:rFonts w:ascii="Arial" w:cs="Arial" w:eastAsia="Arial" w:hAnsi="Arial"/>
                <w:sz w:val="14"/>
                <w:szCs w:val="14"/>
                <w:color w:val="0000FF"/>
              </w:rPr>
            </w:pPr>
            <w:hyperlink r:id="rId140">
              <w:r>
                <w:rPr>
                  <w:rFonts w:ascii="Arial" w:cs="Arial" w:eastAsia="Arial" w:hAnsi="Arial"/>
                  <w:sz w:val="14"/>
                  <w:szCs w:val="14"/>
                  <w:color w:val="0000FF"/>
                </w:rPr>
                <w:t>Members</w:t>
              </w:r>
              <w:r>
                <w:rPr>
                  <w:rFonts w:ascii="Arial" w:cs="Arial" w:eastAsia="Arial" w:hAnsi="Arial"/>
                  <w:sz w:val="14"/>
                  <w:szCs w:val="14"/>
                  <w:color w:val="000000"/>
                </w:rPr>
                <w:t>.</w:t>
              </w:r>
            </w:hyperlink>
          </w:p>
        </w:tc>
        <w:tc>
          <w:tcPr>
            <w:tcW w:w="180" w:type="dxa"/>
            <w:vAlign w:val="bottom"/>
            <w:gridSpan w:val="4"/>
          </w:tcPr>
          <w:p>
            <w:pPr>
              <w:spacing w:after="0"/>
              <w:rPr>
                <w:sz w:val="12"/>
                <w:szCs w:val="12"/>
                <w:color w:val="auto"/>
              </w:rPr>
            </w:pPr>
          </w:p>
        </w:tc>
        <w:tc>
          <w:tcPr>
            <w:tcW w:w="14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3520" w:type="dxa"/>
            <w:vAlign w:val="bottom"/>
            <w:tcBorders>
              <w:bottom w:val="single" w:sz="8" w:color="0000FF"/>
            </w:tcBorders>
            <w:gridSpan w:val="10"/>
          </w:tcPr>
          <w:p>
            <w:pPr>
              <w:spacing w:after="0"/>
              <w:rPr>
                <w:rFonts w:ascii="Arial" w:cs="Arial" w:eastAsia="Arial" w:hAnsi="Arial"/>
                <w:sz w:val="14"/>
                <w:szCs w:val="14"/>
                <w:color w:val="0000FF"/>
                <w:w w:val="91"/>
              </w:rPr>
            </w:pPr>
            <w:hyperlink r:id="rId141">
              <w:r>
                <w:rPr>
                  <w:rFonts w:ascii="Arial" w:cs="Arial" w:eastAsia="Arial" w:hAnsi="Arial"/>
                  <w:sz w:val="14"/>
                  <w:szCs w:val="14"/>
                  <w:color w:val="0000FF"/>
                  <w:w w:val="91"/>
                </w:rPr>
                <w:t>Offer letter, dated as of September 22, 2021, by and between</w:t>
              </w:r>
            </w:hyperlink>
          </w:p>
        </w:tc>
        <w:tc>
          <w:tcPr>
            <w:tcW w:w="160" w:type="dxa"/>
            <w:vAlign w:val="bottom"/>
            <w:gridSpan w:val="2"/>
          </w:tcPr>
          <w:p>
            <w:pPr>
              <w:spacing w:after="0"/>
              <w:rPr>
                <w:sz w:val="17"/>
                <w:szCs w:val="17"/>
                <w:color w:val="auto"/>
              </w:rPr>
            </w:pPr>
          </w:p>
        </w:tc>
        <w:tc>
          <w:tcPr>
            <w:tcW w:w="200" w:type="dxa"/>
            <w:vAlign w:val="bottom"/>
            <w:gridSpan w:val="5"/>
          </w:tcPr>
          <w:p>
            <w:pPr>
              <w:spacing w:after="0"/>
              <w:rPr>
                <w:sz w:val="17"/>
                <w:szCs w:val="17"/>
                <w:color w:val="auto"/>
              </w:rPr>
            </w:pPr>
          </w:p>
        </w:tc>
        <w:tc>
          <w:tcPr>
            <w:tcW w:w="140" w:type="dxa"/>
            <w:vAlign w:val="bottom"/>
            <w:gridSpan w:val="4"/>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10.5</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520" w:type="dxa"/>
            <w:vAlign w:val="bottom"/>
            <w:gridSpan w:val="10"/>
          </w:tcPr>
          <w:p>
            <w:pPr>
              <w:spacing w:after="0" w:line="142" w:lineRule="exact"/>
              <w:rPr>
                <w:rFonts w:ascii="Arial" w:cs="Arial" w:eastAsia="Arial" w:hAnsi="Arial"/>
                <w:sz w:val="14"/>
                <w:szCs w:val="14"/>
                <w:color w:val="0000FF"/>
              </w:rPr>
            </w:pPr>
            <w:hyperlink r:id="rId141">
              <w:r>
                <w:rPr>
                  <w:rFonts w:ascii="Arial" w:cs="Arial" w:eastAsia="Arial" w:hAnsi="Arial"/>
                  <w:sz w:val="14"/>
                  <w:szCs w:val="14"/>
                  <w:color w:val="0000FF"/>
                </w:rPr>
                <w:t>Brilliant Earth Group, Inc. and Beth Gerstein</w:t>
              </w:r>
              <w:r>
                <w:rPr>
                  <w:rFonts w:ascii="Arial" w:cs="Arial" w:eastAsia="Arial" w:hAnsi="Arial"/>
                  <w:sz w:val="14"/>
                  <w:szCs w:val="14"/>
                  <w:color w:val="000000"/>
                </w:rPr>
                <w:t>.</w:t>
              </w:r>
            </w:hyperlink>
          </w:p>
        </w:tc>
        <w:tc>
          <w:tcPr>
            <w:tcW w:w="16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c>
          <w:tcPr>
            <w:tcW w:w="14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4020" w:type="dxa"/>
            <w:vAlign w:val="bottom"/>
            <w:gridSpan w:val="21"/>
          </w:tcPr>
          <w:p>
            <w:pPr>
              <w:spacing w:after="0"/>
              <w:rPr>
                <w:rFonts w:ascii="Arial" w:cs="Arial" w:eastAsia="Arial" w:hAnsi="Arial"/>
                <w:sz w:val="14"/>
                <w:szCs w:val="14"/>
                <w:color w:val="0000FF"/>
              </w:rPr>
            </w:pPr>
            <w:hyperlink r:id="rId142">
              <w:r>
                <w:rPr>
                  <w:rFonts w:ascii="Arial" w:cs="Arial" w:eastAsia="Arial" w:hAnsi="Arial"/>
                  <w:sz w:val="14"/>
                  <w:szCs w:val="14"/>
                  <w:color w:val="0000FF"/>
                </w:rPr>
                <w:t>Offer letter, dated as of September 22, 2021, by and between</w:t>
              </w:r>
            </w:hyperlink>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10.6</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52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142">
              <w:r>
                <w:rPr>
                  <w:rFonts w:ascii="Arial" w:cs="Arial" w:eastAsia="Arial" w:hAnsi="Arial"/>
                  <w:sz w:val="14"/>
                  <w:szCs w:val="14"/>
                  <w:color w:val="0000FF"/>
                </w:rPr>
                <w:t>Brilliant Earth Group, Inc. and Eric Grossman</w:t>
              </w:r>
              <w:r>
                <w:rPr>
                  <w:rFonts w:ascii="Arial" w:cs="Arial" w:eastAsia="Arial" w:hAnsi="Arial"/>
                  <w:sz w:val="14"/>
                  <w:szCs w:val="14"/>
                  <w:color w:val="000000"/>
                </w:rPr>
                <w:t>.</w:t>
              </w:r>
            </w:hyperlink>
          </w:p>
        </w:tc>
        <w:tc>
          <w:tcPr>
            <w:tcW w:w="16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c>
          <w:tcPr>
            <w:tcW w:w="14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4020" w:type="dxa"/>
            <w:vAlign w:val="bottom"/>
            <w:gridSpan w:val="21"/>
          </w:tcPr>
          <w:p>
            <w:pPr>
              <w:spacing w:after="0"/>
              <w:rPr>
                <w:rFonts w:ascii="Arial" w:cs="Arial" w:eastAsia="Arial" w:hAnsi="Arial"/>
                <w:sz w:val="14"/>
                <w:szCs w:val="14"/>
                <w:color w:val="0000FF"/>
              </w:rPr>
            </w:pPr>
            <w:hyperlink r:id="rId143">
              <w:r>
                <w:rPr>
                  <w:rFonts w:ascii="Arial" w:cs="Arial" w:eastAsia="Arial" w:hAnsi="Arial"/>
                  <w:sz w:val="14"/>
                  <w:szCs w:val="14"/>
                  <w:color w:val="0000FF"/>
                </w:rPr>
                <w:t>Offer letter, dated as of September 22, 2021, by and between</w:t>
              </w:r>
            </w:hyperlink>
          </w:p>
        </w:tc>
        <w:tc>
          <w:tcPr>
            <w:tcW w:w="900" w:type="dxa"/>
            <w:vAlign w:val="bottom"/>
          </w:tcPr>
          <w:p>
            <w:pPr>
              <w:jc w:val="cente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10.7</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9/27/2021</w:t>
            </w:r>
          </w:p>
        </w:tc>
        <w:tc>
          <w:tcPr>
            <w:tcW w:w="1680" w:type="dxa"/>
            <w:vAlign w:val="bottom"/>
          </w:tcPr>
          <w:p>
            <w:pPr>
              <w:spacing w:after="0"/>
              <w:rPr>
                <w:sz w:val="17"/>
                <w:szCs w:val="17"/>
                <w:color w:val="auto"/>
              </w:rPr>
            </w:pPr>
          </w:p>
        </w:tc>
      </w:tr>
      <w:tr>
        <w:trPr>
          <w:trHeight w:val="142"/>
        </w:trPr>
        <w:tc>
          <w:tcPr>
            <w:tcW w:w="1140" w:type="dxa"/>
            <w:vAlign w:val="bottom"/>
          </w:tcPr>
          <w:p>
            <w:pPr>
              <w:spacing w:after="0"/>
              <w:rPr>
                <w:sz w:val="12"/>
                <w:szCs w:val="12"/>
                <w:color w:val="auto"/>
              </w:rPr>
            </w:pPr>
          </w:p>
        </w:tc>
        <w:tc>
          <w:tcPr>
            <w:tcW w:w="352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143">
              <w:r>
                <w:rPr>
                  <w:rFonts w:ascii="Arial" w:cs="Arial" w:eastAsia="Arial" w:hAnsi="Arial"/>
                  <w:sz w:val="14"/>
                  <w:szCs w:val="14"/>
                  <w:color w:val="0000FF"/>
                </w:rPr>
                <w:t>Brilliant Earth Group, Inc. and Jeffrey Kuo</w:t>
              </w:r>
              <w:r>
                <w:rPr>
                  <w:rFonts w:ascii="Arial" w:cs="Arial" w:eastAsia="Arial" w:hAnsi="Arial"/>
                  <w:sz w:val="14"/>
                  <w:szCs w:val="14"/>
                  <w:color w:val="000000"/>
                </w:rPr>
                <w:t>.</w:t>
              </w:r>
            </w:hyperlink>
          </w:p>
        </w:tc>
        <w:tc>
          <w:tcPr>
            <w:tcW w:w="16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c>
          <w:tcPr>
            <w:tcW w:w="14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3120" w:type="dxa"/>
            <w:vAlign w:val="bottom"/>
            <w:tcBorders>
              <w:bottom w:val="single" w:sz="8" w:color="0000FF"/>
            </w:tcBorders>
            <w:gridSpan w:val="9"/>
          </w:tcPr>
          <w:p>
            <w:pPr>
              <w:spacing w:after="0"/>
              <w:rPr>
                <w:rFonts w:ascii="Arial" w:cs="Arial" w:eastAsia="Arial" w:hAnsi="Arial"/>
                <w:sz w:val="14"/>
                <w:szCs w:val="14"/>
                <w:color w:val="0000FF"/>
                <w:w w:val="94"/>
              </w:rPr>
            </w:pPr>
            <w:hyperlink r:id="rId144">
              <w:r>
                <w:rPr>
                  <w:rFonts w:ascii="Arial" w:cs="Arial" w:eastAsia="Arial" w:hAnsi="Arial"/>
                  <w:sz w:val="14"/>
                  <w:szCs w:val="14"/>
                  <w:color w:val="0000FF"/>
                  <w:w w:val="94"/>
                </w:rPr>
                <w:t>Brilliant Earth Group, Inc. 2021 Incentive Award Plan</w:t>
              </w:r>
            </w:hyperlink>
          </w:p>
        </w:tc>
        <w:tc>
          <w:tcPr>
            <w:tcW w:w="560" w:type="dxa"/>
            <w:vAlign w:val="bottom"/>
            <w:gridSpan w:val="3"/>
          </w:tcPr>
          <w:p>
            <w:pPr>
              <w:jc w:val="right"/>
              <w:ind w:right="520"/>
              <w:spacing w:after="0"/>
              <w:rPr>
                <w:sz w:val="20"/>
                <w:szCs w:val="20"/>
                <w:color w:val="auto"/>
              </w:rPr>
            </w:pPr>
            <w:r>
              <w:rPr>
                <w:rFonts w:ascii="Arial" w:cs="Arial" w:eastAsia="Arial" w:hAnsi="Arial"/>
                <w:sz w:val="10"/>
                <w:szCs w:val="10"/>
                <w:color w:val="auto"/>
                <w:w w:val="70"/>
              </w:rPr>
              <w:t>.</w:t>
            </w:r>
          </w:p>
        </w:tc>
        <w:tc>
          <w:tcPr>
            <w:tcW w:w="200" w:type="dxa"/>
            <w:vAlign w:val="bottom"/>
            <w:gridSpan w:val="5"/>
          </w:tcPr>
          <w:p>
            <w:pPr>
              <w:spacing w:after="0"/>
              <w:rPr>
                <w:sz w:val="17"/>
                <w:szCs w:val="17"/>
                <w:color w:val="auto"/>
              </w:rPr>
            </w:pPr>
          </w:p>
        </w:tc>
        <w:tc>
          <w:tcPr>
            <w:tcW w:w="140" w:type="dxa"/>
            <w:vAlign w:val="bottom"/>
            <w:gridSpan w:val="4"/>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S-8</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333-259736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99.1</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9/23/2021</w:t>
            </w:r>
          </w:p>
        </w:tc>
        <w:tc>
          <w:tcPr>
            <w:tcW w:w="1680" w:type="dxa"/>
            <w:vAlign w:val="bottom"/>
          </w:tcPr>
          <w:p>
            <w:pPr>
              <w:spacing w:after="0"/>
              <w:rPr>
                <w:sz w:val="17"/>
                <w:szCs w:val="17"/>
                <w:color w:val="auto"/>
              </w:rPr>
            </w:pPr>
          </w:p>
        </w:tc>
      </w:tr>
      <w:tr>
        <w:trPr>
          <w:trHeight w:val="210"/>
        </w:trPr>
        <w:tc>
          <w:tcPr>
            <w:tcW w:w="114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4020" w:type="dxa"/>
            <w:vAlign w:val="bottom"/>
            <w:gridSpan w:val="21"/>
          </w:tcPr>
          <w:p>
            <w:pPr>
              <w:spacing w:after="0"/>
              <w:rPr>
                <w:rFonts w:ascii="Arial" w:cs="Arial" w:eastAsia="Arial" w:hAnsi="Arial"/>
                <w:sz w:val="14"/>
                <w:szCs w:val="14"/>
                <w:color w:val="0000FF"/>
              </w:rPr>
            </w:pPr>
            <w:hyperlink r:id="rId145">
              <w:r>
                <w:rPr>
                  <w:rFonts w:ascii="Arial" w:cs="Arial" w:eastAsia="Arial" w:hAnsi="Arial"/>
                  <w:sz w:val="14"/>
                  <w:szCs w:val="14"/>
                  <w:color w:val="0000FF"/>
                </w:rPr>
                <w:t>Brilliant Earth Group, Inc. 2021 Employee Stock Purchase Plan</w:t>
              </w:r>
            </w:hyperlink>
            <w:r>
              <w:rPr>
                <w:rFonts w:ascii="Arial" w:cs="Arial" w:eastAsia="Arial" w:hAnsi="Arial"/>
                <w:sz w:val="14"/>
                <w:szCs w:val="14"/>
                <w:color w:val="000000"/>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S-8</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333-259736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99.2</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9/23/2021</w:t>
            </w:r>
          </w:p>
        </w:tc>
        <w:tc>
          <w:tcPr>
            <w:tcW w:w="16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11"/>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140" w:type="dxa"/>
            <w:vAlign w:val="bottom"/>
          </w:tcPr>
          <w:p>
            <w:pPr>
              <w:jc w:val="center"/>
              <w:spacing w:after="0"/>
              <w:rPr>
                <w:sz w:val="20"/>
                <w:szCs w:val="20"/>
                <w:color w:val="auto"/>
              </w:rPr>
            </w:pPr>
            <w:r>
              <w:rPr>
                <w:rFonts w:ascii="Arial" w:cs="Arial" w:eastAsia="Arial" w:hAnsi="Arial"/>
                <w:sz w:val="14"/>
                <w:szCs w:val="14"/>
                <w:color w:val="auto"/>
                <w:w w:val="96"/>
              </w:rPr>
              <w:t>10,10</w:t>
            </w:r>
          </w:p>
        </w:tc>
        <w:tc>
          <w:tcPr>
            <w:tcW w:w="4020" w:type="dxa"/>
            <w:vAlign w:val="bottom"/>
            <w:gridSpan w:val="21"/>
          </w:tcPr>
          <w:p>
            <w:pPr>
              <w:spacing w:after="0"/>
              <w:rPr>
                <w:rFonts w:ascii="Arial" w:cs="Arial" w:eastAsia="Arial" w:hAnsi="Arial"/>
                <w:sz w:val="14"/>
                <w:szCs w:val="14"/>
                <w:color w:val="0000FF"/>
              </w:rPr>
            </w:pPr>
            <w:hyperlink r:id="rId146">
              <w:r>
                <w:rPr>
                  <w:rFonts w:ascii="Arial" w:cs="Arial" w:eastAsia="Arial" w:hAnsi="Arial"/>
                  <w:sz w:val="14"/>
                  <w:szCs w:val="14"/>
                  <w:color w:val="0000FF"/>
                </w:rPr>
                <w:t>Form of Brilliant Earth, LLC Unit Restriction Agreement (Class M</w:t>
              </w:r>
            </w:hyperlink>
          </w:p>
        </w:tc>
        <w:tc>
          <w:tcPr>
            <w:tcW w:w="90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001-40836</w:t>
            </w:r>
          </w:p>
        </w:tc>
        <w:tc>
          <w:tcPr>
            <w:tcW w:w="1060" w:type="dxa"/>
            <w:vAlign w:val="bottom"/>
          </w:tcPr>
          <w:p>
            <w:pPr>
              <w:jc w:val="center"/>
              <w:ind w:right="48"/>
              <w:spacing w:after="0"/>
              <w:rPr>
                <w:sz w:val="20"/>
                <w:szCs w:val="20"/>
                <w:color w:val="auto"/>
              </w:rPr>
            </w:pPr>
            <w:r>
              <w:rPr>
                <w:rFonts w:ascii="Arial" w:cs="Arial" w:eastAsia="Arial" w:hAnsi="Arial"/>
                <w:sz w:val="14"/>
                <w:szCs w:val="14"/>
                <w:color w:val="auto"/>
                <w:w w:val="95"/>
              </w:rPr>
              <w:t>10.9</w:t>
            </w:r>
          </w:p>
        </w:tc>
        <w:tc>
          <w:tcPr>
            <w:tcW w:w="1220" w:type="dxa"/>
            <w:vAlign w:val="bottom"/>
          </w:tcPr>
          <w:p>
            <w:pPr>
              <w:jc w:val="center"/>
              <w:ind w:right="88"/>
              <w:spacing w:after="0"/>
              <w:rPr>
                <w:sz w:val="20"/>
                <w:szCs w:val="20"/>
                <w:color w:val="auto"/>
              </w:rPr>
            </w:pPr>
            <w:r>
              <w:rPr>
                <w:rFonts w:ascii="Arial" w:cs="Arial" w:eastAsia="Arial" w:hAnsi="Arial"/>
                <w:sz w:val="14"/>
                <w:szCs w:val="14"/>
                <w:color w:val="auto"/>
                <w:w w:val="93"/>
              </w:rPr>
              <w:t>9/14/2021</w:t>
            </w:r>
          </w:p>
        </w:tc>
        <w:tc>
          <w:tcPr>
            <w:tcW w:w="1680" w:type="dxa"/>
            <w:vAlign w:val="bottom"/>
          </w:tcPr>
          <w:p>
            <w:pPr>
              <w:spacing w:after="0"/>
              <w:rPr>
                <w:sz w:val="18"/>
                <w:szCs w:val="18"/>
                <w:color w:val="auto"/>
              </w:rPr>
            </w:pPr>
          </w:p>
        </w:tc>
      </w:tr>
      <w:tr>
        <w:trPr>
          <w:trHeight w:val="142"/>
        </w:trPr>
        <w:tc>
          <w:tcPr>
            <w:tcW w:w="1140" w:type="dxa"/>
            <w:vAlign w:val="bottom"/>
          </w:tcPr>
          <w:p>
            <w:pPr>
              <w:spacing w:after="0"/>
              <w:rPr>
                <w:sz w:val="12"/>
                <w:szCs w:val="12"/>
                <w:color w:val="auto"/>
              </w:rPr>
            </w:pPr>
          </w:p>
        </w:tc>
        <w:tc>
          <w:tcPr>
            <w:tcW w:w="388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46">
              <w:r>
                <w:rPr>
                  <w:rFonts w:ascii="Arial" w:cs="Arial" w:eastAsia="Arial" w:hAnsi="Arial"/>
                  <w:sz w:val="14"/>
                  <w:szCs w:val="14"/>
                  <w:color w:val="0000FF"/>
                </w:rPr>
                <w:t>Units).</w:t>
              </w:r>
            </w:hyperlink>
          </w:p>
        </w:tc>
        <w:tc>
          <w:tcPr>
            <w:tcW w:w="14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36" w:right="339" w:bottom="1440" w:gutter="0" w:footer="0" w:header="0"/>
        </w:sectPr>
      </w:pPr>
    </w:p>
    <w:p>
      <w:pPr>
        <w:ind w:left="1140" w:right="140" w:hanging="736"/>
        <w:spacing w:after="0" w:line="273" w:lineRule="auto"/>
        <w:tabs>
          <w:tab w:leader="none" w:pos="1120" w:val="left"/>
        </w:tabs>
        <w:rPr>
          <w:rFonts w:ascii="Arial" w:cs="Arial" w:eastAsia="Arial" w:hAnsi="Arial"/>
          <w:sz w:val="14"/>
          <w:szCs w:val="14"/>
          <w:u w:val="single" w:color="auto"/>
          <w:color w:val="0000FF"/>
        </w:rPr>
      </w:pPr>
      <w:r>
        <w:rPr>
          <w:rFonts w:ascii="Arial" w:cs="Arial" w:eastAsia="Arial" w:hAnsi="Arial"/>
          <w:sz w:val="14"/>
          <w:szCs w:val="14"/>
          <w:color w:val="auto"/>
        </w:rPr>
        <w:t>10.11</w:t>
      </w:r>
      <w:r>
        <w:rPr>
          <w:sz w:val="20"/>
          <w:szCs w:val="20"/>
          <w:color w:val="auto"/>
        </w:rPr>
        <w:tab/>
      </w:r>
      <w:hyperlink r:id="rId147">
        <w:r>
          <w:rPr>
            <w:rFonts w:ascii="Arial" w:cs="Arial" w:eastAsia="Arial" w:hAnsi="Arial"/>
            <w:sz w:val="14"/>
            <w:szCs w:val="14"/>
            <w:u w:val="single" w:color="auto"/>
            <w:color w:val="0000FF"/>
          </w:rPr>
          <w:t>Form of Stock Option Grant Notice and Stock Option Agreement</w:t>
        </w:r>
      </w:hyperlink>
      <w:r>
        <w:rPr>
          <w:rFonts w:ascii="Arial" w:cs="Arial" w:eastAsia="Arial" w:hAnsi="Arial"/>
          <w:sz w:val="14"/>
          <w:szCs w:val="14"/>
          <w:u w:val="single" w:color="auto"/>
          <w:color w:val="0000FF"/>
        </w:rPr>
        <w:t xml:space="preserve"> </w:t>
      </w:r>
      <w:hyperlink r:id="rId147">
        <w:r>
          <w:rPr>
            <w:rFonts w:ascii="Arial" w:cs="Arial" w:eastAsia="Arial" w:hAnsi="Arial"/>
            <w:sz w:val="14"/>
            <w:szCs w:val="14"/>
            <w:u w:val="single" w:color="auto"/>
            <w:color w:val="0000FF"/>
          </w:rPr>
          <w:t>under the 2021 Incentive Award Plan.</w:t>
        </w:r>
      </w:hyperlink>
    </w:p>
    <w:p>
      <w:pPr>
        <w:spacing w:after="0" w:line="106" w:lineRule="exact"/>
        <w:rPr>
          <w:sz w:val="20"/>
          <w:szCs w:val="20"/>
          <w:color w:val="auto"/>
        </w:rPr>
      </w:pPr>
    </w:p>
    <w:p>
      <w:pPr>
        <w:ind w:left="1140" w:hanging="739"/>
        <w:spacing w:after="0" w:line="334" w:lineRule="auto"/>
        <w:tabs>
          <w:tab w:leader="none" w:pos="1120" w:val="left"/>
        </w:tabs>
        <w:rPr>
          <w:rFonts w:ascii="Arial" w:cs="Arial" w:eastAsia="Arial" w:hAnsi="Arial"/>
          <w:sz w:val="13"/>
          <w:szCs w:val="13"/>
          <w:u w:val="single" w:color="auto"/>
          <w:color w:val="0000FF"/>
        </w:rPr>
      </w:pPr>
      <w:r>
        <w:rPr>
          <w:rFonts w:ascii="Arial" w:cs="Arial" w:eastAsia="Arial" w:hAnsi="Arial"/>
          <w:sz w:val="14"/>
          <w:szCs w:val="14"/>
          <w:color w:val="auto"/>
        </w:rPr>
        <w:t>10.12</w:t>
      </w:r>
      <w:r>
        <w:rPr>
          <w:sz w:val="20"/>
          <w:szCs w:val="20"/>
          <w:color w:val="auto"/>
        </w:rPr>
        <w:tab/>
      </w:r>
      <w:hyperlink r:id="rId148">
        <w:r>
          <w:rPr>
            <w:rFonts w:ascii="Arial" w:cs="Arial" w:eastAsia="Arial" w:hAnsi="Arial"/>
            <w:sz w:val="13"/>
            <w:szCs w:val="13"/>
            <w:u w:val="single" w:color="auto"/>
            <w:color w:val="0000FF"/>
          </w:rPr>
          <w:t>Form of Restricted Stock Unit Award Grant Notice and Restricted</w:t>
        </w:r>
      </w:hyperlink>
      <w:r>
        <w:rPr>
          <w:rFonts w:ascii="Arial" w:cs="Arial" w:eastAsia="Arial" w:hAnsi="Arial"/>
          <w:sz w:val="13"/>
          <w:szCs w:val="13"/>
          <w:u w:val="single" w:color="auto"/>
          <w:color w:val="0000FF"/>
        </w:rPr>
        <w:t xml:space="preserve"> </w:t>
      </w:r>
      <w:hyperlink r:id="rId148">
        <w:r>
          <w:rPr>
            <w:rFonts w:ascii="Arial" w:cs="Arial" w:eastAsia="Arial" w:hAnsi="Arial"/>
            <w:sz w:val="13"/>
            <w:szCs w:val="13"/>
            <w:u w:val="single" w:color="auto"/>
            <w:color w:val="0000FF"/>
          </w:rPr>
          <w:t>Stock Unit Award Agreement under the 2021 Incentive Award Plan.</w:t>
        </w:r>
      </w:hyperlink>
    </w:p>
    <w:p>
      <w:pPr>
        <w:spacing w:after="0" w:line="272" w:lineRule="exact"/>
        <w:rPr>
          <w:sz w:val="20"/>
          <w:szCs w:val="20"/>
          <w:color w:val="auto"/>
        </w:rPr>
      </w:pPr>
    </w:p>
    <w:p>
      <w:pPr>
        <w:ind w:left="400"/>
        <w:spacing w:after="0"/>
        <w:tabs>
          <w:tab w:leader="none" w:pos="1120" w:val="left"/>
        </w:tabs>
        <w:rPr>
          <w:rFonts w:ascii="Arial" w:cs="Arial" w:eastAsia="Arial" w:hAnsi="Arial"/>
          <w:sz w:val="13"/>
          <w:szCs w:val="13"/>
          <w:u w:val="single" w:color="auto"/>
          <w:color w:val="0000FF"/>
        </w:rPr>
      </w:pPr>
      <w:r>
        <w:rPr>
          <w:rFonts w:ascii="Arial" w:cs="Arial" w:eastAsia="Arial" w:hAnsi="Arial"/>
          <w:sz w:val="14"/>
          <w:szCs w:val="14"/>
          <w:color w:val="auto"/>
        </w:rPr>
        <w:t>10.13</w:t>
      </w:r>
      <w:r>
        <w:rPr>
          <w:sz w:val="20"/>
          <w:szCs w:val="20"/>
          <w:color w:val="auto"/>
        </w:rPr>
        <w:tab/>
      </w:r>
      <w:hyperlink r:id="rId149">
        <w:r>
          <w:rPr>
            <w:rFonts w:ascii="Arial" w:cs="Arial" w:eastAsia="Arial" w:hAnsi="Arial"/>
            <w:sz w:val="13"/>
            <w:szCs w:val="13"/>
            <w:u w:val="single" w:color="auto"/>
            <w:color w:val="0000FF"/>
          </w:rPr>
          <w:t>Non-Employee Director Compensation Program.</w:t>
        </w:r>
      </w:hyperlink>
    </w:p>
    <w:p>
      <w:pPr>
        <w:spacing w:after="0" w:line="82" w:lineRule="exact"/>
        <w:rPr>
          <w:sz w:val="20"/>
          <w:szCs w:val="20"/>
          <w:color w:val="auto"/>
        </w:rPr>
      </w:pPr>
    </w:p>
    <w:p>
      <w:pPr>
        <w:ind w:left="400"/>
        <w:spacing w:after="0"/>
        <w:tabs>
          <w:tab w:leader="none" w:pos="1120" w:val="left"/>
        </w:tabs>
        <w:rPr>
          <w:rFonts w:ascii="Arial" w:cs="Arial" w:eastAsia="Arial" w:hAnsi="Arial"/>
          <w:sz w:val="13"/>
          <w:szCs w:val="13"/>
          <w:u w:val="single" w:color="auto"/>
          <w:color w:val="0000FF"/>
        </w:rPr>
      </w:pPr>
      <w:r>
        <w:rPr>
          <w:rFonts w:ascii="Arial" w:cs="Arial" w:eastAsia="Arial" w:hAnsi="Arial"/>
          <w:sz w:val="14"/>
          <w:szCs w:val="14"/>
          <w:color w:val="auto"/>
        </w:rPr>
        <w:t>10.14</w:t>
      </w:r>
      <w:r>
        <w:rPr>
          <w:sz w:val="20"/>
          <w:szCs w:val="20"/>
          <w:color w:val="auto"/>
        </w:rPr>
        <w:tab/>
      </w:r>
      <w:hyperlink r:id="rId150">
        <w:r>
          <w:rPr>
            <w:rFonts w:ascii="Arial" w:cs="Arial" w:eastAsia="Arial" w:hAnsi="Arial"/>
            <w:sz w:val="13"/>
            <w:szCs w:val="13"/>
            <w:u w:val="single" w:color="auto"/>
            <w:color w:val="0000FF"/>
          </w:rPr>
          <w:t>Form of Indemnification Agreement.</w:t>
        </w:r>
      </w:hyperlink>
    </w:p>
    <w:p>
      <w:pPr>
        <w:spacing w:after="0" w:line="55" w:lineRule="exact"/>
        <w:rPr>
          <w:sz w:val="20"/>
          <w:szCs w:val="20"/>
          <w:color w:val="auto"/>
        </w:rPr>
      </w:pPr>
    </w:p>
    <w:p>
      <w:pPr>
        <w:jc w:val="both"/>
        <w:ind w:left="1140" w:right="140" w:hanging="775"/>
        <w:spacing w:after="0" w:line="313" w:lineRule="auto"/>
        <w:tabs>
          <w:tab w:leader="none" w:pos="1120" w:val="left"/>
        </w:tabs>
        <w:rPr>
          <w:rFonts w:ascii="Arial" w:cs="Arial" w:eastAsia="Arial" w:hAnsi="Arial"/>
          <w:sz w:val="12"/>
          <w:szCs w:val="12"/>
          <w:u w:val="single" w:color="auto"/>
          <w:color w:val="0000FF"/>
        </w:rPr>
      </w:pPr>
      <w:r>
        <w:rPr>
          <w:rFonts w:ascii="Arial" w:cs="Arial" w:eastAsia="Arial" w:hAnsi="Arial"/>
          <w:sz w:val="14"/>
          <w:szCs w:val="14"/>
          <w:color w:val="auto"/>
        </w:rPr>
        <w:t>10.15†</w:t>
      </w:r>
      <w:r>
        <w:rPr>
          <w:sz w:val="20"/>
          <w:szCs w:val="20"/>
          <w:color w:val="auto"/>
        </w:rPr>
        <w:tab/>
      </w:r>
      <w:hyperlink r:id="rId151">
        <w:r>
          <w:rPr>
            <w:rFonts w:ascii="Arial" w:cs="Arial" w:eastAsia="Arial" w:hAnsi="Arial"/>
            <w:sz w:val="12"/>
            <w:szCs w:val="12"/>
            <w:u w:val="single" w:color="auto"/>
            <w:color w:val="0000FF"/>
          </w:rPr>
          <w:t>Second Amendment to Loan and Security Agreement, dated as of</w:t>
        </w:r>
      </w:hyperlink>
      <w:r>
        <w:rPr>
          <w:rFonts w:ascii="Arial" w:cs="Arial" w:eastAsia="Arial" w:hAnsi="Arial"/>
          <w:sz w:val="12"/>
          <w:szCs w:val="12"/>
          <w:u w:val="single" w:color="auto"/>
          <w:color w:val="0000FF"/>
        </w:rPr>
        <w:t xml:space="preserve"> </w:t>
      </w:r>
      <w:hyperlink r:id="rId151">
        <w:r>
          <w:rPr>
            <w:rFonts w:ascii="Arial" w:cs="Arial" w:eastAsia="Arial" w:hAnsi="Arial"/>
            <w:sz w:val="12"/>
            <w:szCs w:val="12"/>
            <w:u w:val="single" w:color="auto"/>
            <w:color w:val="0000FF"/>
          </w:rPr>
          <w:t>August 6, 2021, by and among Brilliant Earth, LLC, the Lenders</w:t>
        </w:r>
      </w:hyperlink>
      <w:r>
        <w:rPr>
          <w:rFonts w:ascii="Arial" w:cs="Arial" w:eastAsia="Arial" w:hAnsi="Arial"/>
          <w:sz w:val="12"/>
          <w:szCs w:val="12"/>
          <w:u w:val="single" w:color="auto"/>
          <w:color w:val="0000FF"/>
        </w:rPr>
        <w:t xml:space="preserve"> </w:t>
      </w:r>
      <w:hyperlink r:id="rId151">
        <w:r>
          <w:rPr>
            <w:rFonts w:ascii="Arial" w:cs="Arial" w:eastAsia="Arial" w:hAnsi="Arial"/>
            <w:sz w:val="12"/>
            <w:szCs w:val="12"/>
            <w:u w:val="single" w:color="auto"/>
            <w:color w:val="0000FF"/>
          </w:rPr>
          <w:t>party thereto and Runway Growth Credit Fund Inc., as Agent.</w:t>
        </w:r>
      </w:hyperlink>
    </w:p>
    <w:p>
      <w:pPr>
        <w:ind w:left="1140" w:right="80" w:hanging="775"/>
        <w:spacing w:after="0" w:line="252" w:lineRule="auto"/>
        <w:tabs>
          <w:tab w:leader="none" w:pos="112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152">
        <w:r>
          <w:rPr>
            <w:rFonts w:ascii="Arial" w:cs="Arial" w:eastAsia="Arial" w:hAnsi="Arial"/>
            <w:sz w:val="14"/>
            <w:szCs w:val="14"/>
            <w:u w:val="single" w:color="auto"/>
            <w:color w:val="0000FF"/>
          </w:rPr>
          <w:t>Third Amendment to Loan and Security Agreement, dated as of</w:t>
        </w:r>
      </w:hyperlink>
      <w:r>
        <w:rPr>
          <w:rFonts w:ascii="Arial" w:cs="Arial" w:eastAsia="Arial" w:hAnsi="Arial"/>
          <w:sz w:val="14"/>
          <w:szCs w:val="14"/>
          <w:u w:val="single" w:color="auto"/>
          <w:color w:val="0000FF"/>
        </w:rPr>
        <w:t xml:space="preserve"> </w:t>
      </w:r>
      <w:hyperlink r:id="rId152">
        <w:r>
          <w:rPr>
            <w:rFonts w:ascii="Arial" w:cs="Arial" w:eastAsia="Arial" w:hAnsi="Arial"/>
            <w:sz w:val="14"/>
            <w:szCs w:val="14"/>
            <w:u w:val="single" w:color="auto"/>
            <w:color w:val="0000FF"/>
          </w:rPr>
          <w:t>August 29, 2021, by and among Brilliant Earth, LLC, the Lenders</w:t>
        </w:r>
      </w:hyperlink>
      <w:r>
        <w:rPr>
          <w:rFonts w:ascii="Arial" w:cs="Arial" w:eastAsia="Arial" w:hAnsi="Arial"/>
          <w:sz w:val="14"/>
          <w:szCs w:val="14"/>
          <w:u w:val="single" w:color="auto"/>
          <w:color w:val="0000FF"/>
        </w:rPr>
        <w:t xml:space="preserve"> </w:t>
      </w:r>
      <w:hyperlink r:id="rId152">
        <w:r>
          <w:rPr>
            <w:rFonts w:ascii="Arial" w:cs="Arial" w:eastAsia="Arial" w:hAnsi="Arial"/>
            <w:sz w:val="14"/>
            <w:szCs w:val="14"/>
            <w:u w:val="single" w:color="auto"/>
            <w:color w:val="0000FF"/>
          </w:rPr>
          <w:t>party thereto and Runway Growth Finance Corp. (f/k/a Runway</w:t>
        </w:r>
      </w:hyperlink>
      <w:r>
        <w:rPr>
          <w:rFonts w:ascii="Arial" w:cs="Arial" w:eastAsia="Arial" w:hAnsi="Arial"/>
          <w:sz w:val="14"/>
          <w:szCs w:val="14"/>
          <w:u w:val="single" w:color="auto"/>
          <w:color w:val="0000FF"/>
        </w:rPr>
        <w:t xml:space="preserve"> </w:t>
      </w:r>
      <w:hyperlink r:id="rId152">
        <w:r>
          <w:rPr>
            <w:rFonts w:ascii="Arial" w:cs="Arial" w:eastAsia="Arial" w:hAnsi="Arial"/>
            <w:sz w:val="14"/>
            <w:szCs w:val="14"/>
            <w:u w:val="single" w:color="auto"/>
            <w:color w:val="0000FF"/>
          </w:rPr>
          <w:t>Growth Credit Fund Inc.), as Agent.</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96"/>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001-40836</w:t>
            </w: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10.11</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45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001-40836</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10.12</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702"/>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001-40836</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10.14</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230"/>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001-40836</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10.15</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r>
        <w:trPr>
          <w:trHeight w:val="769"/>
        </w:trPr>
        <w:tc>
          <w:tcPr>
            <w:tcW w:w="640" w:type="dxa"/>
            <w:vAlign w:val="bottom"/>
          </w:tcPr>
          <w:p>
            <w:pPr>
              <w:spacing w:after="0"/>
              <w:rPr>
                <w:sz w:val="20"/>
                <w:szCs w:val="20"/>
                <w:color w:val="auto"/>
              </w:rPr>
            </w:pPr>
            <w:r>
              <w:rPr>
                <w:rFonts w:ascii="Arial" w:cs="Arial" w:eastAsia="Arial" w:hAnsi="Arial"/>
                <w:sz w:val="14"/>
                <w:szCs w:val="14"/>
                <w:color w:val="auto"/>
              </w:rPr>
              <w:t>S-1/A</w:t>
            </w:r>
          </w:p>
        </w:tc>
        <w:tc>
          <w:tcPr>
            <w:tcW w:w="1200" w:type="dxa"/>
            <w:vAlign w:val="bottom"/>
          </w:tcPr>
          <w:p>
            <w:pPr>
              <w:jc w:val="right"/>
              <w:ind w:right="228"/>
              <w:spacing w:after="0"/>
              <w:rPr>
                <w:sz w:val="20"/>
                <w:szCs w:val="20"/>
                <w:color w:val="auto"/>
              </w:rPr>
            </w:pPr>
            <w:r>
              <w:rPr>
                <w:rFonts w:ascii="Arial" w:cs="Arial" w:eastAsia="Arial" w:hAnsi="Arial"/>
                <w:sz w:val="14"/>
                <w:szCs w:val="14"/>
                <w:color w:val="auto"/>
              </w:rPr>
              <w:t>001-40836</w:t>
            </w: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920" w:type="dxa"/>
            <w:vAlign w:val="bottom"/>
          </w:tcPr>
          <w:p>
            <w:pPr>
              <w:jc w:val="right"/>
              <w:spacing w:after="0"/>
              <w:rPr>
                <w:sz w:val="20"/>
                <w:szCs w:val="20"/>
                <w:color w:val="auto"/>
              </w:rPr>
            </w:pPr>
            <w:r>
              <w:rPr>
                <w:rFonts w:ascii="Arial" w:cs="Arial" w:eastAsia="Arial" w:hAnsi="Arial"/>
                <w:sz w:val="14"/>
                <w:szCs w:val="14"/>
                <w:color w:val="auto"/>
              </w:rPr>
              <w:t>9/14/2021</w:t>
            </w:r>
          </w:p>
        </w:tc>
      </w:tr>
    </w:tbl>
    <w:p>
      <w:pPr>
        <w:spacing w:after="0" w:line="512" w:lineRule="exact"/>
        <w:rPr>
          <w:rFonts w:ascii="Arial" w:cs="Arial" w:eastAsia="Arial" w:hAnsi="Arial"/>
          <w:sz w:val="14"/>
          <w:szCs w:val="14"/>
          <w:u w:val="single" w:color="auto"/>
          <w:color w:val="0000FF"/>
        </w:rPr>
      </w:pPr>
    </w:p>
    <w:p>
      <w:pPr>
        <w:sectPr>
          <w:pgSz w:w="11900" w:h="16838" w:orient="portrait"/>
          <w:cols w:equalWidth="0" w:num="2">
            <w:col w:w="5060" w:space="380"/>
            <w:col w:w="5800"/>
          </w:cols>
          <w:pgMar w:left="320" w:top="136" w:right="339" w:bottom="1440" w:gutter="0" w:footer="0" w:header="0"/>
          <w:type w:val="continuous"/>
        </w:sectPr>
      </w:pPr>
    </w:p>
    <w:tbl>
      <w:tblPr>
        <w:tblLayout w:type="fixed"/>
        <w:tblInd w:w="440" w:type="dxa"/>
        <w:tblCellMar>
          <w:top w:w="0" w:type="dxa"/>
          <w:left w:w="0" w:type="dxa"/>
          <w:bottom w:w="0" w:type="dxa"/>
          <w:right w:w="0" w:type="dxa"/>
        </w:tblCellMar>
      </w:tblPr>
      <w:tr>
        <w:trPr>
          <w:trHeight w:val="161"/>
        </w:trPr>
        <w:tc>
          <w:tcPr>
            <w:tcW w:w="700" w:type="dxa"/>
            <w:vAlign w:val="bottom"/>
          </w:tcPr>
          <w:p>
            <w:pPr>
              <w:jc w:val="right"/>
              <w:ind w:right="368"/>
              <w:spacing w:after="0"/>
              <w:rPr>
                <w:sz w:val="20"/>
                <w:szCs w:val="20"/>
                <w:color w:val="auto"/>
              </w:rPr>
            </w:pPr>
            <w:r>
              <w:rPr>
                <w:rFonts w:ascii="Arial" w:cs="Arial" w:eastAsia="Arial" w:hAnsi="Arial"/>
                <w:sz w:val="14"/>
                <w:szCs w:val="14"/>
                <w:color w:val="auto"/>
                <w:w w:val="87"/>
              </w:rPr>
              <w:t>31.1</w:t>
            </w:r>
          </w:p>
        </w:tc>
        <w:tc>
          <w:tcPr>
            <w:tcW w:w="6400" w:type="dxa"/>
            <w:vAlign w:val="bottom"/>
            <w:gridSpan w:val="4"/>
          </w:tcPr>
          <w:p>
            <w:pPr>
              <w:spacing w:after="0"/>
              <w:rPr>
                <w:rFonts w:ascii="Arial" w:cs="Arial" w:eastAsia="Arial" w:hAnsi="Arial"/>
                <w:sz w:val="14"/>
                <w:szCs w:val="14"/>
                <w:color w:val="0000FF"/>
              </w:rPr>
            </w:pPr>
            <w:hyperlink w:anchor="page111">
              <w:r>
                <w:rPr>
                  <w:rFonts w:ascii="Arial" w:cs="Arial" w:eastAsia="Arial" w:hAnsi="Arial"/>
                  <w:sz w:val="14"/>
                  <w:szCs w:val="14"/>
                  <w:color w:val="0000FF"/>
                </w:rPr>
                <w:t>Certification of Chief Executive Officer pursuant to Rule 13a-</w:t>
              </w:r>
            </w:hyperlink>
          </w:p>
        </w:tc>
        <w:tc>
          <w:tcPr>
            <w:tcW w:w="2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70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2"/>
              </w:rPr>
            </w:pPr>
            <w:hyperlink w:anchor="page111">
              <w:r>
                <w:rPr>
                  <w:rFonts w:ascii="Arial" w:cs="Arial" w:eastAsia="Arial" w:hAnsi="Arial"/>
                  <w:sz w:val="14"/>
                  <w:szCs w:val="14"/>
                  <w:color w:val="0000FF"/>
                  <w:w w:val="92"/>
                </w:rPr>
                <w:t>14(a)/15d-14(a).</w:t>
              </w:r>
            </w:hyperlink>
          </w:p>
        </w:tc>
        <w:tc>
          <w:tcPr>
            <w:tcW w:w="2620" w:type="dxa"/>
            <w:vAlign w:val="bottom"/>
            <w:tcBorders>
              <w:top w:val="single" w:sz="8" w:color="0000FF"/>
            </w:tcBorders>
            <w:gridSpan w:val="2"/>
          </w:tcPr>
          <w:p>
            <w:pPr>
              <w:spacing w:after="0"/>
              <w:rPr>
                <w:sz w:val="13"/>
                <w:szCs w:val="13"/>
                <w:color w:val="auto"/>
              </w:rPr>
            </w:pPr>
          </w:p>
        </w:tc>
        <w:tc>
          <w:tcPr>
            <w:tcW w:w="282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09"/>
        </w:trPr>
        <w:tc>
          <w:tcPr>
            <w:tcW w:w="700" w:type="dxa"/>
            <w:vAlign w:val="bottom"/>
          </w:tcPr>
          <w:p>
            <w:pPr>
              <w:jc w:val="right"/>
              <w:ind w:right="368"/>
              <w:spacing w:after="0"/>
              <w:rPr>
                <w:sz w:val="20"/>
                <w:szCs w:val="20"/>
                <w:color w:val="auto"/>
              </w:rPr>
            </w:pPr>
            <w:r>
              <w:rPr>
                <w:rFonts w:ascii="Arial" w:cs="Arial" w:eastAsia="Arial" w:hAnsi="Arial"/>
                <w:sz w:val="14"/>
                <w:szCs w:val="14"/>
                <w:color w:val="auto"/>
                <w:w w:val="87"/>
              </w:rPr>
              <w:t>31.2</w:t>
            </w:r>
          </w:p>
        </w:tc>
        <w:tc>
          <w:tcPr>
            <w:tcW w:w="6400" w:type="dxa"/>
            <w:vAlign w:val="bottom"/>
            <w:gridSpan w:val="4"/>
          </w:tcPr>
          <w:p>
            <w:pPr>
              <w:spacing w:after="0"/>
              <w:rPr>
                <w:rFonts w:ascii="Arial" w:cs="Arial" w:eastAsia="Arial" w:hAnsi="Arial"/>
                <w:sz w:val="14"/>
                <w:szCs w:val="14"/>
                <w:color w:val="0000FF"/>
              </w:rPr>
            </w:pPr>
            <w:hyperlink w:anchor="page113">
              <w:r>
                <w:rPr>
                  <w:rFonts w:ascii="Arial" w:cs="Arial" w:eastAsia="Arial" w:hAnsi="Arial"/>
                  <w:sz w:val="14"/>
                  <w:szCs w:val="14"/>
                  <w:color w:val="0000FF"/>
                </w:rPr>
                <w:t>Certification of Chief Financial Officer pursuant to Rule 13a-</w:t>
              </w:r>
            </w:hyperlink>
          </w:p>
        </w:tc>
        <w:tc>
          <w:tcPr>
            <w:tcW w:w="2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6"/>
        </w:trPr>
        <w:tc>
          <w:tcPr>
            <w:tcW w:w="70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2"/>
              </w:rPr>
            </w:pPr>
            <w:hyperlink w:anchor="page113">
              <w:r>
                <w:rPr>
                  <w:rFonts w:ascii="Arial" w:cs="Arial" w:eastAsia="Arial" w:hAnsi="Arial"/>
                  <w:sz w:val="14"/>
                  <w:szCs w:val="14"/>
                  <w:color w:val="0000FF"/>
                  <w:w w:val="92"/>
                </w:rPr>
                <w:t>14(a)/15d-14(a).</w:t>
              </w:r>
            </w:hyperlink>
          </w:p>
        </w:tc>
        <w:tc>
          <w:tcPr>
            <w:tcW w:w="2580" w:type="dxa"/>
            <w:vAlign w:val="bottom"/>
            <w:tcBorders>
              <w:top w:val="single" w:sz="8" w:color="0000FF"/>
            </w:tcBorders>
          </w:tcPr>
          <w:p>
            <w:pPr>
              <w:spacing w:after="0"/>
              <w:rPr>
                <w:sz w:val="13"/>
                <w:szCs w:val="13"/>
                <w:color w:val="auto"/>
              </w:rPr>
            </w:pPr>
          </w:p>
        </w:tc>
        <w:tc>
          <w:tcPr>
            <w:tcW w:w="2860" w:type="dxa"/>
            <w:vAlign w:val="bottom"/>
            <w:gridSpan w:val="2"/>
          </w:tcPr>
          <w:p>
            <w:pPr>
              <w:spacing w:after="0"/>
              <w:rPr>
                <w:sz w:val="13"/>
                <w:szCs w:val="13"/>
                <w:color w:val="auto"/>
              </w:rPr>
            </w:pPr>
          </w:p>
        </w:tc>
        <w:tc>
          <w:tcPr>
            <w:tcW w:w="29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08" w:name="page109"/>
    <w:bookmarkEnd w:id="108"/>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32.1</w:t>
            </w:r>
          </w:p>
        </w:tc>
        <w:tc>
          <w:tcPr>
            <w:tcW w:w="6580" w:type="dxa"/>
            <w:vAlign w:val="bottom"/>
            <w:gridSpan w:val="5"/>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Certification of Chief Executive Officer pursuant to 18 U.S.C.</w:t>
              </w:r>
            </w:hyperlink>
          </w:p>
        </w:tc>
        <w:tc>
          <w:tcPr>
            <w:tcW w:w="2740" w:type="dxa"/>
            <w:vAlign w:val="bottom"/>
          </w:tcPr>
          <w:p>
            <w:pPr>
              <w:jc w:val="center"/>
              <w:ind w:left="2528"/>
              <w:spacing w:after="0"/>
              <w:rPr>
                <w:sz w:val="20"/>
                <w:szCs w:val="20"/>
                <w:color w:val="auto"/>
              </w:rPr>
            </w:pPr>
            <w:r>
              <w:rPr>
                <w:rFonts w:ascii="Arial" w:cs="Arial" w:eastAsia="Arial" w:hAnsi="Arial"/>
                <w:sz w:val="14"/>
                <w:szCs w:val="14"/>
                <w:color w:val="auto"/>
              </w:rPr>
              <w:t>**</w:t>
            </w:r>
          </w:p>
        </w:tc>
      </w:tr>
      <w:tr>
        <w:trPr>
          <w:trHeight w:val="155"/>
        </w:trPr>
        <w:tc>
          <w:tcPr>
            <w:tcW w:w="840" w:type="dxa"/>
            <w:vAlign w:val="bottom"/>
          </w:tcPr>
          <w:p>
            <w:pPr>
              <w:spacing w:after="0"/>
              <w:rPr>
                <w:sz w:val="13"/>
                <w:szCs w:val="13"/>
                <w:color w:val="auto"/>
              </w:rPr>
            </w:pPr>
          </w:p>
        </w:tc>
        <w:tc>
          <w:tcPr>
            <w:tcW w:w="820" w:type="dxa"/>
            <w:vAlign w:val="bottom"/>
            <w:tcBorders>
              <w:top w:val="single" w:sz="8" w:color="0000FF"/>
              <w:bottom w:val="single" w:sz="8" w:color="0000FF"/>
            </w:tcBorders>
            <w:gridSpan w:val="2"/>
          </w:tcPr>
          <w:p>
            <w:pPr>
              <w:spacing w:after="0" w:line="155" w:lineRule="exact"/>
              <w:rPr>
                <w:rFonts w:ascii="Arial" w:cs="Arial" w:eastAsia="Arial" w:hAnsi="Arial"/>
                <w:sz w:val="14"/>
                <w:szCs w:val="14"/>
                <w:color w:val="0000FF"/>
                <w:w w:val="93"/>
              </w:rPr>
            </w:pPr>
            <w:hyperlink w:anchor="page114">
              <w:r>
                <w:rPr>
                  <w:rFonts w:ascii="Arial" w:cs="Arial" w:eastAsia="Arial" w:hAnsi="Arial"/>
                  <w:sz w:val="14"/>
                  <w:szCs w:val="14"/>
                  <w:color w:val="0000FF"/>
                  <w:w w:val="93"/>
                </w:rPr>
                <w:t>Section 1350.</w:t>
              </w:r>
            </w:hyperlink>
          </w:p>
        </w:tc>
        <w:tc>
          <w:tcPr>
            <w:tcW w:w="2760" w:type="dxa"/>
            <w:vAlign w:val="bottom"/>
            <w:tcBorders>
              <w:top w:val="single" w:sz="8" w:color="0000FF"/>
            </w:tcBorders>
            <w:gridSpan w:val="2"/>
          </w:tcPr>
          <w:p>
            <w:pPr>
              <w:spacing w:after="0"/>
              <w:rPr>
                <w:sz w:val="13"/>
                <w:szCs w:val="13"/>
                <w:color w:val="auto"/>
              </w:rPr>
            </w:pPr>
          </w:p>
        </w:tc>
        <w:tc>
          <w:tcPr>
            <w:tcW w:w="30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1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5"/>
              </w:rPr>
              <w:t>32.2</w:t>
            </w:r>
          </w:p>
        </w:tc>
        <w:tc>
          <w:tcPr>
            <w:tcW w:w="6580" w:type="dxa"/>
            <w:vAlign w:val="bottom"/>
            <w:gridSpan w:val="5"/>
          </w:tcPr>
          <w:p>
            <w:pPr>
              <w:spacing w:after="0"/>
              <w:rPr>
                <w:rFonts w:ascii="Arial" w:cs="Arial" w:eastAsia="Arial" w:hAnsi="Arial"/>
                <w:sz w:val="14"/>
                <w:szCs w:val="14"/>
                <w:color w:val="0000FF"/>
              </w:rPr>
            </w:pPr>
            <w:hyperlink w:anchor="page115">
              <w:r>
                <w:rPr>
                  <w:rFonts w:ascii="Arial" w:cs="Arial" w:eastAsia="Arial" w:hAnsi="Arial"/>
                  <w:sz w:val="14"/>
                  <w:szCs w:val="14"/>
                  <w:color w:val="0000FF"/>
                </w:rPr>
                <w:t>Certification of Chief Financial Officer pursuant to 18 U.S.C.</w:t>
              </w:r>
            </w:hyperlink>
          </w:p>
        </w:tc>
        <w:tc>
          <w:tcPr>
            <w:tcW w:w="2740" w:type="dxa"/>
            <w:vAlign w:val="bottom"/>
          </w:tcPr>
          <w:p>
            <w:pPr>
              <w:jc w:val="center"/>
              <w:ind w:left="2528"/>
              <w:spacing w:after="0"/>
              <w:rPr>
                <w:sz w:val="20"/>
                <w:szCs w:val="20"/>
                <w:color w:val="auto"/>
              </w:rPr>
            </w:pPr>
            <w:r>
              <w:rPr>
                <w:rFonts w:ascii="Arial" w:cs="Arial" w:eastAsia="Arial" w:hAnsi="Arial"/>
                <w:sz w:val="14"/>
                <w:szCs w:val="14"/>
                <w:color w:val="auto"/>
              </w:rPr>
              <w:t>**</w:t>
            </w:r>
          </w:p>
        </w:tc>
      </w:tr>
      <w:tr>
        <w:trPr>
          <w:trHeight w:val="155"/>
        </w:trPr>
        <w:tc>
          <w:tcPr>
            <w:tcW w:w="84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5" w:lineRule="exact"/>
              <w:rPr>
                <w:rFonts w:ascii="Arial" w:cs="Arial" w:eastAsia="Arial" w:hAnsi="Arial"/>
                <w:sz w:val="14"/>
                <w:szCs w:val="14"/>
                <w:color w:val="0000FF"/>
                <w:w w:val="91"/>
              </w:rPr>
            </w:pPr>
            <w:hyperlink w:anchor="page115">
              <w:r>
                <w:rPr>
                  <w:rFonts w:ascii="Arial" w:cs="Arial" w:eastAsia="Arial" w:hAnsi="Arial"/>
                  <w:sz w:val="14"/>
                  <w:szCs w:val="14"/>
                  <w:color w:val="0000FF"/>
                  <w:w w:val="91"/>
                </w:rPr>
                <w:t>Section 1350.</w:t>
              </w:r>
            </w:hyperlink>
          </w:p>
        </w:tc>
        <w:tc>
          <w:tcPr>
            <w:tcW w:w="2740" w:type="dxa"/>
            <w:vAlign w:val="bottom"/>
            <w:tcBorders>
              <w:top w:val="single" w:sz="8" w:color="0000FF"/>
            </w:tcBorders>
            <w:gridSpan w:val="2"/>
          </w:tcPr>
          <w:p>
            <w:pPr>
              <w:spacing w:after="0"/>
              <w:rPr>
                <w:sz w:val="13"/>
                <w:szCs w:val="13"/>
                <w:color w:val="auto"/>
              </w:rPr>
            </w:pPr>
          </w:p>
        </w:tc>
        <w:tc>
          <w:tcPr>
            <w:tcW w:w="3040" w:type="dxa"/>
            <w:vAlign w:val="bottom"/>
            <w:gridSpan w:val="2"/>
          </w:tcPr>
          <w:p>
            <w:pPr>
              <w:spacing w:after="0"/>
              <w:rPr>
                <w:sz w:val="13"/>
                <w:szCs w:val="13"/>
                <w:color w:val="auto"/>
              </w:rPr>
            </w:pPr>
          </w:p>
        </w:tc>
        <w:tc>
          <w:tcPr>
            <w:tcW w:w="2740" w:type="dxa"/>
            <w:vAlign w:val="bottom"/>
          </w:tcPr>
          <w:p>
            <w:pPr>
              <w:spacing w:after="0"/>
              <w:rPr>
                <w:sz w:val="13"/>
                <w:szCs w:val="13"/>
                <w:color w:val="auto"/>
              </w:rPr>
            </w:pPr>
          </w:p>
        </w:tc>
      </w:tr>
      <w:tr>
        <w:trPr>
          <w:trHeight w:val="231"/>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8"/>
              </w:rPr>
              <w:t>101.INS</w:t>
            </w:r>
          </w:p>
        </w:tc>
        <w:tc>
          <w:tcPr>
            <w:tcW w:w="6580" w:type="dxa"/>
            <w:vAlign w:val="bottom"/>
            <w:gridSpan w:val="5"/>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176"/>
        </w:trPr>
        <w:tc>
          <w:tcPr>
            <w:tcW w:w="840" w:type="dxa"/>
            <w:vAlign w:val="bottom"/>
          </w:tcPr>
          <w:p>
            <w:pPr>
              <w:spacing w:after="0"/>
              <w:rPr>
                <w:sz w:val="15"/>
                <w:szCs w:val="15"/>
                <w:color w:val="auto"/>
              </w:rPr>
            </w:pPr>
          </w:p>
        </w:tc>
        <w:tc>
          <w:tcPr>
            <w:tcW w:w="6580" w:type="dxa"/>
            <w:vAlign w:val="bottom"/>
            <w:gridSpan w:val="5"/>
          </w:tcPr>
          <w:p>
            <w:pPr>
              <w:spacing w:after="0"/>
              <w:rPr>
                <w:sz w:val="20"/>
                <w:szCs w:val="20"/>
                <w:color w:val="auto"/>
              </w:rPr>
            </w:pPr>
            <w:r>
              <w:rPr>
                <w:rFonts w:ascii="Arial" w:cs="Arial" w:eastAsia="Arial" w:hAnsi="Arial"/>
                <w:sz w:val="14"/>
                <w:szCs w:val="14"/>
                <w:color w:val="auto"/>
              </w:rPr>
              <w:t>appear in the Interactive Data File because its XBRL tags are</w:t>
            </w:r>
          </w:p>
        </w:tc>
        <w:tc>
          <w:tcPr>
            <w:tcW w:w="274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6580" w:type="dxa"/>
            <w:vAlign w:val="bottom"/>
            <w:gridSpan w:val="5"/>
          </w:tcPr>
          <w:p>
            <w:pPr>
              <w:spacing w:after="0"/>
              <w:rPr>
                <w:sz w:val="20"/>
                <w:szCs w:val="20"/>
                <w:color w:val="auto"/>
              </w:rPr>
            </w:pPr>
            <w:r>
              <w:rPr>
                <w:rFonts w:ascii="Arial" w:cs="Arial" w:eastAsia="Arial" w:hAnsi="Arial"/>
                <w:sz w:val="14"/>
                <w:szCs w:val="14"/>
                <w:color w:val="auto"/>
              </w:rPr>
              <w:t>embedded within the Inline XBRL document.</w:t>
            </w:r>
          </w:p>
        </w:tc>
        <w:tc>
          <w:tcPr>
            <w:tcW w:w="2740" w:type="dxa"/>
            <w:vAlign w:val="bottom"/>
          </w:tcPr>
          <w:p>
            <w:pPr>
              <w:spacing w:after="0"/>
              <w:rPr>
                <w:sz w:val="15"/>
                <w:szCs w:val="15"/>
                <w:color w:val="auto"/>
              </w:rPr>
            </w:pPr>
          </w:p>
        </w:tc>
      </w:tr>
      <w:tr>
        <w:trPr>
          <w:trHeight w:val="23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4"/>
              </w:rPr>
              <w:t>101.SCH</w:t>
            </w:r>
          </w:p>
        </w:tc>
        <w:tc>
          <w:tcPr>
            <w:tcW w:w="6580" w:type="dxa"/>
            <w:vAlign w:val="bottom"/>
            <w:gridSpan w:val="5"/>
          </w:tcPr>
          <w:p>
            <w:pPr>
              <w:spacing w:after="0"/>
              <w:rPr>
                <w:sz w:val="20"/>
                <w:szCs w:val="20"/>
                <w:color w:val="auto"/>
              </w:rPr>
            </w:pPr>
            <w:r>
              <w:rPr>
                <w:rFonts w:ascii="Arial" w:cs="Arial" w:eastAsia="Arial" w:hAnsi="Arial"/>
                <w:sz w:val="14"/>
                <w:szCs w:val="14"/>
                <w:color w:val="auto"/>
              </w:rPr>
              <w:t>Inline XBRL Taxonomy Extension Schema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9"/>
              </w:rPr>
              <w:t>101.CAL</w:t>
            </w:r>
          </w:p>
        </w:tc>
        <w:tc>
          <w:tcPr>
            <w:tcW w:w="6580" w:type="dxa"/>
            <w:vAlign w:val="bottom"/>
            <w:gridSpan w:val="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30"/>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7"/>
              </w:rPr>
              <w:t>101.DEF</w:t>
            </w:r>
          </w:p>
        </w:tc>
        <w:tc>
          <w:tcPr>
            <w:tcW w:w="6580" w:type="dxa"/>
            <w:vAlign w:val="bottom"/>
            <w:gridSpan w:val="5"/>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rPr>
              <w:t>101.LAB</w:t>
            </w:r>
          </w:p>
        </w:tc>
        <w:tc>
          <w:tcPr>
            <w:tcW w:w="6580" w:type="dxa"/>
            <w:vAlign w:val="bottom"/>
            <w:gridSpan w:val="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9"/>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89"/>
              </w:rPr>
              <w:t>101.PRE</w:t>
            </w:r>
          </w:p>
        </w:tc>
        <w:tc>
          <w:tcPr>
            <w:tcW w:w="6580" w:type="dxa"/>
            <w:vAlign w:val="bottom"/>
            <w:gridSpan w:val="5"/>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223"/>
        </w:trPr>
        <w:tc>
          <w:tcPr>
            <w:tcW w:w="840" w:type="dxa"/>
            <w:vAlign w:val="bottom"/>
          </w:tcPr>
          <w:p>
            <w:pPr>
              <w:jc w:val="center"/>
              <w:ind w:right="228"/>
              <w:spacing w:after="0"/>
              <w:rPr>
                <w:sz w:val="20"/>
                <w:szCs w:val="20"/>
                <w:color w:val="auto"/>
              </w:rPr>
            </w:pPr>
            <w:r>
              <w:rPr>
                <w:rFonts w:ascii="Arial" w:cs="Arial" w:eastAsia="Arial" w:hAnsi="Arial"/>
                <w:sz w:val="14"/>
                <w:szCs w:val="14"/>
                <w:color w:val="auto"/>
                <w:w w:val="94"/>
              </w:rPr>
              <w:t>104</w:t>
            </w:r>
          </w:p>
        </w:tc>
        <w:tc>
          <w:tcPr>
            <w:tcW w:w="6580" w:type="dxa"/>
            <w:vAlign w:val="bottom"/>
            <w:gridSpan w:val="5"/>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2740" w:type="dxa"/>
            <w:vAlign w:val="bottom"/>
          </w:tcPr>
          <w:p>
            <w:pPr>
              <w:jc w:val="center"/>
              <w:ind w:left="2548"/>
              <w:spacing w:after="0"/>
              <w:rPr>
                <w:sz w:val="20"/>
                <w:szCs w:val="20"/>
                <w:color w:val="auto"/>
              </w:rPr>
            </w:pPr>
            <w:r>
              <w:rPr>
                <w:rFonts w:ascii="Arial" w:cs="Arial" w:eastAsia="Arial" w:hAnsi="Arial"/>
                <w:sz w:val="14"/>
                <w:szCs w:val="14"/>
                <w:color w:val="auto"/>
              </w:rPr>
              <w:t>*</w:t>
            </w:r>
          </w:p>
        </w:tc>
      </w:tr>
      <w:tr>
        <w:trPr>
          <w:trHeight w:val="182"/>
        </w:trPr>
        <w:tc>
          <w:tcPr>
            <w:tcW w:w="840" w:type="dxa"/>
            <w:vAlign w:val="bottom"/>
          </w:tcPr>
          <w:p>
            <w:pPr>
              <w:spacing w:after="0"/>
              <w:rPr>
                <w:sz w:val="15"/>
                <w:szCs w:val="15"/>
                <w:color w:val="auto"/>
              </w:rPr>
            </w:pPr>
          </w:p>
        </w:tc>
        <w:tc>
          <w:tcPr>
            <w:tcW w:w="6580" w:type="dxa"/>
            <w:vAlign w:val="bottom"/>
            <w:gridSpan w:val="5"/>
          </w:tcPr>
          <w:p>
            <w:pPr>
              <w:spacing w:after="0"/>
              <w:rPr>
                <w:sz w:val="20"/>
                <w:szCs w:val="20"/>
                <w:color w:val="auto"/>
              </w:rPr>
            </w:pPr>
            <w:r>
              <w:rPr>
                <w:rFonts w:ascii="Arial" w:cs="Arial" w:eastAsia="Arial" w:hAnsi="Arial"/>
                <w:sz w:val="14"/>
                <w:szCs w:val="14"/>
                <w:color w:val="auto"/>
              </w:rPr>
              <w:t>contained in Exhibit 101)</w:t>
            </w:r>
          </w:p>
        </w:tc>
        <w:tc>
          <w:tcPr>
            <w:tcW w:w="27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32658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51" w:lineRule="exact"/>
        <w:rPr>
          <w:sz w:val="20"/>
          <w:szCs w:val="20"/>
          <w:color w:val="auto"/>
        </w:rPr>
      </w:pPr>
    </w:p>
    <w:p>
      <w:pPr>
        <w:ind w:left="1140" w:hanging="608"/>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69" w:lineRule="exact"/>
        <w:rPr>
          <w:sz w:val="20"/>
          <w:szCs w:val="20"/>
          <w:color w:val="auto"/>
        </w:rPr>
      </w:pPr>
    </w:p>
    <w:p>
      <w:pPr>
        <w:ind w:left="1140" w:hanging="644"/>
        <w:spacing w:after="0"/>
        <w:tabs>
          <w:tab w:leader="none" w:pos="1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69" w:lineRule="exact"/>
        <w:rPr>
          <w:sz w:val="20"/>
          <w:szCs w:val="20"/>
          <w:color w:val="auto"/>
        </w:rPr>
      </w:pPr>
    </w:p>
    <w:p>
      <w:pPr>
        <w:ind w:left="1140" w:right="5360" w:hanging="608"/>
        <w:spacing w:after="0" w:line="272" w:lineRule="auto"/>
        <w:tabs>
          <w:tab w:leader="none" w:pos="1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Brilliant Earth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36" w:right="1119" w:bottom="1440" w:gutter="0" w:footer="0" w:header="0"/>
        </w:sectPr>
      </w:pPr>
    </w:p>
    <w:bookmarkStart w:id="109" w:name="page110"/>
    <w:bookmarkEnd w:id="109"/>
    <w:p>
      <w:pPr>
        <w:spacing w:after="0"/>
        <w:rPr>
          <w:rFonts w:ascii="Arial" w:cs="Arial" w:eastAsia="Arial" w:hAnsi="Arial"/>
          <w:sz w:val="20"/>
          <w:szCs w:val="20"/>
          <w:u w:val="single" w:color="auto"/>
          <w:color w:val="0000FF"/>
        </w:rPr>
      </w:pPr>
      <w:hyperlink w:anchor="page1">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right="760"/>
        <w:spacing w:after="0" w:line="246" w:lineRule="auto"/>
        <w:rPr>
          <w:sz w:val="20"/>
          <w:szCs w:val="20"/>
          <w:color w:val="auto"/>
        </w:rPr>
      </w:pPr>
      <w:r>
        <w:rPr>
          <w:rFonts w:ascii="Arial" w:cs="Arial" w:eastAsia="Arial" w:hAnsi="Arial"/>
          <w:sz w:val="20"/>
          <w:szCs w:val="20"/>
          <w:color w:val="auto"/>
        </w:rPr>
        <w:t>Pursuant to the requirements of the Securities Act of 1934, the registrant has duly caused this report to be signed on its behalf by the undersigned, thereunto duly authorized.</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Brilliant Earth Group, Inc.</w:t>
      </w:r>
    </w:p>
    <w:p>
      <w:pPr>
        <w:spacing w:after="0" w:line="270" w:lineRule="exact"/>
        <w:rPr>
          <w:sz w:val="20"/>
          <w:szCs w:val="20"/>
          <w:color w:val="auto"/>
        </w:rPr>
      </w:pPr>
    </w:p>
    <w:p>
      <w:pPr>
        <w:jc w:val="right"/>
        <w:spacing w:after="0"/>
        <w:tabs>
          <w:tab w:leader="none" w:pos="1440" w:val="left"/>
        </w:tabs>
        <w:rPr>
          <w:sz w:val="20"/>
          <w:szCs w:val="20"/>
          <w:color w:val="auto"/>
        </w:rPr>
      </w:pPr>
      <w:r>
        <w:rPr>
          <w:rFonts w:ascii="Arial" w:cs="Arial" w:eastAsia="Arial" w:hAnsi="Arial"/>
          <w:sz w:val="20"/>
          <w:szCs w:val="20"/>
          <w:color w:val="auto"/>
        </w:rPr>
        <w:t>November 12, 2021</w:t>
      </w:r>
      <w:r>
        <w:rPr>
          <w:sz w:val="20"/>
          <w:szCs w:val="20"/>
          <w:color w:val="auto"/>
        </w:rPr>
        <w:tab/>
      </w:r>
      <w:r>
        <w:rPr>
          <w:rFonts w:ascii="Arial" w:cs="Arial" w:eastAsia="Arial" w:hAnsi="Arial"/>
          <w:sz w:val="18"/>
          <w:szCs w:val="18"/>
          <w:u w:val="single" w:color="auto"/>
          <w:color w:val="auto"/>
        </w:rPr>
        <w:t>By:/s/ Jeffrey Kuo</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Jeffrey Kuo</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36" w:right="339" w:bottom="1440" w:gutter="0" w:footer="0" w:header="0"/>
        </w:sectPr>
      </w:pPr>
    </w:p>
    <w:bookmarkStart w:id="110" w:name="page111"/>
    <w:bookmarkEnd w:id="110"/>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Beth Gerstein, certify that:</w:t>
      </w:r>
    </w:p>
    <w:p>
      <w:pPr>
        <w:spacing w:after="0" w:line="22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Brilliant Earth Group, Inc.;</w:t>
      </w:r>
    </w:p>
    <w:p>
      <w:pPr>
        <w:spacing w:after="0" w:line="229" w:lineRule="exact"/>
        <w:rPr>
          <w:rFonts w:ascii="Arial" w:cs="Arial" w:eastAsia="Arial" w:hAnsi="Arial"/>
          <w:sz w:val="20"/>
          <w:szCs w:val="20"/>
          <w:color w:val="auto"/>
        </w:rPr>
      </w:pPr>
    </w:p>
    <w:p>
      <w:pPr>
        <w:ind w:left="660" w:right="220" w:hanging="328"/>
        <w:spacing w:after="0" w:line="237" w:lineRule="auto"/>
        <w:tabs>
          <w:tab w:leader="none" w:pos="709"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20"/>
          <w:szCs w:val="20"/>
          <w:color w:val="auto"/>
        </w:rPr>
      </w:pPr>
    </w:p>
    <w:p>
      <w:pPr>
        <w:ind w:left="660" w:right="120" w:hanging="328"/>
        <w:spacing w:after="0" w:line="237" w:lineRule="auto"/>
        <w:tabs>
          <w:tab w:leader="none" w:pos="709"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Arial" w:cs="Arial" w:eastAsia="Arial" w:hAnsi="Arial"/>
          <w:sz w:val="20"/>
          <w:szCs w:val="20"/>
          <w:color w:val="auto"/>
        </w:rPr>
      </w:pPr>
    </w:p>
    <w:p>
      <w:pPr>
        <w:ind w:left="660" w:right="140" w:hanging="328"/>
        <w:spacing w:after="0" w:line="246"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920" w:hanging="264"/>
        <w:spacing w:after="0"/>
        <w:tabs>
          <w:tab w:leader="none" w:pos="9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spacing w:after="0" w:line="25" w:lineRule="exact"/>
        <w:rPr>
          <w:rFonts w:ascii="Arial" w:cs="Arial" w:eastAsia="Arial" w:hAnsi="Arial"/>
          <w:sz w:val="18"/>
          <w:szCs w:val="18"/>
          <w:color w:val="auto"/>
        </w:rPr>
      </w:pPr>
    </w:p>
    <w:p>
      <w:pPr>
        <w:ind w:left="660" w:right="40"/>
        <w:spacing w:after="0" w:line="234" w:lineRule="auto"/>
        <w:rPr>
          <w:rFonts w:ascii="Arial" w:cs="Arial" w:eastAsia="Arial" w:hAnsi="Arial"/>
          <w:sz w:val="18"/>
          <w:szCs w:val="18"/>
          <w:color w:val="auto"/>
        </w:rPr>
      </w:pPr>
      <w:r>
        <w:rPr>
          <w:rFonts w:ascii="Arial" w:cs="Arial" w:eastAsia="Arial" w:hAnsi="Arial"/>
          <w:sz w:val="20"/>
          <w:szCs w:val="20"/>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40" w:hanging="284"/>
        <w:spacing w:after="0"/>
        <w:tabs>
          <w:tab w:leader="none" w:pos="940" w:val="left"/>
        </w:tabs>
        <w:numPr>
          <w:ilvl w:val="1"/>
          <w:numId w:val="41"/>
        </w:numPr>
        <w:rPr>
          <w:rFonts w:ascii="Arial" w:cs="Arial" w:eastAsia="Arial" w:hAnsi="Arial"/>
          <w:sz w:val="20"/>
          <w:szCs w:val="20"/>
          <w:color w:val="auto"/>
        </w:rPr>
      </w:pPr>
      <w:r>
        <w:rPr>
          <w:rFonts w:ascii="Arial" w:cs="Arial" w:eastAsia="Arial" w:hAnsi="Arial"/>
          <w:sz w:val="20"/>
          <w:szCs w:val="20"/>
          <w:color w:val="auto"/>
        </w:rPr>
        <w:t>[Omitted];</w:t>
      </w:r>
    </w:p>
    <w:p>
      <w:pPr>
        <w:spacing w:after="0" w:line="229" w:lineRule="exact"/>
        <w:rPr>
          <w:rFonts w:ascii="Arial" w:cs="Arial" w:eastAsia="Arial" w:hAnsi="Arial"/>
          <w:sz w:val="20"/>
          <w:szCs w:val="20"/>
          <w:color w:val="auto"/>
        </w:rPr>
      </w:pPr>
    </w:p>
    <w:p>
      <w:pPr>
        <w:ind w:left="660" w:right="380" w:hanging="4"/>
        <w:spacing w:after="0" w:line="303" w:lineRule="auto"/>
        <w:tabs>
          <w:tab w:leader="none" w:pos="929"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left="660" w:right="80" w:hanging="4"/>
        <w:spacing w:after="0" w:line="237" w:lineRule="auto"/>
        <w:tabs>
          <w:tab w:leader="none" w:pos="85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left="660" w:right="180" w:hanging="4"/>
        <w:spacing w:after="0" w:line="300" w:lineRule="auto"/>
        <w:tabs>
          <w:tab w:leader="none" w:pos="9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60" w:right="180" w:hanging="4"/>
        <w:spacing w:after="0" w:line="246" w:lineRule="auto"/>
        <w:tabs>
          <w:tab w:leader="none" w:pos="9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354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u w:val="single" w:color="auto"/>
          <w:color w:val="auto"/>
        </w:rPr>
        <w:t>By: /s/ Beth Gerstein</w:t>
      </w:r>
    </w:p>
    <w:p>
      <w:pPr>
        <w:sectPr>
          <w:pgSz w:w="11900" w:h="16838" w:orient="portrait"/>
          <w:cols w:equalWidth="0" w:num="1">
            <w:col w:w="11240"/>
          </w:cols>
          <w:pgMar w:left="320" w:top="1440" w:right="339" w:bottom="1440" w:gutter="0" w:footer="0" w:header="0"/>
        </w:sectPr>
      </w:pPr>
    </w:p>
    <w:bookmarkStart w:id="111" w:name="page112"/>
    <w:bookmarkEnd w:id="111"/>
    <w:p>
      <w:pPr>
        <w:ind w:left="4080"/>
        <w:spacing w:after="0"/>
        <w:rPr>
          <w:sz w:val="20"/>
          <w:szCs w:val="20"/>
          <w:color w:val="auto"/>
        </w:rPr>
      </w:pPr>
      <w:r>
        <w:rPr>
          <w:rFonts w:ascii="Arial" w:cs="Arial" w:eastAsia="Arial" w:hAnsi="Arial"/>
          <w:sz w:val="20"/>
          <w:szCs w:val="20"/>
          <w:color w:val="auto"/>
        </w:rPr>
        <w:t>Name: Beth Gerstein</w:t>
      </w:r>
    </w:p>
    <w:p>
      <w:pPr>
        <w:spacing w:after="0" w:line="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9019"/>
          </w:cols>
          <w:pgMar w:left="1440" w:top="1419" w:right="1440" w:bottom="1440" w:gutter="0" w:footer="0" w:header="0"/>
        </w:sectPr>
      </w:pPr>
    </w:p>
    <w:bookmarkStart w:id="112" w:name="page113"/>
    <w:bookmarkEnd w:id="112"/>
    <w:p>
      <w:pPr>
        <w:ind w:left="9900"/>
        <w:spacing w:after="0"/>
        <w:rPr>
          <w:sz w:val="20"/>
          <w:szCs w:val="20"/>
          <w:color w:val="auto"/>
        </w:rPr>
      </w:pPr>
      <w:r>
        <w:rPr>
          <w:rFonts w:ascii="Arial" w:cs="Arial" w:eastAsia="Arial" w:hAnsi="Arial"/>
          <w:sz w:val="20"/>
          <w:szCs w:val="20"/>
          <w:color w:val="auto"/>
        </w:rPr>
        <w:t>Exhibit 31.2</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Jeffrey Kuo, certify that:</w:t>
      </w:r>
    </w:p>
    <w:p>
      <w:pPr>
        <w:spacing w:after="0" w:line="22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Brilliant Earth Group, Inc.;</w:t>
      </w:r>
    </w:p>
    <w:p>
      <w:pPr>
        <w:spacing w:after="0" w:line="229" w:lineRule="exact"/>
        <w:rPr>
          <w:rFonts w:ascii="Arial" w:cs="Arial" w:eastAsia="Arial" w:hAnsi="Arial"/>
          <w:sz w:val="20"/>
          <w:szCs w:val="20"/>
          <w:color w:val="auto"/>
        </w:rPr>
      </w:pPr>
    </w:p>
    <w:p>
      <w:pPr>
        <w:ind w:left="660" w:right="180" w:hanging="328"/>
        <w:spacing w:after="0" w:line="237" w:lineRule="auto"/>
        <w:tabs>
          <w:tab w:leader="none" w:pos="709"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20"/>
          <w:szCs w:val="20"/>
          <w:color w:val="auto"/>
        </w:rPr>
      </w:pPr>
    </w:p>
    <w:p>
      <w:pPr>
        <w:ind w:left="660" w:right="80" w:hanging="328"/>
        <w:spacing w:after="0" w:line="237" w:lineRule="auto"/>
        <w:tabs>
          <w:tab w:leader="none" w:pos="709" w:val="left"/>
        </w:tabs>
        <w:numPr>
          <w:ilvl w:val="0"/>
          <w:numId w:val="44"/>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Arial" w:cs="Arial" w:eastAsia="Arial" w:hAnsi="Arial"/>
          <w:sz w:val="20"/>
          <w:szCs w:val="20"/>
          <w:color w:val="auto"/>
        </w:rPr>
      </w:pPr>
    </w:p>
    <w:p>
      <w:pPr>
        <w:ind w:left="660" w:right="100" w:hanging="328"/>
        <w:spacing w:after="0" w:line="246"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203" w:lineRule="exact"/>
        <w:rPr>
          <w:rFonts w:ascii="Arial" w:cs="Arial" w:eastAsia="Arial" w:hAnsi="Arial"/>
          <w:sz w:val="20"/>
          <w:szCs w:val="20"/>
          <w:color w:val="auto"/>
        </w:rPr>
      </w:pPr>
    </w:p>
    <w:p>
      <w:pPr>
        <w:ind w:left="920" w:hanging="264"/>
        <w:spacing w:after="0"/>
        <w:tabs>
          <w:tab w:leader="none" w:pos="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spacing w:after="0" w:line="25" w:lineRule="exact"/>
        <w:rPr>
          <w:rFonts w:ascii="Arial" w:cs="Arial" w:eastAsia="Arial" w:hAnsi="Arial"/>
          <w:sz w:val="18"/>
          <w:szCs w:val="18"/>
          <w:color w:val="auto"/>
        </w:rPr>
      </w:pPr>
    </w:p>
    <w:p>
      <w:pPr>
        <w:ind w:left="660"/>
        <w:spacing w:after="0" w:line="234" w:lineRule="auto"/>
        <w:rPr>
          <w:rFonts w:ascii="Arial" w:cs="Arial" w:eastAsia="Arial" w:hAnsi="Arial"/>
          <w:sz w:val="18"/>
          <w:szCs w:val="18"/>
          <w:color w:val="auto"/>
        </w:rPr>
      </w:pPr>
      <w:r>
        <w:rPr>
          <w:rFonts w:ascii="Arial" w:cs="Arial" w:eastAsia="Arial" w:hAnsi="Arial"/>
          <w:sz w:val="20"/>
          <w:szCs w:val="20"/>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40" w:hanging="284"/>
        <w:spacing w:after="0"/>
        <w:tabs>
          <w:tab w:leader="none" w:pos="9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[Omitted];</w:t>
      </w:r>
    </w:p>
    <w:p>
      <w:pPr>
        <w:spacing w:after="0" w:line="229" w:lineRule="exact"/>
        <w:rPr>
          <w:rFonts w:ascii="Arial" w:cs="Arial" w:eastAsia="Arial" w:hAnsi="Arial"/>
          <w:sz w:val="20"/>
          <w:szCs w:val="20"/>
          <w:color w:val="auto"/>
        </w:rPr>
      </w:pPr>
    </w:p>
    <w:p>
      <w:pPr>
        <w:ind w:left="660" w:right="340" w:hanging="4"/>
        <w:spacing w:after="0" w:line="303" w:lineRule="auto"/>
        <w:tabs>
          <w:tab w:leader="none" w:pos="929"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left="660" w:right="40" w:hanging="4"/>
        <w:spacing w:after="0" w:line="237" w:lineRule="auto"/>
        <w:tabs>
          <w:tab w:leader="none" w:pos="85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left="660" w:right="140" w:hanging="4"/>
        <w:spacing w:after="0" w:line="300" w:lineRule="auto"/>
        <w:tabs>
          <w:tab w:leader="none" w:pos="92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60" w:right="140" w:hanging="4"/>
        <w:spacing w:after="0" w:line="246" w:lineRule="auto"/>
        <w:tabs>
          <w:tab w:leader="none" w:pos="9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ind w:left="660"/>
        <w:spacing w:after="0"/>
        <w:tabs>
          <w:tab w:leader="none" w:pos="354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u w:val="single" w:color="auto"/>
          <w:color w:val="auto"/>
        </w:rPr>
        <w:t>By: /s/ Jeffrey Kuo</w:t>
      </w:r>
    </w:p>
    <w:p>
      <w:pPr>
        <w:ind w:left="5200"/>
        <w:spacing w:after="0" w:line="227" w:lineRule="auto"/>
        <w:rPr>
          <w:sz w:val="20"/>
          <w:szCs w:val="20"/>
          <w:color w:val="auto"/>
        </w:rPr>
      </w:pPr>
      <w:r>
        <w:rPr>
          <w:rFonts w:ascii="Arial" w:cs="Arial" w:eastAsia="Arial" w:hAnsi="Arial"/>
          <w:sz w:val="20"/>
          <w:szCs w:val="20"/>
          <w:color w:val="auto"/>
        </w:rPr>
        <w:t>Name: Jeffrey Kuo</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200"/>
          </w:cols>
          <w:pgMar w:left="320" w:top="1419" w:right="3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60"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Certification of CEO Pursuant to 18 U.S.C. Section 1350,</w:t>
      </w:r>
    </w:p>
    <w:p>
      <w:pPr>
        <w:spacing w:after="0" w:line="8" w:lineRule="exact"/>
        <w:rPr>
          <w:sz w:val="20"/>
          <w:szCs w:val="20"/>
          <w:color w:val="auto"/>
        </w:rPr>
      </w:pPr>
    </w:p>
    <w:p>
      <w:pPr>
        <w:jc w:val="center"/>
        <w:ind w:right="640"/>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In connection with the quarterly report of Brilliant Earth Group, Inc. (the “Company”) on Form 10-Q for the period ended September 30, 2021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12, 2021</w:t>
      </w: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By: /s/ Beth Gerstein</w:t>
      </w:r>
    </w:p>
    <w:p>
      <w:pPr>
        <w:ind w:left="4540"/>
        <w:spacing w:after="0" w:line="227" w:lineRule="auto"/>
        <w:rPr>
          <w:sz w:val="20"/>
          <w:szCs w:val="20"/>
          <w:color w:val="auto"/>
        </w:rPr>
      </w:pPr>
      <w:r>
        <w:rPr>
          <w:rFonts w:ascii="Arial" w:cs="Arial" w:eastAsia="Arial" w:hAnsi="Arial"/>
          <w:sz w:val="20"/>
          <w:szCs w:val="20"/>
          <w:color w:val="auto"/>
        </w:rPr>
        <w:t>Name: Beth Gerstein</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Executive Officer</w:t>
      </w:r>
    </w:p>
    <w:p>
      <w:pPr>
        <w:sectPr>
          <w:pgSz w:w="11900" w:h="16838" w:orient="portrait"/>
          <w:cols w:equalWidth="0" w:num="1">
            <w:col w:w="10580"/>
          </w:cols>
          <w:pgMar w:left="980" w:top="1435" w:right="339" w:bottom="1440" w:gutter="0" w:footer="0" w:header="0"/>
        </w:sectPr>
      </w:pPr>
    </w:p>
    <w:bookmarkStart w:id="114" w:name="page115"/>
    <w:bookmarkEnd w:id="114"/>
    <w:p>
      <w:pPr>
        <w:ind w:left="1000" w:right="2980" w:firstLine="1557"/>
        <w:spacing w:after="0" w:line="323" w:lineRule="auto"/>
        <w:rPr>
          <w:sz w:val="20"/>
          <w:szCs w:val="20"/>
          <w:color w:val="auto"/>
        </w:rPr>
      </w:pPr>
      <w:r>
        <w:rPr>
          <w:rFonts w:ascii="Arial" w:cs="Arial" w:eastAsia="Arial" w:hAnsi="Arial"/>
          <w:sz w:val="18"/>
          <w:szCs w:val="18"/>
          <w:b w:val="1"/>
          <w:bCs w:val="1"/>
          <w:color w:val="auto"/>
        </w:rPr>
        <w:t>Certification of CFO Pursuant to 18 U.S.C. Section 1350, As Adopted Pursuant to Section 906 of the Sarbanes-Oxley Act of 2002</w:t>
      </w:r>
    </w:p>
    <w:p>
      <w:pPr>
        <w:spacing w:after="0" w:line="380"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In connection with the quarterly report Brilliant Earth Group, Inc. (the “Company”) on Form 10-Q for the period ended September 30, 2021 (the “Report”), as filed with the Securities and Exchange Commission on the date hereof, I, the undersigned, certify, pursuant to 18 U.S.C. Section 1350, as adopted pursuant to Section 906 of the Sarbanes-Oxley Act of 2002, to the best of my knowledge, that: (1) The Report fully complies with the requirements of Section 13(a) or Section 15(d) of the Securities Exchange Act of 1934; and (2) 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12, 2021</w:t>
      </w:r>
    </w:p>
    <w:p>
      <w:pPr>
        <w:spacing w:after="0" w:line="337"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By: /s/ Jeffrey Kuo</w:t>
      </w:r>
    </w:p>
    <w:p>
      <w:pPr>
        <w:ind w:left="4540"/>
        <w:spacing w:after="0" w:line="227" w:lineRule="auto"/>
        <w:rPr>
          <w:sz w:val="20"/>
          <w:szCs w:val="20"/>
          <w:color w:val="auto"/>
        </w:rPr>
      </w:pPr>
      <w:r>
        <w:rPr>
          <w:rFonts w:ascii="Arial" w:cs="Arial" w:eastAsia="Arial" w:hAnsi="Arial"/>
          <w:sz w:val="20"/>
          <w:szCs w:val="20"/>
          <w:color w:val="auto"/>
        </w:rPr>
        <w:t>Name: Jeffrey Kuo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 Chief Financial Officer</w:t>
      </w:r>
    </w:p>
    <w:sectPr>
      <w:pgSz w:w="11900" w:h="16838" w:orient="portrait"/>
      <w:cols w:equalWidth="0" w:num="1">
        <w:col w:w="10340"/>
      </w:cols>
      <w:pgMar w:left="980" w:top="141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lowerLetter"/>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Roman"/>
      <w:start w:val="2"/>
    </w:lvl>
  </w:abstractNum>
  <w:abstractNum w:abstractNumId="36">
    <w:nsid w:val="3855585C"/>
    <w:multiLevelType w:val="hybridMultilevel"/>
    <w:lvl w:ilvl="0">
      <w:lvlJc w:val="left"/>
      <w:lvlText w:val="(%1)"/>
      <w:numFmt w:val="lowerRoman"/>
      <w:start w:val="2"/>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5"/>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34" Type="http://schemas.openxmlformats.org/officeDocument/2006/relationships/hyperlink" Target="https://www.sec.gov/Archives/edgar/data/0001866757/000119312521284281/d61525dex31.htm" TargetMode="External"/><Relationship Id="rId135" Type="http://schemas.openxmlformats.org/officeDocument/2006/relationships/hyperlink" Target="https://www.sec.gov/Archives/edgar/data/0001866757/000119312521284281/d61525dex32.htm" TargetMode="External"/><Relationship Id="rId136" Type="http://schemas.openxmlformats.org/officeDocument/2006/relationships/hyperlink" Target="https://www.sec.gov/Archives/edgar/data/0001866757/000119312521272138/d64351dex41.htm" TargetMode="External"/><Relationship Id="rId137" Type="http://schemas.openxmlformats.org/officeDocument/2006/relationships/hyperlink" Target="https://www.sec.gov/Archives/edgar/data/0001866757/000119312521284281/d61525dex101.htm" TargetMode="External"/><Relationship Id="rId138" Type="http://schemas.openxmlformats.org/officeDocument/2006/relationships/hyperlink" Target="https://www.sec.gov/Archives/edgar/data/0001866757/000119312521284281/d61525dex102.htm" TargetMode="External"/><Relationship Id="rId139" Type="http://schemas.openxmlformats.org/officeDocument/2006/relationships/hyperlink" Target="https://www.sec.gov/Archives/edgar/data/0001866757/000119312521284281/d61525dex103.htm" TargetMode="External"/><Relationship Id="rId140" Type="http://schemas.openxmlformats.org/officeDocument/2006/relationships/hyperlink" Target="https://www.sec.gov/Archives/edgar/data/0001866757/000119312521284281/d61525dex104.htm" TargetMode="External"/><Relationship Id="rId141" Type="http://schemas.openxmlformats.org/officeDocument/2006/relationships/hyperlink" Target="https://www.sec.gov/Archives/edgar/data/0001866757/000119312521284281/d61525dex105.htm" TargetMode="External"/><Relationship Id="rId142" Type="http://schemas.openxmlformats.org/officeDocument/2006/relationships/hyperlink" Target="https://www.sec.gov/Archives/edgar/data/0001866757/000119312521284281/d61525dex106.htm" TargetMode="External"/><Relationship Id="rId143" Type="http://schemas.openxmlformats.org/officeDocument/2006/relationships/hyperlink" Target="https://www.sec.gov/Archives/edgar/data/0001866757/000119312521284281/d61525dex107.htm" TargetMode="External"/><Relationship Id="rId144" Type="http://schemas.openxmlformats.org/officeDocument/2006/relationships/hyperlink" Target="https://www.sec.gov/Archives/edgar/data/0001866757/000119312521279955/d236309dex991.htm" TargetMode="External"/><Relationship Id="rId145" Type="http://schemas.openxmlformats.org/officeDocument/2006/relationships/hyperlink" Target="https://www.sec.gov/Archives/edgar/data/0001866757/000119312521279955/d236309dex992.htm" TargetMode="External"/><Relationship Id="rId146" Type="http://schemas.openxmlformats.org/officeDocument/2006/relationships/hyperlink" Target="https://www.sec.gov/Archives/edgar/data/0001866757/000119312521272138/d64351dex109.htm" TargetMode="External"/><Relationship Id="rId147" Type="http://schemas.openxmlformats.org/officeDocument/2006/relationships/hyperlink" Target="https://www.sec.gov/Archives/edgar/data/0001866757/000119312521272138/d64351dex1011.htm" TargetMode="External"/><Relationship Id="rId148" Type="http://schemas.openxmlformats.org/officeDocument/2006/relationships/hyperlink" Target="https://www.sec.gov/Archives/edgar/data/0001866757/000119312521272138/d64351dex1012.htm" TargetMode="External"/><Relationship Id="rId149" Type="http://schemas.openxmlformats.org/officeDocument/2006/relationships/hyperlink" Target="https://www.sec.gov/Archives/edgar/data/0001866757/000119312521272138/d64351dex1014.htm" TargetMode="External"/><Relationship Id="rId150" Type="http://schemas.openxmlformats.org/officeDocument/2006/relationships/hyperlink" Target="https://www.sec.gov/Archives/edgar/data/0001866757/000119312521272138/d64351dex1015.htm" TargetMode="External"/><Relationship Id="rId151" Type="http://schemas.openxmlformats.org/officeDocument/2006/relationships/hyperlink" Target="https://www.sec.gov/Archives/edgar/data/0001866757/000119312521260653/d64351dex103.htm" TargetMode="External"/><Relationship Id="rId152" Type="http://schemas.openxmlformats.org/officeDocument/2006/relationships/hyperlink" Target="https://www.sec.gov/Archives/edgar/data/0001866757/000119312521272138/d64351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2021-11-12T23:21:28Z</dcterms:created>
  <dcterms:modified xsi:type="dcterms:W3CDTF">2021-11-12T23:21:28Z</dcterms:modified>
</cp:coreProperties>
</file>