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183099.xml.htm"/>
      <w:bookmarkStart w:id="1" w:name="kswkform4_17871830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Grossberg Eric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BRILLIANT EARTH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GRANT AVENUE, THIRD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Brilliant Earth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BRLT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3"/>
        <w:gridCol w:w="904"/>
        <w:gridCol w:w="774"/>
        <w:gridCol w:w="600"/>
        <w:gridCol w:w="349"/>
        <w:gridCol w:w="846"/>
        <w:gridCol w:w="454"/>
        <w:gridCol w:w="713"/>
        <w:gridCol w:w="1163"/>
        <w:gridCol w:w="998"/>
        <w:gridCol w:w="10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9,619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9,619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 below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381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1.26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 below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ranging from $1.16 to $1.30. The price reported above reflects the weighted average purchase price. The reporting person hereby undertakes to provide upon request to the SEC staff, the issuer or a security holder of the issuer,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purchased by The Eric S. Grossberg Revocable Trust, for which Mr. Grossberg serves as the Trustee and has voting power and investment power over such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purchased in the transactions reported herein are in addition to the LLC Interests (and associated shares of Class C common stock that are convertible into shares of Class A common stock) held by Just Rocks, Inc. Just Rocks, Inc. is jointly owned and controlled by the reporting person and Beth Tamara Gerstein.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Kuo as Attorney-in-Fact for Eric Scott Grossberg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4137" TargetMode="External"/><Relationship Id="rId5" Type="http://schemas.openxmlformats.org/officeDocument/2006/relationships/hyperlink" Target="http://www.sec.gov/cgi-bin/browse-edgar?action=getcompany&amp;CIK=00018667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739</Words>
  <Characters>3973</Characters>
  <CharactersWithSpaces>4631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