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(Rule 14a-101)</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INFORMATION REQUIRED IN PROXY STATEMENT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14A INFORMATION</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 Securities Exchange Act of 1934</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(Amendment No. )</w:t>
      </w:r>
    </w:p>
    <w:p>
      <w:pPr>
        <w:spacing w:after="0" w:line="303" w:lineRule="exact"/>
        <w:rPr>
          <w:sz w:val="24"/>
          <w:szCs w:val="24"/>
          <w:color w:val="auto"/>
        </w:rPr>
      </w:pPr>
    </w:p>
    <w:p>
      <w:pPr>
        <w:ind w:left="60"/>
        <w:spacing w:after="0" w:line="230" w:lineRule="exact"/>
        <w:rPr>
          <w:sz w:val="20"/>
          <w:szCs w:val="20"/>
          <w:color w:val="auto"/>
        </w:rPr>
      </w:pPr>
      <w:r>
        <w:rPr>
          <w:rFonts w:ascii="Times New Roman" w:cs="Times New Roman" w:eastAsia="Times New Roman" w:hAnsi="Times New Roman"/>
          <w:sz w:val="20"/>
          <w:szCs w:val="20"/>
          <w:color w:val="auto"/>
        </w:rPr>
        <w:t xml:space="preserve">Filed by the Registrant </w:t>
      </w:r>
      <w:r>
        <w:rPr>
          <w:rFonts w:ascii="MS PGothic" w:cs="MS PGothic" w:eastAsia="MS PGothic" w:hAnsi="MS PGothic"/>
          <w:sz w:val="20"/>
          <w:szCs w:val="20"/>
          <w:color w:val="auto"/>
        </w:rPr>
        <w:t>☒</w:t>
      </w:r>
    </w:p>
    <w:p>
      <w:pPr>
        <w:spacing w:after="0" w:line="87" w:lineRule="exact"/>
        <w:rPr>
          <w:sz w:val="24"/>
          <w:szCs w:val="24"/>
          <w:color w:val="auto"/>
        </w:rPr>
      </w:pPr>
    </w:p>
    <w:p>
      <w:pPr>
        <w:ind w:left="60"/>
        <w:spacing w:after="0" w:line="230" w:lineRule="exact"/>
        <w:rPr>
          <w:sz w:val="20"/>
          <w:szCs w:val="20"/>
          <w:color w:val="auto"/>
        </w:rPr>
      </w:pPr>
      <w:r>
        <w:rPr>
          <w:rFonts w:ascii="Times New Roman" w:cs="Times New Roman" w:eastAsia="Times New Roman" w:hAnsi="Times New Roman"/>
          <w:sz w:val="20"/>
          <w:szCs w:val="20"/>
          <w:color w:val="auto"/>
        </w:rPr>
        <w:t xml:space="preserve">Filed by a Party other than the Registrant </w:t>
      </w:r>
      <w:r>
        <w:rPr>
          <w:rFonts w:ascii="MS PGothic" w:cs="MS PGothic" w:eastAsia="MS PGothic" w:hAnsi="MS PGothic"/>
          <w:sz w:val="20"/>
          <w:szCs w:val="20"/>
          <w:color w:val="auto"/>
        </w:rPr>
        <w:t>☐</w:t>
      </w:r>
    </w:p>
    <w:p>
      <w:pPr>
        <w:spacing w:after="0" w:line="28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Check the appropriate box:</w:t>
      </w:r>
    </w:p>
    <w:p>
      <w:pPr>
        <w:spacing w:after="0" w:line="81" w:lineRule="exact"/>
        <w:rPr>
          <w:sz w:val="24"/>
          <w:szCs w:val="24"/>
          <w:color w:val="auto"/>
        </w:rPr>
      </w:pPr>
    </w:p>
    <w:p>
      <w:pPr>
        <w:ind w:left="500" w:hanging="440"/>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Preliminary Proxy Statement</w:t>
      </w:r>
    </w:p>
    <w:p>
      <w:pPr>
        <w:spacing w:after="0" w:line="48" w:lineRule="exact"/>
        <w:rPr>
          <w:rFonts w:ascii="MS PGothic" w:cs="MS PGothic" w:eastAsia="MS PGothic" w:hAnsi="MS PGothic"/>
          <w:sz w:val="20"/>
          <w:szCs w:val="20"/>
          <w:color w:val="auto"/>
        </w:rPr>
      </w:pPr>
    </w:p>
    <w:p>
      <w:pPr>
        <w:ind w:left="500" w:hanging="440"/>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Confidential, for Use of the Commission Only (as permitted by Rule 14a-6(e)(2))</w:t>
      </w:r>
    </w:p>
    <w:p>
      <w:pPr>
        <w:spacing w:after="0" w:line="26" w:lineRule="exact"/>
        <w:rPr>
          <w:rFonts w:ascii="MS PGothic" w:cs="MS PGothic" w:eastAsia="MS PGothic" w:hAnsi="MS PGothic"/>
          <w:sz w:val="20"/>
          <w:szCs w:val="20"/>
          <w:color w:val="auto"/>
        </w:rPr>
      </w:pPr>
    </w:p>
    <w:p>
      <w:pPr>
        <w:ind w:left="60"/>
        <w:spacing w:after="0" w:line="230" w:lineRule="exact"/>
        <w:rPr>
          <w:rFonts w:ascii="MS PGothic" w:cs="MS PGothic" w:eastAsia="MS PGothic" w:hAnsi="MS PGothic"/>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Definitive Proxy Statement</w:t>
      </w:r>
    </w:p>
    <w:p>
      <w:pPr>
        <w:spacing w:after="0" w:line="26" w:lineRule="exact"/>
        <w:rPr>
          <w:rFonts w:ascii="MS PGothic" w:cs="MS PGothic" w:eastAsia="MS PGothic" w:hAnsi="MS PGothic"/>
          <w:sz w:val="20"/>
          <w:szCs w:val="20"/>
          <w:color w:val="auto"/>
        </w:rPr>
      </w:pPr>
    </w:p>
    <w:p>
      <w:pPr>
        <w:ind w:left="500" w:hanging="440"/>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Definitive Additional Materials</w:t>
      </w:r>
    </w:p>
    <w:p>
      <w:pPr>
        <w:spacing w:after="0" w:line="26" w:lineRule="exact"/>
        <w:rPr>
          <w:rFonts w:ascii="MS PGothic" w:cs="MS PGothic" w:eastAsia="MS PGothic" w:hAnsi="MS PGothic"/>
          <w:sz w:val="20"/>
          <w:szCs w:val="20"/>
          <w:color w:val="auto"/>
        </w:rPr>
      </w:pPr>
    </w:p>
    <w:p>
      <w:pPr>
        <w:ind w:left="500" w:hanging="440"/>
        <w:spacing w:after="0"/>
        <w:tabs>
          <w:tab w:leader="none" w:pos="50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under §240.14a-12</w:t>
      </w:r>
    </w:p>
    <w:p>
      <w:pPr>
        <w:spacing w:after="0" w:line="3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Brilliant Earth Group, Inc.</w:t>
      </w:r>
    </w:p>
    <w:p>
      <w:pPr>
        <w:spacing w:after="0" w:line="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(Name of Registrant as Specified in its Charter)</w:t>
      </w:r>
    </w:p>
    <w:p>
      <w:pPr>
        <w:spacing w:after="0" w:line="3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(Name of Person(s) Filing Proxy Statement, if Other Than the Registrant)</w:t>
      </w:r>
    </w:p>
    <w:p>
      <w:pPr>
        <w:spacing w:after="0" w:line="275"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Payment of Filing Fee (Check all boxes that apply):</w:t>
      </w:r>
    </w:p>
    <w:p>
      <w:pPr>
        <w:spacing w:after="0" w:line="81" w:lineRule="exact"/>
        <w:rPr>
          <w:sz w:val="24"/>
          <w:szCs w:val="24"/>
          <w:color w:val="auto"/>
        </w:rPr>
      </w:pPr>
    </w:p>
    <w:p>
      <w:pPr>
        <w:ind w:left="480" w:hanging="427"/>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No fee required</w:t>
      </w:r>
    </w:p>
    <w:p>
      <w:pPr>
        <w:spacing w:after="0" w:line="41" w:lineRule="exact"/>
        <w:rPr>
          <w:sz w:val="24"/>
          <w:szCs w:val="24"/>
          <w:color w:val="auto"/>
        </w:rPr>
      </w:pPr>
    </w:p>
    <w:p>
      <w:pPr>
        <w:ind w:left="480" w:hanging="427"/>
        <w:spacing w:after="0"/>
        <w:tabs>
          <w:tab w:leader="none" w:pos="480" w:val="left"/>
        </w:tabs>
        <w:numPr>
          <w:ilvl w:val="0"/>
          <w:numId w:val="3"/>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Fee paid previously with preliminary materials</w:t>
      </w:r>
    </w:p>
    <w:p>
      <w:pPr>
        <w:spacing w:after="0" w:line="33" w:lineRule="exact"/>
        <w:rPr>
          <w:rFonts w:ascii="MS PGothic" w:cs="MS PGothic" w:eastAsia="MS PGothic" w:hAnsi="MS PGothic"/>
          <w:sz w:val="20"/>
          <w:szCs w:val="20"/>
          <w:color w:val="auto"/>
        </w:rPr>
      </w:pPr>
    </w:p>
    <w:p>
      <w:pPr>
        <w:ind w:left="480" w:hanging="427"/>
        <w:spacing w:after="0"/>
        <w:tabs>
          <w:tab w:leader="none" w:pos="480" w:val="left"/>
        </w:tabs>
        <w:numPr>
          <w:ilvl w:val="0"/>
          <w:numId w:val="3"/>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-718185</wp:posOffset>
            </wp:positionH>
            <wp:positionV relativeFrom="paragraph">
              <wp:posOffset>791845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303"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2402840</wp:posOffset>
            </wp:positionH>
            <wp:positionV relativeFrom="page">
              <wp:posOffset>646430</wp:posOffset>
            </wp:positionV>
            <wp:extent cx="2743200" cy="2317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274320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April 27, 2026</w:t>
      </w:r>
    </w:p>
    <w:p>
      <w:pPr>
        <w:spacing w:after="0" w:line="262"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6"/>
          <w:szCs w:val="16"/>
          <w:color w:val="auto"/>
        </w:rPr>
        <w:t>You are cordially invited to attend the 2026 Annual Meeting of Stockholders (the "Annual Meeting") of Brilliant Earth Group, Inc. (the “Company”) to be held on Wednesday, June 17, 2026 at 9:00 a.m., Pacific Time. Our Annual Meeting will be a completely virtual meeting, which will be conducted via live webcast. You will be able to attend the virtual Annual Meeting, vote your shares electronically and submit your questions during the meeting by visiting www.virtualshareholdermeeting.com/BRLT2026. Utilizing a virtual meeting format will allow stockholders to participate from any location and we expect will lead to increased attendance, improved communications and cost savings for our stockholders and the Company.</w:t>
      </w:r>
    </w:p>
    <w:p>
      <w:pPr>
        <w:spacing w:after="0" w:line="199"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Notice of Meeting and Proxy Statement on the following pages describe the matters to be presented at the Annual Meeting. Details regarding how to attend the meeting online and the business to be conducted at the Annual Meeting are more fully described in the Notice of Annual Meeting and Proxy Statement.</w:t>
      </w:r>
    </w:p>
    <w:p>
      <w:pPr>
        <w:spacing w:after="0" w:line="205" w:lineRule="exact"/>
        <w:rPr>
          <w:sz w:val="20"/>
          <w:szCs w:val="20"/>
          <w:color w:val="auto"/>
        </w:rPr>
      </w:pPr>
    </w:p>
    <w:p>
      <w:pPr>
        <w:jc w:val="both"/>
        <w:spacing w:after="0" w:line="261" w:lineRule="auto"/>
        <w:rPr>
          <w:sz w:val="20"/>
          <w:szCs w:val="20"/>
          <w:color w:val="auto"/>
        </w:rPr>
      </w:pPr>
      <w:r>
        <w:rPr>
          <w:rFonts w:ascii="Arial" w:cs="Arial" w:eastAsia="Arial" w:hAnsi="Arial"/>
          <w:sz w:val="16"/>
          <w:szCs w:val="16"/>
          <w:color w:val="auto"/>
        </w:rPr>
        <w:t>Whether or not you attend the Annual Meeting, it is important that your shares be represented and voted at the Annual Meeting. Therefore, we urge you to promptly vote and submit your proxy by phone, via the Internet, or, if you received paper copies of these materials, by signing, dating, and returning the enclosed proxy card in the enclosed envelope, which requires no postage if mailed in the United States. If you have previously received our Notice of Internet Availability of Proxy Materials, then instructions regarding how you can vote are contained in that notice. If you have received a proxy card, then instructions regarding how you can vote are contained on the proxy card. If you decide to attend the Annual Meeting, you will be able to vote your shares electronically, even if you have previously submitted your proxy.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support.</w:t>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color w:val="auto"/>
        </w:rPr>
        <w:t>Sincerely,</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Beth Gerstein</w:t>
      </w:r>
    </w:p>
    <w:p>
      <w:pPr>
        <w:spacing w:after="0" w:line="4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Beth Gerstein</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Grossberg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Eric Grossberg</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769620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2419985</wp:posOffset>
            </wp:positionH>
            <wp:positionV relativeFrom="page">
              <wp:posOffset>800100</wp:posOffset>
            </wp:positionV>
            <wp:extent cx="2708910" cy="2311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708910" cy="231140"/>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BRILLIANT EARTH GROUP, INC.</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300 GRANT AVENUE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THIRD FLOOR</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SAN FRANCISCO, CA 94108</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Notice of Annual Meeting of Stockholders To be Held on Wednesday, June 17, 2026</w:t>
      </w:r>
    </w:p>
    <w:p>
      <w:pPr>
        <w:spacing w:after="0" w:line="25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Annual Meeting of Stockholders (the “Annual Meeting”) of Brilliant Earth Group, Inc., a Nevada corporation (the “Company”), will be held at 9:00 a.m., Pacific Time, on Wednesday, June 17, 2026. The Annual Meeting will be a completely virtual meeting, which will be conducted via live webcast. You will be able to attend the Annual Meeting electronically and submit your questions by visiting www.virtualshareholdermeeting.com/BRLT2026 and entering your 16-digit control number included in your Notice of Internet Availability of Proxy Materials, on your proxy card or on the instructions that accompanied your proxy materials. The Annual Meeting is called for the following purposes:</w:t>
      </w:r>
    </w:p>
    <w:p>
      <w:pPr>
        <w:spacing w:after="0" w:line="23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5674995"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74995" cy="171450"/>
                    </a:xfrm>
                    <a:prstGeom prst="rect">
                      <a:avLst/>
                    </a:prstGeom>
                    <a:noFill/>
                  </pic:spPr>
                </pic:pic>
              </a:graphicData>
            </a:graphic>
          </wp:anchor>
        </w:drawing>
      </w:r>
    </w:p>
    <w:p>
      <w:pPr>
        <w:spacing w:after="0" w:line="43" w:lineRule="exact"/>
        <w:rPr>
          <w:sz w:val="20"/>
          <w:szCs w:val="20"/>
          <w:color w:val="auto"/>
        </w:rPr>
      </w:pPr>
    </w:p>
    <w:p>
      <w:pPr>
        <w:ind w:left="740" w:right="2320" w:hanging="449"/>
        <w:spacing w:after="0" w:line="186" w:lineRule="auto"/>
        <w:tabs>
          <w:tab w:leader="none" w:pos="740" w:val="left"/>
        </w:tabs>
        <w:numPr>
          <w:ilvl w:val="0"/>
          <w:numId w:val="4"/>
        </w:numPr>
        <w:rPr>
          <w:rFonts w:ascii="MS PGothic" w:cs="MS PGothic" w:eastAsia="MS PGothic" w:hAnsi="MS PGothic"/>
          <w:sz w:val="32"/>
          <w:szCs w:val="32"/>
          <w:color w:val="auto"/>
          <w:vertAlign w:val="subscript"/>
        </w:rPr>
      </w:pPr>
      <w:r>
        <w:rPr>
          <w:rFonts w:ascii="Arial" w:cs="Arial" w:eastAsia="Arial" w:hAnsi="Arial"/>
          <w:sz w:val="13"/>
          <w:szCs w:val="13"/>
          <w:color w:val="auto"/>
        </w:rPr>
        <w:t>To elect Eric Grossberg, Attica A. Jaques and Gavin M. Turner, as Class II Directors to serve until the 2029 Annual Meeting of Stockholders and until their respective successors have been duly elected and qualified;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67499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74995" cy="171450"/>
                    </a:xfrm>
                    <a:prstGeom prst="rect">
                      <a:avLst/>
                    </a:prstGeom>
                    <a:noFill/>
                  </pic:spPr>
                </pic:pic>
              </a:graphicData>
            </a:graphic>
          </wp:anchor>
        </w:drawing>
      </w:r>
    </w:p>
    <w:p>
      <w:pPr>
        <w:spacing w:after="0" w:line="318" w:lineRule="exact"/>
        <w:rPr>
          <w:sz w:val="20"/>
          <w:szCs w:val="20"/>
          <w:color w:val="auto"/>
        </w:rPr>
      </w:pPr>
    </w:p>
    <w:p>
      <w:pPr>
        <w:ind w:left="740" w:right="2320" w:hanging="449"/>
        <w:spacing w:after="0" w:line="186" w:lineRule="auto"/>
        <w:tabs>
          <w:tab w:leader="none" w:pos="740" w:val="left"/>
        </w:tabs>
        <w:numPr>
          <w:ilvl w:val="0"/>
          <w:numId w:val="5"/>
        </w:numPr>
        <w:rPr>
          <w:rFonts w:ascii="MS PGothic" w:cs="MS PGothic" w:eastAsia="MS PGothic" w:hAnsi="MS PGothic"/>
          <w:sz w:val="32"/>
          <w:szCs w:val="32"/>
          <w:color w:val="auto"/>
          <w:vertAlign w:val="subscript"/>
        </w:rPr>
      </w:pPr>
      <w:r>
        <w:rPr>
          <w:rFonts w:ascii="Arial" w:cs="Arial" w:eastAsia="Arial" w:hAnsi="Arial"/>
          <w:sz w:val="13"/>
          <w:szCs w:val="13"/>
          <w:color w:val="auto"/>
        </w:rPr>
        <w:t>To ratify the appointment of BDO USA, P.C. as our independent registered public accounting firm for the fiscal year ending December 31, 2026;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674995"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74995" cy="171450"/>
                    </a:xfrm>
                    <a:prstGeom prst="rect">
                      <a:avLst/>
                    </a:prstGeom>
                    <a:noFill/>
                  </pic:spPr>
                </pic:pic>
              </a:graphicData>
            </a:graphic>
          </wp:anchor>
        </w:drawing>
      </w:r>
    </w:p>
    <w:p>
      <w:pPr>
        <w:spacing w:after="0" w:line="318" w:lineRule="exact"/>
        <w:rPr>
          <w:sz w:val="20"/>
          <w:szCs w:val="20"/>
          <w:color w:val="auto"/>
        </w:rPr>
      </w:pPr>
    </w:p>
    <w:p>
      <w:pPr>
        <w:ind w:left="740" w:right="2320" w:hanging="449"/>
        <w:spacing w:after="0" w:line="186" w:lineRule="auto"/>
        <w:tabs>
          <w:tab w:leader="none" w:pos="740" w:val="left"/>
        </w:tabs>
        <w:numPr>
          <w:ilvl w:val="0"/>
          <w:numId w:val="6"/>
        </w:numPr>
        <w:rPr>
          <w:rFonts w:ascii="MS PGothic" w:cs="MS PGothic" w:eastAsia="MS PGothic" w:hAnsi="MS PGothic"/>
          <w:sz w:val="32"/>
          <w:szCs w:val="32"/>
          <w:color w:val="auto"/>
          <w:vertAlign w:val="subscript"/>
        </w:rPr>
      </w:pPr>
      <w:r>
        <w:rPr>
          <w:rFonts w:ascii="Arial" w:cs="Arial" w:eastAsia="Arial" w:hAnsi="Arial"/>
          <w:sz w:val="13"/>
          <w:szCs w:val="13"/>
          <w:color w:val="auto"/>
        </w:rPr>
        <w:t>To transact such other business as may properly come before the Annual Meeting or any continuation, postponement, or adjournment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6749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74995" cy="8255"/>
                    </a:xfrm>
                    <a:prstGeom prst="rect">
                      <a:avLst/>
                    </a:prstGeom>
                    <a:noFill/>
                  </pic:spPr>
                </pic:pic>
              </a:graphicData>
            </a:graphic>
          </wp:anchor>
        </w:drawing>
      </w:r>
    </w:p>
    <w:p>
      <w:pPr>
        <w:spacing w:after="0" w:line="359"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Holders of record of our outstanding shares of capital stock, composed of Class A common stock, par value $0.0001 per share, Class B common stock, par value $0.0001 per share, Class C common stock, par value $0.0001 per share, and Class D common stock, par value $0.0001 per share, at the close of business on April 22, 2026, are entitled to notice of and to vote at the Annual Meeting, or any continuation, postponement or adjournment of the Annual Meeting. The Annual Meeting may be continued or adjourned from time to time without notice other than by announcement at the Annual Meeting.</w:t>
      </w:r>
    </w:p>
    <w:p>
      <w:pPr>
        <w:spacing w:after="0" w:line="2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It is important that your shares be represented regardless of the number of shares you may hold. Whether or not you plan to attend the Annual Meeting we urge you to vote your shares via the toll-free telephone number or over the Internet, as described in the enclosed materials. If you received a copy of the proxy card by mail, you may sign, date and mail the proxy card in the enclosed return envelope. Promptly voting your shares will ensure the presence of a quorum at the Annual Meeting and will save us the expense of further solicitation. Submitting your proxy now will not prevent you from voting your shares electronically at the Annual Meeting if you desire to do so, as your proxy is revocable at your option.</w:t>
      </w:r>
    </w:p>
    <w:p>
      <w:pPr>
        <w:spacing w:after="0" w:line="211"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Beth Gerstein</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Beth Gerstein</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 and 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Eric Grossberg</w:t>
      </w:r>
    </w:p>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Eric Grossberg</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Executive Chairman</w:t>
      </w:r>
    </w:p>
    <w:p>
      <w:pPr>
        <w:spacing w:after="0" w:line="244" w:lineRule="exact"/>
        <w:rPr>
          <w:sz w:val="20"/>
          <w:szCs w:val="20"/>
          <w:color w:val="auto"/>
        </w:rPr>
      </w:pPr>
    </w:p>
    <w:p>
      <w:pPr>
        <w:spacing w:after="0"/>
        <w:rPr>
          <w:sz w:val="20"/>
          <w:szCs w:val="20"/>
          <w:color w:val="auto"/>
        </w:rPr>
      </w:pPr>
      <w:r>
        <w:rPr>
          <w:rFonts w:ascii="Arial" w:cs="Arial" w:eastAsia="Arial" w:hAnsi="Arial"/>
          <w:sz w:val="14"/>
          <w:szCs w:val="14"/>
          <w:color w:val="auto"/>
        </w:rPr>
        <w:t>San Francisco, California</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April 27,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610870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2402840</wp:posOffset>
            </wp:positionH>
            <wp:positionV relativeFrom="page">
              <wp:posOffset>800735</wp:posOffset>
            </wp:positionV>
            <wp:extent cx="2743200" cy="231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2743200" cy="231140"/>
                    </a:xfrm>
                    <a:prstGeom prst="rect">
                      <a:avLst/>
                    </a:prstGeom>
                    <a:noFill/>
                  </pic:spPr>
                </pic:pic>
              </a:graphicData>
            </a:graphic>
          </wp:anchor>
        </w:drawing>
      </w:r>
    </w:p>
    <w:p>
      <w:pPr>
        <w:spacing w:after="0" w:line="316" w:lineRule="exact"/>
        <w:rPr>
          <w:sz w:val="20"/>
          <w:szCs w:val="20"/>
          <w:color w:val="auto"/>
        </w:rPr>
      </w:pPr>
    </w:p>
    <w:p>
      <w:pPr>
        <w:jc w:val="center"/>
        <w:ind w:right="-59"/>
        <w:spacing w:after="0"/>
        <w:rPr>
          <w:sz w:val="20"/>
          <w:szCs w:val="20"/>
          <w:color w:val="auto"/>
        </w:rPr>
      </w:pPr>
      <w:r>
        <w:rPr>
          <w:rFonts w:ascii="Arial" w:cs="Arial" w:eastAsia="Arial" w:hAnsi="Arial"/>
          <w:sz w:val="23"/>
          <w:szCs w:val="23"/>
          <w:b w:val="1"/>
          <w:bCs w:val="1"/>
          <w:color w:val="38A3FF"/>
        </w:rPr>
        <w:t>TABLE OF CONTENTS</w:t>
      </w: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10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PROXY STATEMENT</w:t>
            </w:r>
          </w:p>
        </w:tc>
        <w:tc>
          <w:tcPr>
            <w:tcW w:w="100" w:type="dxa"/>
            <w:vAlign w:val="bottom"/>
            <w:tcBorders>
              <w:bottom w:val="single" w:sz="8" w:color="0000FF"/>
            </w:tcBorders>
            <w:shd w:val="clear" w:color="auto" w:fill="CCEEFF"/>
          </w:tcPr>
          <w:p>
            <w:pPr>
              <w:spacing w:after="0"/>
              <w:rPr>
                <w:sz w:val="20"/>
                <w:szCs w:val="20"/>
                <w:color w:val="auto"/>
              </w:rPr>
            </w:pPr>
            <w:r>
              <w:rPr>
                <w:rFonts w:ascii="Arial" w:cs="Arial" w:eastAsia="Arial" w:hAnsi="Arial"/>
                <w:sz w:val="18"/>
                <w:szCs w:val="18"/>
                <w:color w:val="0000FF"/>
                <w:w w:val="79"/>
              </w:rPr>
              <w:t>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r>
      <w:tr>
        <w:trPr>
          <w:trHeight w:val="189"/>
        </w:trPr>
        <w:tc>
          <w:tcPr>
            <w:tcW w:w="10300" w:type="dxa"/>
            <w:vAlign w:val="bottom"/>
          </w:tcPr>
          <w:p>
            <w:pPr>
              <w:ind w:left="20"/>
              <w:spacing w:after="0" w:line="189" w:lineRule="exact"/>
              <w:rPr>
                <w:sz w:val="20"/>
                <w:szCs w:val="20"/>
                <w:color w:val="auto"/>
              </w:rPr>
            </w:pPr>
            <w:r>
              <w:rPr>
                <w:rFonts w:ascii="Arial" w:cs="Arial" w:eastAsia="Arial" w:hAnsi="Arial"/>
                <w:sz w:val="18"/>
                <w:szCs w:val="18"/>
                <w:color w:val="auto"/>
              </w:rPr>
              <w:t>INFORMATION ABOUT THIS PROXY STATEMENT</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3</w:t>
            </w:r>
          </w:p>
        </w:tc>
        <w:tc>
          <w:tcPr>
            <w:tcW w:w="160" w:type="dxa"/>
            <w:vAlign w:val="bottom"/>
          </w:tcPr>
          <w:p>
            <w:pPr>
              <w:spacing w:after="0"/>
              <w:rPr>
                <w:sz w:val="16"/>
                <w:szCs w:val="16"/>
                <w:color w:val="auto"/>
              </w:rPr>
            </w:pPr>
          </w:p>
        </w:tc>
      </w:tr>
      <w:tr>
        <w:trPr>
          <w:trHeight w:val="20"/>
        </w:trPr>
        <w:tc>
          <w:tcPr>
            <w:tcW w:w="10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103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QUESTIONS AND ANSWERS ABOUT THE 2026 ANNUAL MEETING OF STOCKHOLDERS</w:t>
            </w:r>
          </w:p>
        </w:tc>
        <w:tc>
          <w:tcPr>
            <w:tcW w:w="10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r>
      <w:tr>
        <w:trPr>
          <w:trHeight w:val="189"/>
        </w:trPr>
        <w:tc>
          <w:tcPr>
            <w:tcW w:w="10300" w:type="dxa"/>
            <w:vAlign w:val="bottom"/>
          </w:tcPr>
          <w:p>
            <w:pPr>
              <w:ind w:left="20"/>
              <w:spacing w:after="0" w:line="189" w:lineRule="exact"/>
              <w:rPr>
                <w:sz w:val="20"/>
                <w:szCs w:val="20"/>
                <w:color w:val="auto"/>
              </w:rPr>
            </w:pPr>
            <w:r>
              <w:rPr>
                <w:rFonts w:ascii="Arial" w:cs="Arial" w:eastAsia="Arial" w:hAnsi="Arial"/>
                <w:sz w:val="18"/>
                <w:szCs w:val="18"/>
                <w:color w:val="auto"/>
              </w:rPr>
              <w:t>PROPOSAL 1: Election of Directors</w:t>
            </w:r>
          </w:p>
        </w:tc>
        <w:tc>
          <w:tcPr>
            <w:tcW w:w="200" w:type="dxa"/>
            <w:vAlign w:val="bottom"/>
            <w:gridSpan w:val="2"/>
          </w:tcPr>
          <w:p>
            <w:pPr>
              <w:spacing w:after="0" w:line="189" w:lineRule="exact"/>
              <w:rPr>
                <w:sz w:val="20"/>
                <w:szCs w:val="20"/>
                <w:color w:val="auto"/>
              </w:rPr>
            </w:pPr>
            <w:r>
              <w:rPr>
                <w:rFonts w:ascii="Arial" w:cs="Arial" w:eastAsia="Arial" w:hAnsi="Arial"/>
                <w:sz w:val="18"/>
                <w:szCs w:val="18"/>
                <w:color w:val="0000FF"/>
              </w:rPr>
              <w:t>8</w:t>
            </w:r>
          </w:p>
        </w:tc>
        <w:tc>
          <w:tcPr>
            <w:tcW w:w="160" w:type="dxa"/>
            <w:vAlign w:val="bottom"/>
          </w:tcPr>
          <w:p>
            <w:pPr>
              <w:spacing w:after="0"/>
              <w:rPr>
                <w:sz w:val="16"/>
                <w:szCs w:val="16"/>
                <w:color w:val="auto"/>
              </w:rPr>
            </w:pPr>
          </w:p>
        </w:tc>
      </w:tr>
      <w:tr>
        <w:trPr>
          <w:trHeight w:val="21"/>
        </w:trPr>
        <w:tc>
          <w:tcPr>
            <w:tcW w:w="1030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103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PROPOSAL 2: Ratification of Appointment of Independent Registered Public Accounting Firm</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12</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189"/>
        </w:trPr>
        <w:tc>
          <w:tcPr>
            <w:tcW w:w="103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REPORT OF THE AUDIT COMMITTEE OF THE BOARD OF DIRECTORS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13</w:t>
            </w:r>
          </w:p>
        </w:tc>
        <w:tc>
          <w:tcPr>
            <w:tcW w:w="160" w:type="dxa"/>
            <w:vAlign w:val="bottom"/>
            <w:tcBorders>
              <w:top w:val="single" w:sz="8" w:color="CCEEFF"/>
            </w:tcBorders>
          </w:tcPr>
          <w:p>
            <w:pPr>
              <w:spacing w:after="0"/>
              <w:rPr>
                <w:sz w:val="16"/>
                <w:szCs w:val="16"/>
                <w:color w:val="auto"/>
              </w:rPr>
            </w:pPr>
          </w:p>
        </w:tc>
      </w:tr>
      <w:tr>
        <w:trPr>
          <w:trHeight w:val="21"/>
        </w:trPr>
        <w:tc>
          <w:tcPr>
            <w:tcW w:w="10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103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INDEPENDENT REGISTERED PUBLIC ACCOUNTING FIRM FEES AND OTHER MATTERS</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14</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189"/>
        </w:trPr>
        <w:tc>
          <w:tcPr>
            <w:tcW w:w="103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EXECUTIVE OFFICERS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16</w:t>
            </w:r>
          </w:p>
        </w:tc>
        <w:tc>
          <w:tcPr>
            <w:tcW w:w="160" w:type="dxa"/>
            <w:vAlign w:val="bottom"/>
            <w:tcBorders>
              <w:top w:val="single" w:sz="8" w:color="CCEEFF"/>
            </w:tcBorders>
          </w:tcPr>
          <w:p>
            <w:pPr>
              <w:spacing w:after="0"/>
              <w:rPr>
                <w:sz w:val="16"/>
                <w:szCs w:val="16"/>
                <w:color w:val="auto"/>
              </w:rPr>
            </w:pPr>
          </w:p>
        </w:tc>
      </w:tr>
      <w:tr>
        <w:trPr>
          <w:trHeight w:val="21"/>
        </w:trPr>
        <w:tc>
          <w:tcPr>
            <w:tcW w:w="10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103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CORPORATE GOVERNANCE</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17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189"/>
        </w:trPr>
        <w:tc>
          <w:tcPr>
            <w:tcW w:w="103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EXECUTIVE COMPENSATION</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26</w:t>
            </w:r>
          </w:p>
        </w:tc>
        <w:tc>
          <w:tcPr>
            <w:tcW w:w="160" w:type="dxa"/>
            <w:vAlign w:val="bottom"/>
            <w:tcBorders>
              <w:top w:val="single" w:sz="8" w:color="CCEEFF"/>
            </w:tcBorders>
          </w:tcPr>
          <w:p>
            <w:pPr>
              <w:spacing w:after="0"/>
              <w:rPr>
                <w:sz w:val="16"/>
                <w:szCs w:val="16"/>
                <w:color w:val="auto"/>
              </w:rPr>
            </w:pPr>
          </w:p>
        </w:tc>
      </w:tr>
      <w:tr>
        <w:trPr>
          <w:trHeight w:val="20"/>
        </w:trPr>
        <w:tc>
          <w:tcPr>
            <w:tcW w:w="10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5"/>
        </w:trPr>
        <w:tc>
          <w:tcPr>
            <w:tcW w:w="103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BOARD COMPENSATION</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31</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189"/>
        </w:trPr>
        <w:tc>
          <w:tcPr>
            <w:tcW w:w="103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SECURITY OWNERSHIP OF CERTAIN BENEFICIAL OWNERS AND MANAGEMENT</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33</w:t>
            </w:r>
          </w:p>
        </w:tc>
        <w:tc>
          <w:tcPr>
            <w:tcW w:w="160" w:type="dxa"/>
            <w:vAlign w:val="bottom"/>
            <w:tcBorders>
              <w:top w:val="single" w:sz="8" w:color="CCEEFF"/>
            </w:tcBorders>
          </w:tcPr>
          <w:p>
            <w:pPr>
              <w:spacing w:after="0"/>
              <w:rPr>
                <w:sz w:val="16"/>
                <w:szCs w:val="16"/>
                <w:color w:val="auto"/>
              </w:rPr>
            </w:pPr>
          </w:p>
        </w:tc>
      </w:tr>
      <w:tr>
        <w:trPr>
          <w:trHeight w:val="20"/>
        </w:trPr>
        <w:tc>
          <w:tcPr>
            <w:tcW w:w="10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4"/>
        </w:trPr>
        <w:tc>
          <w:tcPr>
            <w:tcW w:w="10300" w:type="dxa"/>
            <w:vAlign w:val="bottom"/>
            <w:tcBorders>
              <w:bottom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CERTAIN RELATIONSHIPS AND RELATED PERSON TRANSACTIONS</w:t>
            </w:r>
          </w:p>
        </w:tc>
        <w:tc>
          <w:tcPr>
            <w:tcW w:w="2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36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189"/>
        </w:trPr>
        <w:tc>
          <w:tcPr>
            <w:tcW w:w="10300" w:type="dxa"/>
            <w:vAlign w:val="bottom"/>
            <w:tcBorders>
              <w:top w:val="single" w:sz="8" w:color="CCEEFF"/>
            </w:tcBorders>
          </w:tcPr>
          <w:p>
            <w:pPr>
              <w:ind w:left="20"/>
              <w:spacing w:after="0" w:line="189" w:lineRule="exact"/>
              <w:rPr>
                <w:sz w:val="20"/>
                <w:szCs w:val="20"/>
                <w:color w:val="auto"/>
              </w:rPr>
            </w:pPr>
            <w:r>
              <w:rPr>
                <w:rFonts w:ascii="Arial" w:cs="Arial" w:eastAsia="Arial" w:hAnsi="Arial"/>
                <w:sz w:val="18"/>
                <w:szCs w:val="18"/>
                <w:color w:val="auto"/>
              </w:rPr>
              <w:t>OTHER MATTERS</w:t>
            </w:r>
          </w:p>
        </w:tc>
        <w:tc>
          <w:tcPr>
            <w:tcW w:w="200" w:type="dxa"/>
            <w:vAlign w:val="bottom"/>
            <w:tcBorders>
              <w:top w:val="single" w:sz="8" w:color="CCEEFF"/>
              <w:bottom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89"/>
              </w:rPr>
              <w:t>38</w:t>
            </w:r>
          </w:p>
        </w:tc>
        <w:tc>
          <w:tcPr>
            <w:tcW w:w="160" w:type="dxa"/>
            <w:vAlign w:val="bottom"/>
            <w:tcBorders>
              <w:top w:val="single" w:sz="8" w:color="CCEEFF"/>
            </w:tcBorders>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-172085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60"/>
          </w:cols>
          <w:pgMar w:left="580" w:top="1440" w:right="659" w:bottom="1440" w:gutter="0" w:footer="0" w:header="0"/>
        </w:sectPr>
      </w:pPr>
    </w:p>
    <w:bookmarkStart w:id="4" w:name="page5"/>
    <w:bookmarkEnd w:id="4"/>
    <w:p>
      <w:pPr>
        <w:jc w:val="center"/>
        <w:spacing w:after="0"/>
        <w:rPr>
          <w:sz w:val="20"/>
          <w:szCs w:val="20"/>
          <w:color w:val="auto"/>
        </w:rPr>
      </w:pPr>
      <w:r>
        <w:rPr>
          <w:rFonts w:ascii="Arial" w:cs="Arial" w:eastAsia="Arial" w:hAnsi="Arial"/>
          <w:sz w:val="20"/>
          <w:szCs w:val="20"/>
          <w:b w:val="1"/>
          <w:bCs w:val="1"/>
          <w:color w:val="38A3FF"/>
        </w:rPr>
        <w:t>PROXY STATEMENT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BRILLIANT EARTH GROUP, INC.</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300 GRANT AVENUE</w:t>
      </w:r>
    </w:p>
    <w:p>
      <w:pPr>
        <w:spacing w:after="0"/>
        <w:rPr>
          <w:sz w:val="20"/>
          <w:szCs w:val="20"/>
          <w:color w:val="auto"/>
        </w:rPr>
      </w:pPr>
      <w:r>
        <w:rPr>
          <w:rFonts w:ascii="Arial" w:cs="Arial" w:eastAsia="Arial" w:hAnsi="Arial"/>
          <w:sz w:val="20"/>
          <w:szCs w:val="20"/>
          <w:b w:val="1"/>
          <w:bCs w:val="1"/>
          <w:color w:val="auto"/>
        </w:rPr>
        <w:t>THIRD FLOOR</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FRANCISCO, CA 94108</w:t>
      </w:r>
    </w:p>
    <w:p>
      <w:pPr>
        <w:spacing w:after="0" w:line="26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This proxy statement is furnished in connection with the solicitation by the Board of Directors (the "Board") of Brilliant Earth Group, Inc. of proxies to be voted at our Annual Meeting of Stockholders to be held on Wednesday, June 17, 2026 (the “Annual Meeting”), at 9:00 a.m., Pacific Time, and at any continuation, postponement, or adjournment of the Annual Meeting. The Annual Meeting will be a completely virtual meeting, which will be conducted via live webcast. You will be able to attend the Annual Meeting by visiting www.virtualshareholdermeeting.com/BRLT2026 and entering your 16-digit control number included in your Notice of Internet Availability of Proxy Materials, on your proxy card or on the instructions that accompanied your proxy materials.</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Holders of record of outstanding shares of capital stock, composed of Class A common stock, par value $0.0001 per share, Class B common stock, par value $0.0001 per share, Class C common stock, par value $0.0001 per share, and Class D common stock, par value $0.0001 per share, (collectively, “Common Stock”), at the close of business on April 22, 2026 (the “Record Date”), will be entitled to notice of and to vote at the Annual Meeting and any continuation, postponement, or adjournment of the Annual Meeting, and will vote together as a single class on all matters presented at the Annual Meeting. Each share of our Class A common stock and our Class B common stock entitles its holders to one vote per share on all matters presented to our stockholders generally, and each share of Class C common stock and Class D common stock entitles its holders to ten votes per share on all matters presented to our stockholders generally. At the close of business on the Record Date, there were 16,258,882 shares of Class A common stock, 35,822,342 shares of Class B common stock, and 49,119,976 shares of Class C common stock issued and outstanding and entitled to vote at the Annual Meeting, representing 3.0%, 6.6%, and 90.4% of the voting power of our Common Stock, respectively. As of the Record Date, there were no shares of Class D common stock issued and outstanding and entitled to vote at the Annual Meeting.</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This proxy statement and the Company’s Annual Report to Stockholders for the fiscal year ended December 31, 2025 (the “2025 Annual Report”) will be released on or about April 27, 2026 to our stockholders as of the Record Date.</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In this proxy statement, unless the context otherwise requires, “we,” “us,” “our,” and the “Company” refer to Brilliant Earth Group, Inc., and, unless otherwise stated, all of its subsidiaries.</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5" w:name="page6"/>
    <w:bookmarkEnd w:id="5"/>
    <w:p>
      <w:pPr>
        <w:ind w:left="4640"/>
        <w:spacing w:after="0"/>
        <w:rPr>
          <w:sz w:val="20"/>
          <w:szCs w:val="20"/>
          <w:color w:val="auto"/>
        </w:rPr>
      </w:pPr>
      <w:r>
        <w:rPr>
          <w:rFonts w:ascii="Arial" w:cs="Arial" w:eastAsia="Arial" w:hAnsi="Arial"/>
          <w:sz w:val="20"/>
          <w:szCs w:val="20"/>
          <w:b w:val="1"/>
          <w:bCs w:val="1"/>
          <w:color w:val="auto"/>
        </w:rPr>
        <w:t>IMPORTANT NOTICE</w:t>
      </w:r>
    </w:p>
    <w:p>
      <w:pPr>
        <w:spacing w:after="0" w:line="33" w:lineRule="exact"/>
        <w:rPr>
          <w:sz w:val="20"/>
          <w:szCs w:val="20"/>
          <w:color w:val="auto"/>
        </w:rPr>
      </w:pPr>
    </w:p>
    <w:p>
      <w:pPr>
        <w:ind w:left="440"/>
        <w:spacing w:after="0"/>
        <w:rPr>
          <w:sz w:val="20"/>
          <w:szCs w:val="20"/>
          <w:color w:val="auto"/>
        </w:rPr>
      </w:pPr>
      <w:r>
        <w:rPr>
          <w:rFonts w:ascii="Arial" w:cs="Arial" w:eastAsia="Arial" w:hAnsi="Arial"/>
          <w:sz w:val="20"/>
          <w:szCs w:val="20"/>
          <w:b w:val="1"/>
          <w:bCs w:val="1"/>
          <w:color w:val="auto"/>
        </w:rPr>
        <w:t>REGARDING THE AVAILABILITY OF PROXY MATERIALS FOR THE STOCKHOLDER MEETING TO BE HELD ON</w:t>
      </w:r>
    </w:p>
    <w:p>
      <w:pPr>
        <w:jc w:val="center"/>
        <w:spacing w:after="0"/>
        <w:rPr>
          <w:sz w:val="20"/>
          <w:szCs w:val="20"/>
          <w:color w:val="auto"/>
        </w:rPr>
      </w:pPr>
      <w:r>
        <w:rPr>
          <w:rFonts w:ascii="Arial" w:cs="Arial" w:eastAsia="Arial" w:hAnsi="Arial"/>
          <w:sz w:val="20"/>
          <w:szCs w:val="20"/>
          <w:b w:val="1"/>
          <w:bCs w:val="1"/>
          <w:color w:val="auto"/>
        </w:rPr>
        <w:t>WEDNESDAY, JUNE 17, 2026</w:t>
      </w: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This Proxy Statement and our 2025 Annual Report to Stockholders are available at www.proxyvote.com.</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Proposals and Recommendations of the Board</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This section summarizes and highlights certain information contained in this proxy statement, but does not contain all the information that you should consider when casting your vote. Please review the entire proxy statement as well as the 2025 Annual Report carefully before voting.</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Board recommends that you vote your shares as indicated below. If you return a properly completed proxy card, or vote your shares by telephone or Internet, your shares of Common Stock will be voted on your behalf as you direct. If not otherwise specified, the shares of Common Stock represented by the proxies will be voted as indicated below.</w:t>
      </w:r>
    </w:p>
    <w:p>
      <w:pPr>
        <w:spacing w:after="0" w:line="247" w:lineRule="exact"/>
        <w:rPr>
          <w:sz w:val="20"/>
          <w:szCs w:val="20"/>
          <w:color w:val="auto"/>
        </w:rPr>
      </w:pPr>
    </w:p>
    <w:tbl>
      <w:tblPr>
        <w:tblLayout w:type="fixed"/>
        <w:tblInd w:w="390" w:type="dxa"/>
        <w:tblCellMar>
          <w:top w:w="0" w:type="dxa"/>
          <w:left w:w="0" w:type="dxa"/>
          <w:bottom w:w="0" w:type="dxa"/>
          <w:right w:w="0" w:type="dxa"/>
        </w:tblCellMar>
      </w:tblPr>
      <w:tr>
        <w:trPr>
          <w:trHeight w:val="304"/>
        </w:trPr>
        <w:tc>
          <w:tcPr>
            <w:tcW w:w="23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Proposal 1</w:t>
            </w:r>
          </w:p>
        </w:tc>
        <w:tc>
          <w:tcPr>
            <w:tcW w:w="744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Board Recommendation and Page Number</w:t>
            </w:r>
          </w:p>
        </w:tc>
      </w:tr>
      <w:tr>
        <w:trPr>
          <w:trHeight w:val="251"/>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Election of three Class II</w:t>
            </w:r>
          </w:p>
        </w:tc>
        <w:tc>
          <w:tcPr>
            <w:tcW w:w="74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 Board recommends a vote “FOR” Eric Grossberg, Attica A. Jaques, and Gavin</w:t>
            </w:r>
          </w:p>
        </w:tc>
      </w:tr>
      <w:tr>
        <w:trPr>
          <w:trHeight w:val="216"/>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Directors for a three- year</w:t>
            </w:r>
          </w:p>
        </w:tc>
        <w:tc>
          <w:tcPr>
            <w:tcW w:w="74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M. Turner.</w:t>
            </w:r>
          </w:p>
        </w:tc>
      </w:tr>
      <w:tr>
        <w:trPr>
          <w:trHeight w:val="216"/>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term ending at the 2029</w:t>
            </w:r>
          </w:p>
        </w:tc>
        <w:tc>
          <w:tcPr>
            <w:tcW w:w="7440" w:type="dxa"/>
            <w:vAlign w:val="bottom"/>
            <w:tcBorders>
              <w:right w:val="single" w:sz="8" w:color="auto"/>
            </w:tcBorders>
          </w:tcPr>
          <w:p>
            <w:pPr>
              <w:spacing w:after="0"/>
              <w:rPr>
                <w:sz w:val="18"/>
                <w:szCs w:val="18"/>
                <w:color w:val="auto"/>
              </w:rPr>
            </w:pPr>
          </w:p>
        </w:tc>
      </w:tr>
      <w:tr>
        <w:trPr>
          <w:trHeight w:val="229"/>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Annual Meeting of</w:t>
            </w:r>
          </w:p>
        </w:tc>
        <w:tc>
          <w:tcPr>
            <w:tcW w:w="74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See “Proposal One — Election of Directors” beginning on page 9 of this</w:t>
            </w:r>
          </w:p>
        </w:tc>
      </w:tr>
      <w:tr>
        <w:trPr>
          <w:trHeight w:val="252"/>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Stockholders</w:t>
            </w:r>
          </w:p>
        </w:tc>
        <w:tc>
          <w:tcPr>
            <w:tcW w:w="744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proxy statement.</w:t>
            </w:r>
          </w:p>
        </w:tc>
      </w:tr>
      <w:tr>
        <w:trPr>
          <w:trHeight w:val="23"/>
        </w:trPr>
        <w:tc>
          <w:tcPr>
            <w:tcW w:w="2340" w:type="dxa"/>
            <w:vAlign w:val="bottom"/>
            <w:tcBorders>
              <w:left w:val="single" w:sz="8" w:color="auto"/>
              <w:bottom w:val="single" w:sz="8" w:color="auto"/>
              <w:right w:val="single" w:sz="8" w:color="auto"/>
            </w:tcBorders>
          </w:tcPr>
          <w:p>
            <w:pPr>
              <w:spacing w:after="0"/>
              <w:rPr>
                <w:sz w:val="2"/>
                <w:szCs w:val="2"/>
                <w:color w:val="auto"/>
              </w:rPr>
            </w:pPr>
          </w:p>
        </w:tc>
        <w:tc>
          <w:tcPr>
            <w:tcW w:w="7440" w:type="dxa"/>
            <w:vAlign w:val="bottom"/>
            <w:tcBorders>
              <w:bottom w:val="single" w:sz="8" w:color="auto"/>
              <w:right w:val="single" w:sz="8" w:color="auto"/>
            </w:tcBorders>
          </w:tcPr>
          <w:p>
            <w:pPr>
              <w:spacing w:after="0"/>
              <w:rPr>
                <w:sz w:val="2"/>
                <w:szCs w:val="2"/>
                <w:color w:val="auto"/>
              </w:rPr>
            </w:pPr>
          </w:p>
        </w:tc>
      </w:tr>
    </w:tbl>
    <w:p>
      <w:pPr>
        <w:spacing w:after="0" w:line="345" w:lineRule="exact"/>
        <w:rPr>
          <w:sz w:val="20"/>
          <w:szCs w:val="20"/>
          <w:color w:val="auto"/>
        </w:rPr>
      </w:pPr>
    </w:p>
    <w:tbl>
      <w:tblPr>
        <w:tblLayout w:type="fixed"/>
        <w:tblInd w:w="390" w:type="dxa"/>
        <w:tblCellMar>
          <w:top w:w="0" w:type="dxa"/>
          <w:left w:w="0" w:type="dxa"/>
          <w:bottom w:w="0" w:type="dxa"/>
          <w:right w:w="0" w:type="dxa"/>
        </w:tblCellMar>
      </w:tblPr>
      <w:tr>
        <w:trPr>
          <w:trHeight w:val="304"/>
        </w:trPr>
        <w:tc>
          <w:tcPr>
            <w:tcW w:w="23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Proposal 2</w:t>
            </w:r>
          </w:p>
        </w:tc>
        <w:tc>
          <w:tcPr>
            <w:tcW w:w="7440" w:type="dxa"/>
            <w:vAlign w:val="bottom"/>
            <w:tcBorders>
              <w:top w:val="single" w:sz="8" w:color="auto"/>
              <w:bottom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Board Recommendation and Page Number</w:t>
            </w:r>
          </w:p>
        </w:tc>
        <w:tc>
          <w:tcPr>
            <w:tcW w:w="0" w:type="dxa"/>
            <w:vAlign w:val="bottom"/>
          </w:tcPr>
          <w:p>
            <w:pPr>
              <w:spacing w:after="0"/>
              <w:rPr>
                <w:sz w:val="1"/>
                <w:szCs w:val="1"/>
                <w:color w:val="auto"/>
              </w:rPr>
            </w:pPr>
          </w:p>
        </w:tc>
      </w:tr>
      <w:tr>
        <w:trPr>
          <w:trHeight w:val="251"/>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Ratification of the</w:t>
            </w:r>
          </w:p>
        </w:tc>
        <w:tc>
          <w:tcPr>
            <w:tcW w:w="74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 Board recommends a vote “FOR” the ratification of the appointment of</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appointment of BDO</w:t>
            </w:r>
          </w:p>
        </w:tc>
        <w:tc>
          <w:tcPr>
            <w:tcW w:w="74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BDO USA, P.C. as our independent registered public accounting firm for</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USA, P.C. as our</w:t>
            </w:r>
          </w:p>
        </w:tc>
        <w:tc>
          <w:tcPr>
            <w:tcW w:w="7440" w:type="dxa"/>
            <w:vAlign w:val="bottom"/>
            <w:tcBorders>
              <w:right w:val="single" w:sz="8" w:color="auto"/>
            </w:tcBorders>
          </w:tcPr>
          <w:p>
            <w:pPr>
              <w:ind w:left="780"/>
              <w:spacing w:after="0"/>
              <w:rPr>
                <w:sz w:val="20"/>
                <w:szCs w:val="20"/>
                <w:color w:val="auto"/>
              </w:rPr>
            </w:pPr>
            <w:r>
              <w:rPr>
                <w:rFonts w:ascii="Arial" w:cs="Arial" w:eastAsia="Arial" w:hAnsi="Arial"/>
                <w:sz w:val="18"/>
                <w:szCs w:val="18"/>
                <w:color w:val="auto"/>
              </w:rPr>
              <w:t>the year ending December 31, 2026.</w:t>
            </w:r>
          </w:p>
        </w:tc>
        <w:tc>
          <w:tcPr>
            <w:tcW w:w="0" w:type="dxa"/>
            <w:vAlign w:val="bottom"/>
          </w:tcPr>
          <w:p>
            <w:pPr>
              <w:spacing w:after="0"/>
              <w:rPr>
                <w:sz w:val="1"/>
                <w:szCs w:val="1"/>
                <w:color w:val="auto"/>
              </w:rPr>
            </w:pPr>
          </w:p>
        </w:tc>
      </w:tr>
      <w:tr>
        <w:trPr>
          <w:trHeight w:val="216"/>
        </w:trPr>
        <w:tc>
          <w:tcPr>
            <w:tcW w:w="2340" w:type="dxa"/>
            <w:vAlign w:val="bottom"/>
            <w:tcBorders>
              <w:left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independent registered</w:t>
            </w:r>
          </w:p>
        </w:tc>
        <w:tc>
          <w:tcPr>
            <w:tcW w:w="7440" w:type="dxa"/>
            <w:vAlign w:val="bottom"/>
            <w:tcBorders>
              <w:right w:val="single" w:sz="8" w:color="auto"/>
            </w:tcBorders>
            <w:vMerge w:val="restart"/>
          </w:tcPr>
          <w:p>
            <w:pPr>
              <w:ind w:left="780"/>
              <w:spacing w:after="0"/>
              <w:rPr>
                <w:sz w:val="20"/>
                <w:szCs w:val="20"/>
                <w:color w:val="auto"/>
              </w:rPr>
            </w:pPr>
            <w:r>
              <w:rPr>
                <w:rFonts w:ascii="Arial" w:cs="Arial" w:eastAsia="Arial" w:hAnsi="Arial"/>
                <w:sz w:val="18"/>
                <w:szCs w:val="18"/>
                <w:color w:val="auto"/>
              </w:rPr>
              <w:t>See “Proposal Two — Ratification of Appointment of Independent Registered</w:t>
            </w:r>
          </w:p>
        </w:tc>
        <w:tc>
          <w:tcPr>
            <w:tcW w:w="0" w:type="dxa"/>
            <w:vAlign w:val="bottom"/>
          </w:tcPr>
          <w:p>
            <w:pPr>
              <w:spacing w:after="0"/>
              <w:rPr>
                <w:sz w:val="1"/>
                <w:szCs w:val="1"/>
                <w:color w:val="auto"/>
              </w:rPr>
            </w:pPr>
          </w:p>
        </w:tc>
      </w:tr>
      <w:tr>
        <w:trPr>
          <w:trHeight w:val="81"/>
        </w:trPr>
        <w:tc>
          <w:tcPr>
            <w:tcW w:w="23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public accounting firm</w:t>
            </w:r>
          </w:p>
        </w:tc>
        <w:tc>
          <w:tcPr>
            <w:tcW w:w="7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340" w:type="dxa"/>
            <w:vAlign w:val="bottom"/>
            <w:tcBorders>
              <w:left w:val="single" w:sz="8" w:color="auto"/>
              <w:right w:val="single" w:sz="8" w:color="auto"/>
            </w:tcBorders>
            <w:vMerge w:val="continue"/>
          </w:tcPr>
          <w:p>
            <w:pPr>
              <w:spacing w:after="0"/>
              <w:rPr>
                <w:sz w:val="11"/>
                <w:szCs w:val="11"/>
                <w:color w:val="auto"/>
              </w:rPr>
            </w:pPr>
          </w:p>
        </w:tc>
        <w:tc>
          <w:tcPr>
            <w:tcW w:w="7440" w:type="dxa"/>
            <w:vAlign w:val="bottom"/>
            <w:tcBorders>
              <w:right w:val="single" w:sz="8" w:color="auto"/>
            </w:tcBorders>
            <w:vMerge w:val="restart"/>
          </w:tcPr>
          <w:p>
            <w:pPr>
              <w:ind w:left="780"/>
              <w:spacing w:after="0"/>
              <w:rPr>
                <w:sz w:val="20"/>
                <w:szCs w:val="20"/>
                <w:color w:val="auto"/>
              </w:rPr>
            </w:pPr>
            <w:r>
              <w:rPr>
                <w:rFonts w:ascii="Arial" w:cs="Arial" w:eastAsia="Arial" w:hAnsi="Arial"/>
                <w:sz w:val="18"/>
                <w:szCs w:val="18"/>
                <w:color w:val="auto"/>
              </w:rPr>
              <w:t>Public Accounting Firm” beginning on page 14 of this proxy statement</w:t>
            </w:r>
          </w:p>
        </w:tc>
        <w:tc>
          <w:tcPr>
            <w:tcW w:w="0" w:type="dxa"/>
            <w:vAlign w:val="bottom"/>
          </w:tcPr>
          <w:p>
            <w:pPr>
              <w:spacing w:after="0"/>
              <w:rPr>
                <w:sz w:val="1"/>
                <w:szCs w:val="1"/>
                <w:color w:val="auto"/>
              </w:rPr>
            </w:pPr>
          </w:p>
        </w:tc>
      </w:tr>
      <w:tr>
        <w:trPr>
          <w:trHeight w:val="104"/>
        </w:trPr>
        <w:tc>
          <w:tcPr>
            <w:tcW w:w="2340" w:type="dxa"/>
            <w:vAlign w:val="bottom"/>
            <w:tcBorders>
              <w:left w:val="single" w:sz="8" w:color="auto"/>
              <w:right w:val="single" w:sz="8" w:color="auto"/>
            </w:tcBorders>
            <w:vMerge w:val="restart"/>
          </w:tcPr>
          <w:p>
            <w:pPr>
              <w:ind w:left="80"/>
              <w:spacing w:after="0"/>
              <w:rPr>
                <w:sz w:val="20"/>
                <w:szCs w:val="20"/>
                <w:color w:val="auto"/>
              </w:rPr>
            </w:pPr>
            <w:r>
              <w:rPr>
                <w:rFonts w:ascii="Arial" w:cs="Arial" w:eastAsia="Arial" w:hAnsi="Arial"/>
                <w:sz w:val="18"/>
                <w:szCs w:val="18"/>
                <w:b w:val="1"/>
                <w:bCs w:val="1"/>
                <w:color w:val="auto"/>
              </w:rPr>
              <w:t>for the fiscal year ending</w:t>
            </w:r>
          </w:p>
        </w:tc>
        <w:tc>
          <w:tcPr>
            <w:tcW w:w="74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340" w:type="dxa"/>
            <w:vAlign w:val="bottom"/>
            <w:tcBorders>
              <w:left w:val="single" w:sz="8" w:color="auto"/>
              <w:right w:val="single" w:sz="8" w:color="auto"/>
            </w:tcBorders>
            <w:vMerge w:val="continue"/>
          </w:tcPr>
          <w:p>
            <w:pPr>
              <w:spacing w:after="0"/>
              <w:rPr>
                <w:sz w:val="9"/>
                <w:szCs w:val="9"/>
                <w:color w:val="auto"/>
              </w:rPr>
            </w:pPr>
          </w:p>
        </w:tc>
        <w:tc>
          <w:tcPr>
            <w:tcW w:w="74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3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December 31, 2026</w:t>
            </w:r>
          </w:p>
        </w:tc>
        <w:tc>
          <w:tcPr>
            <w:tcW w:w="74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34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20"/>
          <w:szCs w:val="20"/>
          <w:b w:val="1"/>
          <w:bCs w:val="1"/>
          <w:color w:val="0094FF"/>
        </w:rPr>
        <w:t>INFORMATION ABOUT THIS PROXY STATEMENT</w:t>
      </w:r>
    </w:p>
    <w:p>
      <w:pPr>
        <w:spacing w:after="0" w:line="256" w:lineRule="exact"/>
        <w:rPr>
          <w:sz w:val="20"/>
          <w:szCs w:val="20"/>
          <w:color w:val="auto"/>
        </w:rPr>
      </w:pPr>
    </w:p>
    <w:p>
      <w:pPr>
        <w:jc w:val="both"/>
        <w:spacing w:after="0" w:line="260" w:lineRule="auto"/>
        <w:rPr>
          <w:sz w:val="20"/>
          <w:szCs w:val="20"/>
          <w:color w:val="auto"/>
        </w:rPr>
      </w:pPr>
      <w:r>
        <w:rPr>
          <w:rFonts w:ascii="Arial" w:cs="Arial" w:eastAsia="Arial" w:hAnsi="Arial"/>
          <w:sz w:val="20"/>
          <w:szCs w:val="20"/>
          <w:b w:val="1"/>
          <w:bCs w:val="1"/>
          <w:color w:val="auto"/>
        </w:rPr>
        <w:t xml:space="preserve">Why you received this proxy statement. </w:t>
      </w:r>
      <w:r>
        <w:rPr>
          <w:rFonts w:ascii="Arial" w:cs="Arial" w:eastAsia="Arial" w:hAnsi="Arial"/>
          <w:sz w:val="20"/>
          <w:szCs w:val="20"/>
          <w:color w:val="auto"/>
        </w:rPr>
        <w:t>You are viewing or have received these proxy materials because the Company’s</w:t>
      </w:r>
      <w:r>
        <w:rPr>
          <w:rFonts w:ascii="Arial" w:cs="Arial" w:eastAsia="Arial" w:hAnsi="Arial"/>
          <w:sz w:val="20"/>
          <w:szCs w:val="20"/>
          <w:b w:val="1"/>
          <w:bCs w:val="1"/>
          <w:color w:val="auto"/>
        </w:rPr>
        <w:t xml:space="preserve"> </w:t>
      </w:r>
      <w:r>
        <w:rPr>
          <w:rFonts w:ascii="Arial" w:cs="Arial" w:eastAsia="Arial" w:hAnsi="Arial"/>
          <w:sz w:val="20"/>
          <w:szCs w:val="20"/>
          <w:color w:val="auto"/>
        </w:rPr>
        <w:t>Board is soliciting your proxy to vote your shares at the Annual Meeting. This proxy statement includes information that we are required to provide to you under the rules of the Securities and Exchange Commission (the “SEC”) and that is designed to assist you in voting your shares.</w:t>
      </w:r>
    </w:p>
    <w:p>
      <w:pPr>
        <w:spacing w:after="0" w:line="191"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 xml:space="preserve">Notice of Internet Availability of Proxy Materials. </w:t>
      </w:r>
      <w:r>
        <w:rPr>
          <w:rFonts w:ascii="Arial" w:cs="Arial" w:eastAsia="Arial" w:hAnsi="Arial"/>
          <w:sz w:val="20"/>
          <w:szCs w:val="20"/>
          <w:color w:val="auto"/>
        </w:rPr>
        <w:t>As permitted by SEC rules, the Company is making this proxy statement</w:t>
      </w:r>
      <w:r>
        <w:rPr>
          <w:rFonts w:ascii="Arial" w:cs="Arial" w:eastAsia="Arial" w:hAnsi="Arial"/>
          <w:sz w:val="20"/>
          <w:szCs w:val="20"/>
          <w:b w:val="1"/>
          <w:bCs w:val="1"/>
          <w:color w:val="auto"/>
        </w:rPr>
        <w:t xml:space="preserve"> </w:t>
      </w:r>
      <w:r>
        <w:rPr>
          <w:rFonts w:ascii="Arial" w:cs="Arial" w:eastAsia="Arial" w:hAnsi="Arial"/>
          <w:sz w:val="20"/>
          <w:szCs w:val="20"/>
          <w:color w:val="auto"/>
        </w:rPr>
        <w:t>and its 2025 Annual Report available to its stockholders electronically via the Internet. On or about April 27, 2026, we mailed to our stockholders a Notice of Internet Availability of Proxy Materials (the “Internet Notice”) containing instructions on how to access this proxy statement and our 2025 Annual Report and vote online. If you received an Internet Notice by mail, you will not receive a printed copy of the proxy materials in the mail unless you specifically request them. The Internet Notice instructs you on how to access and review the important information contained in this proxy statement and 2025 Annual Report. The Internet Notice also instructs you on how you may submit your proxy over the Internet. If you received an Internet Notice by mail and would like to receive a printed copy of our proxy materials, you should follow the instructions for requesting such materials contained in the Internet Notice.</w:t>
      </w:r>
    </w:p>
    <w:p>
      <w:pPr>
        <w:spacing w:after="0" w:line="216" w:lineRule="exact"/>
        <w:rPr>
          <w:sz w:val="20"/>
          <w:szCs w:val="20"/>
          <w:color w:val="auto"/>
        </w:rPr>
      </w:pPr>
    </w:p>
    <w:p>
      <w:pPr>
        <w:ind w:right="160"/>
        <w:spacing w:after="0" w:line="274" w:lineRule="auto"/>
        <w:rPr>
          <w:sz w:val="20"/>
          <w:szCs w:val="20"/>
          <w:color w:val="auto"/>
        </w:rPr>
      </w:pPr>
      <w:r>
        <w:rPr>
          <w:rFonts w:ascii="Arial" w:cs="Arial" w:eastAsia="Arial" w:hAnsi="Arial"/>
          <w:sz w:val="20"/>
          <w:szCs w:val="20"/>
          <w:b w:val="1"/>
          <w:bCs w:val="1"/>
          <w:color w:val="auto"/>
        </w:rPr>
        <w:t xml:space="preserve">Printed Copies of Our Proxy Materials. </w:t>
      </w:r>
      <w:r>
        <w:rPr>
          <w:rFonts w:ascii="Arial" w:cs="Arial" w:eastAsia="Arial" w:hAnsi="Arial"/>
          <w:sz w:val="20"/>
          <w:szCs w:val="20"/>
          <w:color w:val="auto"/>
        </w:rPr>
        <w:t>If you received printed copies of our proxy materials, then instructions regarding how</w:t>
      </w:r>
      <w:r>
        <w:rPr>
          <w:rFonts w:ascii="Arial" w:cs="Arial" w:eastAsia="Arial" w:hAnsi="Arial"/>
          <w:sz w:val="20"/>
          <w:szCs w:val="20"/>
          <w:b w:val="1"/>
          <w:bCs w:val="1"/>
          <w:color w:val="auto"/>
        </w:rPr>
        <w:t xml:space="preserve"> </w:t>
      </w:r>
      <w:r>
        <w:rPr>
          <w:rFonts w:ascii="Arial" w:cs="Arial" w:eastAsia="Arial" w:hAnsi="Arial"/>
          <w:sz w:val="20"/>
          <w:szCs w:val="20"/>
          <w:color w:val="auto"/>
        </w:rPr>
        <w:t>you can vote are contained on the proxy card included in the materials.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b w:val="1"/>
          <w:bCs w:val="1"/>
          <w:color w:val="auto"/>
        </w:rPr>
        <w:t xml:space="preserve">Householding. </w:t>
      </w:r>
      <w:r>
        <w:rPr>
          <w:rFonts w:ascii="Arial" w:cs="Arial" w:eastAsia="Arial" w:hAnsi="Arial"/>
          <w:sz w:val="20"/>
          <w:szCs w:val="20"/>
          <w:color w:val="auto"/>
        </w:rPr>
        <w:t>The SEC’s rules permit us to deliver a single set of proxy materials to one address shared by two or more of our</w:t>
      </w:r>
      <w:r>
        <w:rPr>
          <w:rFonts w:ascii="Arial" w:cs="Arial" w:eastAsia="Arial" w:hAnsi="Arial"/>
          <w:sz w:val="20"/>
          <w:szCs w:val="20"/>
          <w:b w:val="1"/>
          <w:bCs w:val="1"/>
          <w:color w:val="auto"/>
        </w:rPr>
        <w:t xml:space="preserve"> </w:t>
      </w:r>
      <w:r>
        <w:rPr>
          <w:rFonts w:ascii="Arial" w:cs="Arial" w:eastAsia="Arial" w:hAnsi="Arial"/>
          <w:sz w:val="20"/>
          <w:szCs w:val="20"/>
          <w:color w:val="auto"/>
        </w:rPr>
        <w:t>stockholders. This delivery method is referred to as “householding” and can result in significant cost savings. To take advantage of this opportunity, we have delivered only one set of proxy materials to multiple stockholders who share an address, unless we received contrary instructions from the impacted stockholders prior to the mailing date. We agree to deliver promptly, upon written or oral request, a separate set of proxy materials, as requested, to any stockholder at the shared address to which a single set of those documents was delivered. If you prefer to receive separate copies of the proxy materials, contact Broadridge Financial Solutions, Inc. at 1-866-540-7095 or in writing at Broadridge, Householding Department, 51 Mercedes Way, Edgewood, New York 11717.</w:t>
      </w:r>
    </w:p>
    <w:p>
      <w:pPr>
        <w:spacing w:after="0" w:line="217"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If you are currently a stockholder sharing an address with another stockholder and wish to receive only one set of future proxy materials for your household, please contact Broadridge at the above phone number or address.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7" w:name="page8"/>
    <w:bookmarkEnd w:id="7"/>
    <w:p>
      <w:pPr>
        <w:ind w:left="1480"/>
        <w:spacing w:after="0"/>
        <w:rPr>
          <w:sz w:val="20"/>
          <w:szCs w:val="20"/>
          <w:color w:val="auto"/>
        </w:rPr>
      </w:pPr>
      <w:r>
        <w:rPr>
          <w:rFonts w:ascii="Arial" w:cs="Arial" w:eastAsia="Arial" w:hAnsi="Arial"/>
          <w:sz w:val="20"/>
          <w:szCs w:val="20"/>
          <w:b w:val="1"/>
          <w:bCs w:val="1"/>
          <w:color w:val="0094FF"/>
        </w:rPr>
        <w:t>QUESTIONS AND ANSWERS ABOUT THE 2026 ANNUAL MEETING OF STOCKHOLDERS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entitled to vote at the Annual Meeting?</w:t>
      </w:r>
    </w:p>
    <w:p>
      <w:pPr>
        <w:spacing w:after="0" w:line="245"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Record Date for the Annual Meeting is April 22, 2026. You are entitled to vote at the Annual Meeting only if you were a stockholder of record at the close of business on the Record Date, or if you hold a valid proxy for the Annual Meeting. You will need to obtain your own Internet access if you choose to attend the Annual Meeting and/or vote over the Internet. Each share of our Class A common stock and our Class B common stock entitles its holders to one vote per share on all matters presented to our stockholders generally, and each share of Class C common stock and Class D common stock entitles its holders to ten votes per share on all matters presented to our stockholders generally. Holders of our Common Stock will vote together as a single class on all matters presented at the Annual Meeting. At the close of business on the Record Date, there were 16,258,882 shares of Class A common stock, 35,822,342 shares of Class B common stock, and 49,119,976 shares of Class C common stock issued and outstanding and entitled to vote at the Annual Meeting, representing 3.0%, 6.6%, and 90.4% of the voting power of our Common Stock, respectively. As of the Record Date, there were no shares of Class D common stock issued and outstanding and entitled to vote at the Annual Meeting.</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difference between being a "record holder" and holding shares in "street name"?</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A record holder holds shares in his or her name. Shares held in “street name” means shares that are held in the name of a bank or broker on a person’s behalf.</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Am I entitled to vote if my shares are held in "street name"?</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Yes. If your shares are held by a bank or a brokerage firm, you are considered the “beneficial owner” of those shares held in “street name.” If your shares are held in street name, our proxy materials are being provided to you by your bank or brokerage firm, along with a voting instruction card if you received printed copies of our proxy materials. As the beneficial owner, you have the right to direct your bank or brokerage firm how to vote your shares, and the bank or brokerage firm is required to vote your shares in accordance with your instructions. If you haven’t received a 16-digit control number, you should contact your bank or broker to obtain your control number or otherwise vote through the bank or broker.</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shares must be present to hold the Annual Meeting?</w:t>
      </w:r>
    </w:p>
    <w:p>
      <w:pPr>
        <w:spacing w:after="0" w:line="258"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A quorum must be present at the Annual Meeting for any business to be conducted. The presence at the Annual Meeting, electronically or by proxy, of the holders of a majority in voting power of Common Stock issued and outstanding and entitled to vote on the Record Date will constitute a quorum at the Annual Meeting for the transaction of business.</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can attend the Annual Meeting?</w:t>
      </w:r>
    </w:p>
    <w:p>
      <w:pPr>
        <w:spacing w:after="0" w:line="258"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Stockholders may attend the Annual Meeting by visiting the following website: www.virtualshareholdermeeting.com/BRLT2026. The Annual Meeting will be held entirely online to allow greater participation. You will be able to attend the Annual Meeting and submit your questions by visiting the following website: You will also be able to vote your shares electronically at the Annual Meeting if you were a stockholder of record as of the Record Date or if you hold a valid proxy for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20"/>
          <w:szCs w:val="20"/>
          <w:color w:val="auto"/>
        </w:rPr>
        <w:t>To participate in the Annual Meeting, you will need the 16-digit control number included in your Internet Notice, on your proxy card or on the instructions that accompanied your proxy materials. The meeting webcast will begin promptly at 9:00 a.m., Pacific Time. We encourage you to access the meeting prior to the start time. Online check-in will begin at 8:45 a.m., Pacific Time, and you should allow ample time for check-in procedures. If you hold your shares in “street name” through a bank or broker, instructions should also be provided on the voting instruction card provided by your bank or brokerage firm. If you lose your 16-digit control number, you may join the Annual Meeting as a “Guest,” but you will not be able to vote, ask questions, or access the list of stockholders as of the Record Date.</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Why hold a virtual meeting?</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are excited to continue to embrace the latest technology to provide expanded access, improved communication and cost savings for us and our stockholders. We believe the virtual meeting will enable increased stockholder attendance and participation because stockholders can participate from any location.</w:t>
      </w:r>
    </w:p>
    <w:p>
      <w:pPr>
        <w:spacing w:after="0" w:line="203" w:lineRule="exact"/>
        <w:rPr>
          <w:sz w:val="20"/>
          <w:szCs w:val="20"/>
          <w:color w:val="auto"/>
        </w:rPr>
      </w:pPr>
    </w:p>
    <w:p>
      <w:pPr>
        <w:jc w:val="both"/>
        <w:spacing w:after="0" w:line="284" w:lineRule="auto"/>
        <w:rPr>
          <w:sz w:val="20"/>
          <w:szCs w:val="20"/>
          <w:color w:val="auto"/>
        </w:rPr>
      </w:pPr>
      <w:r>
        <w:rPr>
          <w:rFonts w:ascii="Arial" w:cs="Arial" w:eastAsia="Arial" w:hAnsi="Arial"/>
          <w:sz w:val="20"/>
          <w:szCs w:val="20"/>
          <w:b w:val="1"/>
          <w:bCs w:val="1"/>
          <w:color w:val="auto"/>
        </w:rPr>
        <w:t>What if during the check-in time or during the Annual Meeting I have technical difficulties or trouble accessing the virtual meeting?</w:t>
      </w:r>
    </w:p>
    <w:p>
      <w:pPr>
        <w:spacing w:after="0" w:line="17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will have technicians ready to assist you with any technical difficulties you may have while accessing the virtual meeting website. If you encounter any difficulties accessing the virtual meeting website during the check-in or meeting time, the information for assistance will be located at www.virtualshareholdermeeting.com/BRLT2026.</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a quorum is not present at the Annual Meeting?</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If a quorum is not present at the scheduled time of the Annual Meeting, the person presiding over the Annual Meeting may adjourn the Annual Meeting until a quorum is present or represented.</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does it mean if I receive more than one internet notice or more than one set of proxy materials?</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It means that your shares are held in more than one account at the transfer agent and/or with banks or brokers. Please vote all of your shares. To ensure that all of your shares are voted, for each Internet Notice or set of proxy materials, please submit your proxy by phone, via the Internet, or, if you received printed copies of the proxy materials, by signing, dating and returning the enclosed proxy card in the enclosed envelope.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do I vote?</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recommend that stockholders vote by proxy even if they plan to participate in the Annual Meeting and vote electronically during the meeting. If you are a stockholder of record, you may vote:</w:t>
      </w:r>
    </w:p>
    <w:p>
      <w:pPr>
        <w:spacing w:after="0" w:line="2" w:lineRule="exact"/>
        <w:rPr>
          <w:sz w:val="20"/>
          <w:szCs w:val="20"/>
          <w:color w:val="auto"/>
        </w:rPr>
      </w:pPr>
    </w:p>
    <w:p>
      <w:pPr>
        <w:ind w:left="660" w:hanging="328"/>
        <w:spacing w:after="0" w:line="246"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by Internet—You can vote over the internet at www.proxyvote.com by following the instructions on the Internet Notice or proxy card;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by Telephone—You can vote by telephone by calling 1-800-690-6903 and following the instructions on the proxy card;</w:t>
      </w:r>
    </w:p>
    <w:p>
      <w:pPr>
        <w:ind w:left="640" w:hanging="308"/>
        <w:spacing w:after="0"/>
        <w:tabs>
          <w:tab w:leader="none" w:pos="640" w:val="left"/>
        </w:tabs>
        <w:numPr>
          <w:ilvl w:val="0"/>
          <w:numId w:val="7"/>
        </w:numPr>
        <w:rPr>
          <w:rFonts w:ascii="Arial" w:cs="Arial" w:eastAsia="Arial" w:hAnsi="Arial"/>
          <w:sz w:val="20"/>
          <w:szCs w:val="20"/>
          <w:color w:val="auto"/>
        </w:rPr>
      </w:pPr>
      <w:r>
        <w:rPr>
          <w:rFonts w:ascii="Arial" w:cs="Arial" w:eastAsia="Arial" w:hAnsi="Arial"/>
          <w:sz w:val="20"/>
          <w:szCs w:val="20"/>
          <w:color w:val="auto"/>
        </w:rPr>
        <w:t>by Mail—You can vote by mail by signing, dating and mailing the proxy card, which you may have received by mail; or</w:t>
      </w:r>
    </w:p>
    <w:p>
      <w:pPr>
        <w:spacing w:after="0" w:line="13" w:lineRule="exact"/>
        <w:rPr>
          <w:rFonts w:ascii="Arial" w:cs="Arial" w:eastAsia="Arial" w:hAnsi="Arial"/>
          <w:sz w:val="20"/>
          <w:szCs w:val="20"/>
          <w:color w:val="auto"/>
        </w:rPr>
      </w:pPr>
    </w:p>
    <w:p>
      <w:pPr>
        <w:jc w:val="both"/>
        <w:ind w:left="660" w:hanging="328"/>
        <w:spacing w:after="0" w:line="253"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Electronically at the Meeting—If you attend the Annual Meeting online, you will need the 16-digit control number included in your Internet Notice, on your proxy card or on the instructions that accompanied your proxy materials to vote electronically during the meeting.</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p>
      <w:pPr>
        <w:jc w:val="both"/>
        <w:spacing w:after="0" w:line="254" w:lineRule="auto"/>
        <w:rPr>
          <w:sz w:val="20"/>
          <w:szCs w:val="20"/>
          <w:color w:val="auto"/>
        </w:rPr>
      </w:pPr>
      <w:r>
        <w:rPr>
          <w:rFonts w:ascii="Arial" w:cs="Arial" w:eastAsia="Arial" w:hAnsi="Arial"/>
          <w:sz w:val="20"/>
          <w:szCs w:val="20"/>
          <w:color w:val="auto"/>
        </w:rPr>
        <w:t>Internet and telephone voting facilities for stockholders of record will be available 24 hours a day and will close at 11:59 p.m., Eastern Time, on June 16, 2026. Stockholders may vote at the Annual Meeting by visiting www.virtualshareholdermeeting.com/BRLT2026 and entering the 16-digit control number included on their Internet Notice, proxy card or the instructions that accompanied their proxy materials. The Annual Meeting webcast will begin promptly at 9:00 a.m., Pacific Time, on June 17, 2026.</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If your shares are held in street name through a bank or broker, you will receive instructions on how to vote from the bank or broker. You must follow their instructions for your shares to be voted. Internet and telephone voting also may be offered to stockholders owning shares through certain banks and brokers. If your shares are not registered in your own name and you would like to vote your shares online at the Annual Meeting, you should contact your bank or broker to obtain your 16-digit control number or otherwise vote through the bank or broker. You may visit www.virtualshareholdermeeting.com/BRLT2026 and enter the 16-digit control number included in the voting instruction card provided to you by your bank or brokerage firm.</w:t>
      </w:r>
    </w:p>
    <w:p>
      <w:pPr>
        <w:spacing w:after="0" w:line="23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 after I submit my proxy?</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Yes. If you are a registered stockholder, you may revoke your proxy and change your vote:</w:t>
      </w:r>
    </w:p>
    <w:p>
      <w:pPr>
        <w:spacing w:after="0" w:line="18" w:lineRule="exact"/>
        <w:rPr>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by submitting a duly executed proxy bearing a later date;</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by granting a subsequent proxy through the Internet or telephone;</w:t>
      </w: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by giving written notice of revocation to the Secretary of Brilliant Earth Group, Inc. prior to the Annual Meeting; or</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8"/>
        </w:numPr>
        <w:rPr>
          <w:rFonts w:ascii="Arial" w:cs="Arial" w:eastAsia="Arial" w:hAnsi="Arial"/>
          <w:sz w:val="20"/>
          <w:szCs w:val="20"/>
          <w:color w:val="auto"/>
        </w:rPr>
      </w:pPr>
      <w:r>
        <w:rPr>
          <w:rFonts w:ascii="Arial" w:cs="Arial" w:eastAsia="Arial" w:hAnsi="Arial"/>
          <w:sz w:val="20"/>
          <w:szCs w:val="20"/>
          <w:color w:val="auto"/>
        </w:rPr>
        <w:t>by voting electronically at the Annual Meeting.</w:t>
      </w:r>
    </w:p>
    <w:p>
      <w:pPr>
        <w:spacing w:after="0" w:line="238" w:lineRule="exact"/>
        <w:rPr>
          <w:sz w:val="20"/>
          <w:szCs w:val="20"/>
          <w:color w:val="auto"/>
        </w:rPr>
      </w:pPr>
    </w:p>
    <w:p>
      <w:pPr>
        <w:jc w:val="both"/>
        <w:ind w:right="20"/>
        <w:spacing w:after="0" w:line="262" w:lineRule="auto"/>
        <w:rPr>
          <w:sz w:val="20"/>
          <w:szCs w:val="20"/>
          <w:color w:val="auto"/>
        </w:rPr>
      </w:pPr>
      <w:r>
        <w:rPr>
          <w:rFonts w:ascii="Arial" w:cs="Arial" w:eastAsia="Arial" w:hAnsi="Arial"/>
          <w:sz w:val="20"/>
          <w:szCs w:val="20"/>
          <w:color w:val="auto"/>
        </w:rPr>
        <w:t>Your most recent proxy card or Internet or telephone proxy is the one that is counted. Your virtual attendance at the Annual Meeting by itself will not revoke your proxy unless you give written notice of revocation to the Secretary before your proxy is voted or you vote electronically during the Annual Meeting.</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If your shares are held in street name, you may change or revoke your voting instructions by following the specific directions provided to you by your bank or broker, or you may vote electronically during the Annual Meeting.</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will count the votes?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A representative of Broadridge Financial Solutions, Inc., our inspector of election, will tabulate and certify the votes.</w:t>
      </w:r>
    </w:p>
    <w:p>
      <w:pPr>
        <w:spacing w:after="0" w:line="2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do not specify how my shares are to be voted?</w:t>
      </w:r>
    </w:p>
    <w:p>
      <w:pPr>
        <w:spacing w:after="0" w:line="24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If you submit a proxy but do not indicate any voting instructions, the persons named as proxies will vote in accordance with the recommendations of the Board. The Board’s recommendations are indicated on page 2 of this proxy statement, as well as with the description of each proposal in this proxy statement.</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Will any other business be conducted at the Annual Meeting?</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We know of no other business that will be presented at the Annual Meeting. If any other matter properly comes before the stockholders for a vote at the Annual Meeting, however, the proxy holders named on the Company’s proxy card will vote your shares in accordance with their best judgment.</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sectPr>
      </w:pPr>
    </w:p>
    <w:bookmarkStart w:id="10" w:name="page11"/>
    <w:bookmarkEnd w:id="10"/>
    <w:p>
      <w:pPr>
        <w:jc w:val="both"/>
        <w:spacing w:after="0" w:line="298" w:lineRule="auto"/>
        <w:rPr>
          <w:sz w:val="20"/>
          <w:szCs w:val="20"/>
          <w:color w:val="auto"/>
        </w:rPr>
      </w:pPr>
      <w:r>
        <w:rPr>
          <w:rFonts w:ascii="Arial" w:cs="Arial" w:eastAsia="Arial" w:hAnsi="Arial"/>
          <w:sz w:val="20"/>
          <w:szCs w:val="20"/>
          <w:b w:val="1"/>
          <w:bCs w:val="1"/>
          <w:color w:val="auto"/>
        </w:rPr>
        <w:t>How many votes are required for the approval of the proposals to be voted upon and how will abstentions and broker non-votes be treated?</w:t>
      </w:r>
    </w:p>
    <w:p>
      <w:pPr>
        <w:spacing w:after="0" w:line="175" w:lineRule="exact"/>
        <w:rPr>
          <w:sz w:val="20"/>
          <w:szCs w:val="20"/>
          <w:color w:val="auto"/>
        </w:rPr>
      </w:pPr>
    </w:p>
    <w:tbl>
      <w:tblPr>
        <w:tblLayout w:type="fixed"/>
        <w:tblInd w:w="170" w:type="dxa"/>
        <w:tblCellMar>
          <w:top w:w="0" w:type="dxa"/>
          <w:left w:w="0" w:type="dxa"/>
          <w:bottom w:w="0" w:type="dxa"/>
          <w:right w:w="0" w:type="dxa"/>
        </w:tblCellMar>
      </w:tblPr>
      <w:tr>
        <w:trPr>
          <w:trHeight w:val="243"/>
        </w:trPr>
        <w:tc>
          <w:tcPr>
            <w:tcW w:w="140" w:type="dxa"/>
            <w:vAlign w:val="bottom"/>
            <w:tcBorders>
              <w:top w:val="single" w:sz="8" w:color="auto"/>
              <w:left w:val="single" w:sz="8" w:color="auto"/>
            </w:tcBorders>
          </w:tcPr>
          <w:p>
            <w:pPr>
              <w:spacing w:after="0"/>
              <w:rPr>
                <w:sz w:val="21"/>
                <w:szCs w:val="21"/>
                <w:color w:val="auto"/>
              </w:rPr>
            </w:pPr>
          </w:p>
        </w:tc>
        <w:tc>
          <w:tcPr>
            <w:tcW w:w="3460" w:type="dxa"/>
            <w:vAlign w:val="bottom"/>
            <w:tcBorders>
              <w:top w:val="single" w:sz="8" w:color="auto"/>
              <w:right w:val="single" w:sz="8" w:color="auto"/>
            </w:tcBorders>
            <w:gridSpan w:val="3"/>
          </w:tcPr>
          <w:p>
            <w:pPr>
              <w:spacing w:after="0"/>
              <w:rPr>
                <w:sz w:val="20"/>
                <w:szCs w:val="20"/>
                <w:color w:val="auto"/>
              </w:rPr>
            </w:pPr>
            <w:r>
              <w:rPr>
                <w:rFonts w:ascii="Arial" w:cs="Arial" w:eastAsia="Arial" w:hAnsi="Arial"/>
                <w:sz w:val="16"/>
                <w:szCs w:val="16"/>
                <w:color w:val="auto"/>
              </w:rPr>
              <w:t>Proposal 1: Election of Directors</w:t>
            </w:r>
          </w:p>
        </w:tc>
        <w:tc>
          <w:tcPr>
            <w:tcW w:w="364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The plurality of the votes cast. This means that</w:t>
            </w:r>
          </w:p>
        </w:tc>
        <w:tc>
          <w:tcPr>
            <w:tcW w:w="324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6"/>
                <w:szCs w:val="16"/>
                <w:color w:val="auto"/>
              </w:rPr>
              <w:t>Votes withheld and broker non-votes will</w:t>
            </w:r>
          </w:p>
        </w:tc>
        <w:tc>
          <w:tcPr>
            <w:tcW w:w="0" w:type="dxa"/>
            <w:vAlign w:val="bottom"/>
          </w:tcPr>
          <w:p>
            <w:pPr>
              <w:spacing w:after="0"/>
              <w:rPr>
                <w:sz w:val="1"/>
                <w:szCs w:val="1"/>
                <w:color w:val="auto"/>
              </w:rPr>
            </w:pPr>
          </w:p>
        </w:tc>
      </w:tr>
      <w:tr>
        <w:trPr>
          <w:trHeight w:val="195"/>
        </w:trPr>
        <w:tc>
          <w:tcPr>
            <w:tcW w:w="140" w:type="dxa"/>
            <w:vAlign w:val="bottom"/>
            <w:tcBorders>
              <w:left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three (3) nominees receiving the highest</w:t>
            </w:r>
          </w:p>
        </w:tc>
        <w:tc>
          <w:tcPr>
            <w:tcW w:w="32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have no effect.</w:t>
            </w:r>
          </w:p>
        </w:tc>
        <w:tc>
          <w:tcPr>
            <w:tcW w:w="0" w:type="dxa"/>
            <w:vAlign w:val="bottom"/>
          </w:tcPr>
          <w:p>
            <w:pPr>
              <w:spacing w:after="0"/>
              <w:rPr>
                <w:sz w:val="1"/>
                <w:szCs w:val="1"/>
                <w:color w:val="auto"/>
              </w:rPr>
            </w:pPr>
          </w:p>
        </w:tc>
      </w:tr>
      <w:tr>
        <w:trPr>
          <w:trHeight w:val="189"/>
        </w:trPr>
        <w:tc>
          <w:tcPr>
            <w:tcW w:w="140" w:type="dxa"/>
            <w:vAlign w:val="bottom"/>
            <w:tcBorders>
              <w:left w:val="single" w:sz="8" w:color="auto"/>
            </w:tcBorders>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Borders>
              <w:right w:val="single" w:sz="8" w:color="auto"/>
            </w:tcBorders>
          </w:tcPr>
          <w:p>
            <w:pPr>
              <w:spacing w:after="0"/>
              <w:rPr>
                <w:sz w:val="16"/>
                <w:szCs w:val="16"/>
                <w:color w:val="auto"/>
              </w:rPr>
            </w:pPr>
          </w:p>
        </w:tc>
        <w:tc>
          <w:tcPr>
            <w:tcW w:w="36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number of affirmative “FOR” votes will be</w:t>
            </w:r>
          </w:p>
        </w:tc>
        <w:tc>
          <w:tcPr>
            <w:tcW w:w="32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40" w:type="dxa"/>
            <w:vAlign w:val="bottom"/>
            <w:tcBorders>
              <w:left w:val="single" w:sz="8" w:color="auto"/>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80" w:type="dxa"/>
            <w:vAlign w:val="bottom"/>
            <w:tcBorders>
              <w:bottom w:val="single" w:sz="8" w:color="auto"/>
              <w:right w:val="single" w:sz="8" w:color="auto"/>
            </w:tcBorders>
          </w:tcPr>
          <w:p>
            <w:pPr>
              <w:spacing w:after="0"/>
              <w:rPr>
                <w:sz w:val="19"/>
                <w:szCs w:val="19"/>
                <w:color w:val="auto"/>
              </w:rPr>
            </w:pP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elected as Class II Directors.</w:t>
            </w:r>
          </w:p>
        </w:tc>
        <w:tc>
          <w:tcPr>
            <w:tcW w:w="324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Borders>
              <w:left w:val="single" w:sz="8" w:color="auto"/>
            </w:tcBorders>
          </w:tcPr>
          <w:p>
            <w:pPr>
              <w:spacing w:after="0"/>
              <w:rPr>
                <w:sz w:val="19"/>
                <w:szCs w:val="19"/>
                <w:color w:val="auto"/>
              </w:rPr>
            </w:pPr>
          </w:p>
        </w:tc>
        <w:tc>
          <w:tcPr>
            <w:tcW w:w="3460" w:type="dxa"/>
            <w:vAlign w:val="bottom"/>
            <w:tcBorders>
              <w:right w:val="single" w:sz="8" w:color="auto"/>
            </w:tcBorders>
            <w:gridSpan w:val="3"/>
          </w:tcPr>
          <w:p>
            <w:pPr>
              <w:spacing w:after="0"/>
              <w:rPr>
                <w:sz w:val="20"/>
                <w:szCs w:val="20"/>
                <w:color w:val="auto"/>
              </w:rPr>
            </w:pPr>
            <w:r>
              <w:rPr>
                <w:rFonts w:ascii="Arial" w:cs="Arial" w:eastAsia="Arial" w:hAnsi="Arial"/>
                <w:sz w:val="16"/>
                <w:szCs w:val="16"/>
                <w:color w:val="auto"/>
              </w:rPr>
              <w:t>Proposal 2:</w:t>
            </w:r>
          </w:p>
        </w:tc>
        <w:tc>
          <w:tcPr>
            <w:tcW w:w="36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The affirmative vote of the holders of a majority</w:t>
            </w:r>
          </w:p>
        </w:tc>
        <w:tc>
          <w:tcPr>
            <w:tcW w:w="32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Abstentions (and broker non-votes, if any)</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700" w:type="dxa"/>
            <w:vAlign w:val="bottom"/>
            <w:tcBorders>
              <w:right w:val="single" w:sz="8" w:color="auto"/>
            </w:tcBorders>
            <w:gridSpan w:val="2"/>
          </w:tcPr>
          <w:p>
            <w:pPr>
              <w:spacing w:after="0" w:line="20" w:lineRule="exact"/>
              <w:rPr>
                <w:sz w:val="1"/>
                <w:szCs w:val="1"/>
                <w:color w:val="auto"/>
              </w:rPr>
            </w:pPr>
          </w:p>
        </w:tc>
        <w:tc>
          <w:tcPr>
            <w:tcW w:w="3640" w:type="dxa"/>
            <w:vAlign w:val="bottom"/>
            <w:tcBorders>
              <w:right w:val="single" w:sz="8" w:color="auto"/>
            </w:tcBorders>
            <w:vMerge w:val="restart"/>
          </w:tcPr>
          <w:p>
            <w:pPr>
              <w:ind w:left="100"/>
              <w:spacing w:after="0"/>
              <w:rPr>
                <w:sz w:val="20"/>
                <w:szCs w:val="20"/>
                <w:color w:val="auto"/>
              </w:rPr>
            </w:pPr>
            <w:r>
              <w:rPr>
                <w:rFonts w:ascii="Arial" w:cs="Arial" w:eastAsia="Arial" w:hAnsi="Arial"/>
                <w:sz w:val="16"/>
                <w:szCs w:val="16"/>
                <w:color w:val="auto"/>
              </w:rPr>
              <w:t>in voting power of the votes cast (excluding</w:t>
            </w:r>
          </w:p>
        </w:tc>
        <w:tc>
          <w:tcPr>
            <w:tcW w:w="3240" w:type="dxa"/>
            <w:vAlign w:val="bottom"/>
            <w:tcBorders>
              <w:right w:val="single" w:sz="8" w:color="auto"/>
            </w:tcBorders>
            <w:vMerge w:val="restart"/>
          </w:tcPr>
          <w:p>
            <w:pPr>
              <w:ind w:left="60"/>
              <w:spacing w:after="0"/>
              <w:rPr>
                <w:sz w:val="20"/>
                <w:szCs w:val="20"/>
                <w:color w:val="auto"/>
              </w:rPr>
            </w:pPr>
            <w:r>
              <w:rPr>
                <w:rFonts w:ascii="Arial" w:cs="Arial" w:eastAsia="Arial" w:hAnsi="Arial"/>
                <w:sz w:val="16"/>
                <w:szCs w:val="16"/>
                <w:color w:val="auto"/>
              </w:rPr>
              <w:t>will have no effect. We do not expect any</w:t>
            </w:r>
          </w:p>
        </w:tc>
        <w:tc>
          <w:tcPr>
            <w:tcW w:w="0" w:type="dxa"/>
            <w:vAlign w:val="bottom"/>
          </w:tcPr>
          <w:p>
            <w:pPr>
              <w:spacing w:after="0" w:line="20" w:lineRule="exact"/>
              <w:rPr>
                <w:sz w:val="1"/>
                <w:szCs w:val="1"/>
                <w:color w:val="auto"/>
              </w:rPr>
            </w:pPr>
          </w:p>
        </w:tc>
      </w:tr>
      <w:tr>
        <w:trPr>
          <w:trHeight w:val="196"/>
        </w:trPr>
        <w:tc>
          <w:tcPr>
            <w:tcW w:w="360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6"/>
                <w:szCs w:val="16"/>
                <w:color w:val="auto"/>
              </w:rPr>
              <w:t>Ratification of Appointment of Independent</w:t>
            </w:r>
          </w:p>
        </w:tc>
        <w:tc>
          <w:tcPr>
            <w:tcW w:w="3640" w:type="dxa"/>
            <w:vAlign w:val="bottom"/>
            <w:tcBorders>
              <w:right w:val="single" w:sz="8" w:color="auto"/>
            </w:tcBorders>
            <w:vMerge w:val="continue"/>
          </w:tcPr>
          <w:p>
            <w:pPr>
              <w:spacing w:after="0"/>
              <w:rPr>
                <w:sz w:val="17"/>
                <w:szCs w:val="17"/>
                <w:color w:val="auto"/>
              </w:rPr>
            </w:pPr>
          </w:p>
        </w:tc>
        <w:tc>
          <w:tcPr>
            <w:tcW w:w="32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Borders>
              <w:left w:val="single" w:sz="8" w:color="auto"/>
              <w:right w:val="single" w:sz="8" w:color="auto"/>
            </w:tcBorders>
            <w:gridSpan w:val="4"/>
          </w:tcPr>
          <w:p>
            <w:pPr>
              <w:ind w:left="40"/>
              <w:spacing w:after="0"/>
              <w:rPr>
                <w:sz w:val="20"/>
                <w:szCs w:val="20"/>
                <w:color w:val="auto"/>
              </w:rPr>
            </w:pPr>
            <w:r>
              <w:rPr>
                <w:rFonts w:ascii="Arial" w:cs="Arial" w:eastAsia="Arial" w:hAnsi="Arial"/>
                <w:sz w:val="16"/>
                <w:szCs w:val="16"/>
                <w:color w:val="auto"/>
              </w:rPr>
              <w:t>Registered Public Accounting Firm</w:t>
            </w:r>
          </w:p>
        </w:tc>
        <w:tc>
          <w:tcPr>
            <w:tcW w:w="3640" w:type="dxa"/>
            <w:vAlign w:val="bottom"/>
            <w:tcBorders>
              <w:right w:val="single" w:sz="8" w:color="auto"/>
            </w:tcBorders>
          </w:tcPr>
          <w:p>
            <w:pPr>
              <w:ind w:left="100"/>
              <w:spacing w:after="0"/>
              <w:rPr>
                <w:sz w:val="20"/>
                <w:szCs w:val="20"/>
                <w:color w:val="auto"/>
              </w:rPr>
            </w:pPr>
            <w:r>
              <w:rPr>
                <w:rFonts w:ascii="Arial" w:cs="Arial" w:eastAsia="Arial" w:hAnsi="Arial"/>
                <w:sz w:val="16"/>
                <w:szCs w:val="16"/>
                <w:color w:val="auto"/>
              </w:rPr>
              <w:t>abstentions and broker non-votes) on such</w:t>
            </w:r>
          </w:p>
        </w:tc>
        <w:tc>
          <w:tcPr>
            <w:tcW w:w="324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broker non-votes on this proposal.</w:t>
            </w:r>
          </w:p>
        </w:tc>
        <w:tc>
          <w:tcPr>
            <w:tcW w:w="0" w:type="dxa"/>
            <w:vAlign w:val="bottom"/>
          </w:tcPr>
          <w:p>
            <w:pPr>
              <w:spacing w:after="0"/>
              <w:rPr>
                <w:sz w:val="1"/>
                <w:szCs w:val="1"/>
                <w:color w:val="auto"/>
              </w:rPr>
            </w:pPr>
          </w:p>
        </w:tc>
      </w:tr>
      <w:tr>
        <w:trPr>
          <w:trHeight w:val="215"/>
        </w:trPr>
        <w:tc>
          <w:tcPr>
            <w:tcW w:w="140" w:type="dxa"/>
            <w:vAlign w:val="bottom"/>
            <w:tcBorders>
              <w:left w:val="single" w:sz="8" w:color="auto"/>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80" w:type="dxa"/>
            <w:vAlign w:val="bottom"/>
            <w:tcBorders>
              <w:bottom w:val="single" w:sz="8" w:color="auto"/>
              <w:right w:val="single" w:sz="8" w:color="auto"/>
            </w:tcBorders>
          </w:tcPr>
          <w:p>
            <w:pPr>
              <w:spacing w:after="0"/>
              <w:rPr>
                <w:sz w:val="18"/>
                <w:szCs w:val="18"/>
                <w:color w:val="auto"/>
              </w:rPr>
            </w:pPr>
          </w:p>
        </w:tc>
        <w:tc>
          <w:tcPr>
            <w:tcW w:w="36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matter.</w:t>
            </w:r>
          </w:p>
        </w:tc>
        <w:tc>
          <w:tcPr>
            <w:tcW w:w="32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a “vote withheld” and an “abstention” and do they count for determining a quorum?</w:t>
      </w: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A “vote withheld,” in the case of the proposal regarding the election of directors, or an “abstention,” in the case of the proposal regarding the ratification of the appointment of BDO USA, P.C. as our independent registered accounting firm, represents a stockholder’s affirmative choice to decline to vote on a proposal. Votes withheld and abstentions are counted as present and entitled to vote for purposes of determining a quorum.</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are broker non-votes and do they count for determining a quorum?</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Generally, broker non-votes occur when shares held by a broker in “street name” for a beneficial owner are not voted with respect to a particular proposal because the broker (1) has not received voting instructions from the beneficial owner and (2) lacks discretionary voting power to vote those shares. A broker is entitled to vote shares held for a beneficial owner on routine matters, such as the ratification of the appointment of BDO USA, P.C. as our independent registered public accounting firm, without instructions from the beneficial owner of those shares. On the other hand, absent instructions from the beneficial owner of such shares, a broker is not entitled to vote shares held for a beneficial owner on non-routine matters, such as the election of directors. Broker non- votes count for purposes of determining whether a quorum is present.</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Where will I be able to find the voting results of the Annual Meeting?</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We plan to announce preliminary voting results at the Annual Meeting and we will report the final results in a Current Report on Form 8-K, which we intend to file with the SEC shortly after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1" w:name="page12"/>
    <w:bookmarkEnd w:id="11"/>
    <w:p>
      <w:pPr>
        <w:spacing w:after="0"/>
        <w:rPr>
          <w:sz w:val="20"/>
          <w:szCs w:val="20"/>
          <w:color w:val="auto"/>
        </w:rPr>
      </w:pPr>
      <w:r>
        <w:rPr>
          <w:rFonts w:ascii="Arial" w:cs="Arial" w:eastAsia="Arial" w:hAnsi="Arial"/>
          <w:sz w:val="20"/>
          <w:szCs w:val="20"/>
          <w:b w:val="1"/>
          <w:bCs w:val="1"/>
          <w:color w:val="0094FF"/>
        </w:rPr>
        <w:t>PROPOSAL 1: Election of Directors</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At the Annual Meeting, three (3) Class II Directors are to be elected to hold office until the Annual Meeting of Stockholders to be held in 2029 and until each such director’s respective successor is elected and qualified or until such director’s earlier death, resignation or removal.</w:t>
      </w:r>
    </w:p>
    <w:p>
      <w:pPr>
        <w:spacing w:after="0" w:line="232"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We currently have six (6) directors on our Board. The proposal regarding the election of directors requires the approval of a plurality of the votes cast. This means that the three nominees receiving the highest number of affirmative “FOR” votes will be elected as Class II Directors. Votes withheld and broker non-votes will have no effect on the outcome of the vote on this proposal.</w:t>
      </w:r>
    </w:p>
    <w:p>
      <w:pPr>
        <w:spacing w:after="0" w:line="211"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Our Board is currently divided into three classes with staggered, three-year terms. At each annual meeting of stockholders, the successor to each director whose term then expires will be elected to serve from the time of election and qualification until the third annual meeting of stockholders following election or such director’s death, resignation or removal, whichever is earliest to occur. The current class structure is as follows: Class I, whose current term will expire at the 2028 Annual Meeting of Stockholders; Class II, whose current term expires at the Annual Meeting and, if elected at the Annual Meeting whose subsequent term will expire at the 2029 Annual Meeting of Stockholders; and Class III, whose current term will expire at the 2027 Annual Meeting of Stockholders. The current Class I Director is Beth Gerstein; the current Class II Directors are Eric Grossberg, Attica A. Jaques, and Gavin M. Turner; and the current Class III Directors are Jennifer N. Harris and Beth J. Kaplan.</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In connection with the initial public offering (“IPO”) of our Class A common stock in September 2021 we entered into a Stockholders Agreement (the “Stockholders Agreement”) by and among the Company, Just Rocks, Inc., a Delaware corporation (“Just Rocks’), an entity jointly owned and controlled by our co-founders Beth Gerstein and Eric Grossberg, and Mainsail (as defined below). Pursuant to the terms of the Stockholders Agreement, each of Mainsail and Just Rocks have been granted certain Board designation rights so long as each maintains a specified percentage of ownership of our outstanding Common Stock. Beth Gerstein and Eric Grossberg have been designated by Just Rocks as a Class I and a Class II director, respectively. Gavin M. Turner and Beth J. Kaplan have been designated by Mainsail as a Class II and a Class III director, respectively. In addition, pursuant to the terms of the Stockholders Agreement, each of Mainsail and Just Rocks have agreed to vote, or cause to vote, all of their outstanding shares of our Common Stock at any annual or special meeting of stockholders at which directors are elected and to take all necessary action to cause the election of the Mainsail designated directors and Just Rocks designated directors. As a result of the Stockholders Agreement and the aggregate voting power of the parties to the agreement, we expect that the parties to the agreement acting in conjunction will control the election of directors of the Company. For more information, see “Corporate Governance—Stockholders Agreement” and “—Controlled Company.”</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If you submit a proxy but do not indicate any voting instructions, the persons named as proxies will vote the shares of Common Stock represented by the proxy for the election as Class II Directors the nominees whose names and biographies appear below. All of the nominees whose names and biographies appear below are currently serving as our directors. In the event any of the nominees should become unable to serve or for good cause will not serve as a director, it is intended that votes will be cast for a substitute nominee designated by the Board or the Board may elect to reduce its size. The Board has no reason to believe that the nominees named below will be unable to serve if elected. Each of the nominees has consented to being named in this proxy statement and to serve if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2" w:name="page13"/>
    <w:bookmarkEnd w:id="12"/>
    <w:p>
      <w:pPr>
        <w:spacing w:after="0"/>
        <w:rPr>
          <w:sz w:val="20"/>
          <w:szCs w:val="20"/>
          <w:color w:val="auto"/>
        </w:rPr>
      </w:pPr>
      <w:r>
        <w:rPr>
          <w:rFonts w:ascii="Arial" w:cs="Arial" w:eastAsia="Arial" w:hAnsi="Arial"/>
          <w:sz w:val="20"/>
          <w:szCs w:val="20"/>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194945</wp:posOffset>
            </wp:positionV>
            <wp:extent cx="7149465" cy="2057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05740"/>
                    </a:xfrm>
                    <a:prstGeom prst="rect">
                      <a:avLst/>
                    </a:prstGeom>
                    <a:noFill/>
                  </pic:spPr>
                </pic:pic>
              </a:graphicData>
            </a:graphic>
          </wp:anchor>
        </w:drawing>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Board of Directors unanimously recommends a vote FOR the election of the below listed Class II directors.</w:t>
      </w:r>
    </w:p>
    <w:p>
      <w:pPr>
        <w:spacing w:after="0" w:line="3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NOMINEES FOR CLASS II DIRECTORS (CURRENT TERMS TO EXPIRE AT THE 2026 ANNUAL MEETING)</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current members of the Board who are also nominees for election to the Board as Class II Directors are as follows:</w:t>
      </w:r>
    </w:p>
    <w:p>
      <w:pPr>
        <w:spacing w:after="0" w:line="285" w:lineRule="exact"/>
        <w:rPr>
          <w:sz w:val="20"/>
          <w:szCs w:val="20"/>
          <w:color w:val="auto"/>
        </w:rPr>
      </w:pPr>
    </w:p>
    <w:tbl>
      <w:tblPr>
        <w:tblLayout w:type="fixed"/>
        <w:tblInd w:w="270" w:type="dxa"/>
        <w:tblCellMar>
          <w:top w:w="0" w:type="dxa"/>
          <w:left w:w="0" w:type="dxa"/>
          <w:bottom w:w="0" w:type="dxa"/>
          <w:right w:w="0" w:type="dxa"/>
        </w:tblCellMar>
      </w:tblPr>
      <w:tr>
        <w:trPr>
          <w:trHeight w:val="331"/>
        </w:trPr>
        <w:tc>
          <w:tcPr>
            <w:tcW w:w="2520" w:type="dxa"/>
            <w:vAlign w:val="bottom"/>
            <w:tcBorders>
              <w:top w:val="single" w:sz="8" w:color="auto"/>
              <w:left w:val="single" w:sz="8" w:color="auto"/>
              <w:right w:val="single" w:sz="8" w:color="auto"/>
            </w:tcBorders>
          </w:tcPr>
          <w:p>
            <w:pPr>
              <w:ind w:left="1000"/>
              <w:spacing w:after="0"/>
              <w:rPr>
                <w:sz w:val="20"/>
                <w:szCs w:val="20"/>
                <w:color w:val="auto"/>
              </w:rPr>
            </w:pPr>
            <w:r>
              <w:rPr>
                <w:rFonts w:ascii="Arial" w:cs="Arial" w:eastAsia="Arial" w:hAnsi="Arial"/>
                <w:sz w:val="20"/>
                <w:szCs w:val="20"/>
                <w:b w:val="1"/>
                <w:bCs w:val="1"/>
                <w:color w:val="auto"/>
              </w:rPr>
              <w:t>Name</w:t>
            </w:r>
          </w:p>
        </w:tc>
        <w:tc>
          <w:tcPr>
            <w:tcW w:w="1860" w:type="dxa"/>
            <w:vAlign w:val="bottom"/>
            <w:tcBorders>
              <w:top w:val="single" w:sz="8" w:color="auto"/>
              <w:right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Age</w:t>
            </w:r>
          </w:p>
        </w:tc>
        <w:tc>
          <w:tcPr>
            <w:tcW w:w="21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Director Since</w:t>
            </w:r>
          </w:p>
        </w:tc>
        <w:tc>
          <w:tcPr>
            <w:tcW w:w="3300" w:type="dxa"/>
            <w:vAlign w:val="bottom"/>
            <w:tcBorders>
              <w:top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Position with the Company</w:t>
            </w:r>
          </w:p>
        </w:tc>
      </w:tr>
      <w:tr>
        <w:trPr>
          <w:trHeight w:val="20"/>
        </w:trPr>
        <w:tc>
          <w:tcPr>
            <w:tcW w:w="25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1860" w:type="dxa"/>
            <w:vAlign w:val="bottom"/>
            <w:tcBorders>
              <w:bottom w:val="single" w:sz="8" w:color="auto"/>
              <w:right w:val="single" w:sz="8" w:color="auto"/>
            </w:tcBorders>
          </w:tcPr>
          <w:p>
            <w:pPr>
              <w:spacing w:after="0" w:line="20" w:lineRule="exact"/>
              <w:rPr>
                <w:sz w:val="1"/>
                <w:szCs w:val="1"/>
                <w:color w:val="auto"/>
              </w:rPr>
            </w:pPr>
          </w:p>
        </w:tc>
        <w:tc>
          <w:tcPr>
            <w:tcW w:w="2180" w:type="dxa"/>
            <w:vAlign w:val="bottom"/>
            <w:tcBorders>
              <w:bottom w:val="single" w:sz="8" w:color="auto"/>
              <w:right w:val="single" w:sz="8" w:color="auto"/>
            </w:tcBorders>
          </w:tcPr>
          <w:p>
            <w:pPr>
              <w:spacing w:after="0" w:line="20" w:lineRule="exact"/>
              <w:rPr>
                <w:sz w:val="1"/>
                <w:szCs w:val="1"/>
                <w:color w:val="auto"/>
              </w:rPr>
            </w:pPr>
          </w:p>
        </w:tc>
        <w:tc>
          <w:tcPr>
            <w:tcW w:w="3300" w:type="dxa"/>
            <w:vAlign w:val="bottom"/>
            <w:tcBorders>
              <w:bottom w:val="single" w:sz="8" w:color="auto"/>
              <w:right w:val="single" w:sz="8" w:color="auto"/>
            </w:tcBorders>
          </w:tcPr>
          <w:p>
            <w:pPr>
              <w:spacing w:after="0" w:line="20" w:lineRule="exact"/>
              <w:rPr>
                <w:sz w:val="1"/>
                <w:szCs w:val="1"/>
                <w:color w:val="auto"/>
              </w:rPr>
            </w:pPr>
          </w:p>
        </w:tc>
      </w:tr>
      <w:tr>
        <w:trPr>
          <w:trHeight w:val="281"/>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Eric Grossberg</w:t>
            </w:r>
          </w:p>
        </w:tc>
        <w:tc>
          <w:tcPr>
            <w:tcW w:w="18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49</w:t>
            </w:r>
          </w:p>
        </w:tc>
        <w:tc>
          <w:tcPr>
            <w:tcW w:w="21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30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w w:val="99"/>
              </w:rPr>
              <w:t>Executive Chairman</w:t>
            </w: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81"/>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Attica A. Jaques</w:t>
            </w:r>
          </w:p>
        </w:tc>
        <w:tc>
          <w:tcPr>
            <w:tcW w:w="18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53</w:t>
            </w:r>
          </w:p>
        </w:tc>
        <w:tc>
          <w:tcPr>
            <w:tcW w:w="21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30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rPr>
              <w:t>Director</w:t>
            </w: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r>
        <w:trPr>
          <w:trHeight w:val="281"/>
        </w:trPr>
        <w:tc>
          <w:tcPr>
            <w:tcW w:w="25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Gavin M. Turner</w:t>
            </w:r>
          </w:p>
        </w:tc>
        <w:tc>
          <w:tcPr>
            <w:tcW w:w="1860" w:type="dxa"/>
            <w:vAlign w:val="bottom"/>
            <w:tcBorders>
              <w:right w:val="single" w:sz="8" w:color="auto"/>
            </w:tcBorders>
          </w:tcPr>
          <w:p>
            <w:pPr>
              <w:jc w:val="right"/>
              <w:ind w:right="550"/>
              <w:spacing w:after="0"/>
              <w:rPr>
                <w:sz w:val="20"/>
                <w:szCs w:val="20"/>
                <w:color w:val="auto"/>
              </w:rPr>
            </w:pPr>
            <w:r>
              <w:rPr>
                <w:rFonts w:ascii="Arial" w:cs="Arial" w:eastAsia="Arial" w:hAnsi="Arial"/>
                <w:sz w:val="18"/>
                <w:szCs w:val="18"/>
                <w:color w:val="auto"/>
              </w:rPr>
              <w:t>53</w:t>
            </w:r>
          </w:p>
        </w:tc>
        <w:tc>
          <w:tcPr>
            <w:tcW w:w="2180" w:type="dxa"/>
            <w:vAlign w:val="bottom"/>
            <w:tcBorders>
              <w:right w:val="single" w:sz="8" w:color="auto"/>
            </w:tcBorders>
          </w:tcPr>
          <w:p>
            <w:pPr>
              <w:jc w:val="right"/>
              <w:ind w:right="410"/>
              <w:spacing w:after="0"/>
              <w:rPr>
                <w:sz w:val="20"/>
                <w:szCs w:val="20"/>
                <w:color w:val="auto"/>
              </w:rPr>
            </w:pPr>
            <w:r>
              <w:rPr>
                <w:rFonts w:ascii="Arial" w:cs="Arial" w:eastAsia="Arial" w:hAnsi="Arial"/>
                <w:sz w:val="18"/>
                <w:szCs w:val="18"/>
                <w:color w:val="auto"/>
              </w:rPr>
              <w:t>2021</w:t>
            </w:r>
          </w:p>
        </w:tc>
        <w:tc>
          <w:tcPr>
            <w:tcW w:w="3300" w:type="dxa"/>
            <w:vAlign w:val="bottom"/>
            <w:tcBorders>
              <w:right w:val="single" w:sz="8" w:color="auto"/>
            </w:tcBorders>
          </w:tcPr>
          <w:p>
            <w:pPr>
              <w:jc w:val="center"/>
              <w:ind w:right="850"/>
              <w:spacing w:after="0"/>
              <w:rPr>
                <w:sz w:val="20"/>
                <w:szCs w:val="20"/>
                <w:color w:val="auto"/>
              </w:rPr>
            </w:pPr>
            <w:r>
              <w:rPr>
                <w:rFonts w:ascii="Arial" w:cs="Arial" w:eastAsia="Arial" w:hAnsi="Arial"/>
                <w:sz w:val="18"/>
                <w:szCs w:val="18"/>
                <w:color w:val="auto"/>
              </w:rPr>
              <w:t>Director</w:t>
            </w:r>
          </w:p>
        </w:tc>
      </w:tr>
      <w:tr>
        <w:trPr>
          <w:trHeight w:val="23"/>
        </w:trPr>
        <w:tc>
          <w:tcPr>
            <w:tcW w:w="2520" w:type="dxa"/>
            <w:vAlign w:val="bottom"/>
            <w:tcBorders>
              <w:left w:val="single" w:sz="8" w:color="auto"/>
              <w:bottom w:val="single" w:sz="8" w:color="auto"/>
              <w:right w:val="single" w:sz="8" w:color="auto"/>
            </w:tcBorders>
          </w:tcPr>
          <w:p>
            <w:pPr>
              <w:spacing w:after="0"/>
              <w:rPr>
                <w:sz w:val="2"/>
                <w:szCs w:val="2"/>
                <w:color w:val="auto"/>
              </w:rPr>
            </w:pPr>
          </w:p>
        </w:tc>
        <w:tc>
          <w:tcPr>
            <w:tcW w:w="1860" w:type="dxa"/>
            <w:vAlign w:val="bottom"/>
            <w:tcBorders>
              <w:bottom w:val="single" w:sz="8" w:color="auto"/>
              <w:right w:val="single" w:sz="8" w:color="auto"/>
            </w:tcBorders>
          </w:tcPr>
          <w:p>
            <w:pPr>
              <w:spacing w:after="0"/>
              <w:rPr>
                <w:sz w:val="2"/>
                <w:szCs w:val="2"/>
                <w:color w:val="auto"/>
              </w:rPr>
            </w:pPr>
          </w:p>
        </w:tc>
        <w:tc>
          <w:tcPr>
            <w:tcW w:w="2180" w:type="dxa"/>
            <w:vAlign w:val="bottom"/>
            <w:tcBorders>
              <w:bottom w:val="single" w:sz="8" w:color="auto"/>
              <w:right w:val="single" w:sz="8" w:color="auto"/>
            </w:tcBorders>
          </w:tcPr>
          <w:p>
            <w:pPr>
              <w:spacing w:after="0"/>
              <w:rPr>
                <w:sz w:val="2"/>
                <w:szCs w:val="2"/>
                <w:color w:val="auto"/>
              </w:rPr>
            </w:pPr>
          </w:p>
        </w:tc>
        <w:tc>
          <w:tcPr>
            <w:tcW w:w="3300" w:type="dxa"/>
            <w:vAlign w:val="bottom"/>
            <w:tcBorders>
              <w:bottom w:val="single" w:sz="8" w:color="auto"/>
              <w:right w:val="single" w:sz="8" w:color="auto"/>
            </w:tcBorders>
          </w:tcPr>
          <w:p>
            <w:pPr>
              <w:spacing w:after="0"/>
              <w:rPr>
                <w:sz w:val="2"/>
                <w:szCs w:val="2"/>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Eric Grossberg</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Mr. Grossberg has served as Brilliant Earth Group, Inc.’s Executive Chairman of the Board since its formation, and he co-founded Brilliant Earth, LLC in 2005 and served as its co-Chief Executive Officer from its founding until March 2021 and as a member of its board of managers from its founding to September 2021. Mr. Grossberg received a Bachelor of Arts in Environmental Science &amp; Public Policy from Harvard University and an MBA from the Stanford University Graduate School of Business. We believe Mr. Grossberg is qualified to serve as a member of our Board because of the perspective and experience he brings as our co-founder and former co-Chief Executive Officer.</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Attica A. Jaques</w:t>
      </w:r>
    </w:p>
    <w:p>
      <w:pPr>
        <w:spacing w:after="0" w:line="20"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Ms. Jaques has served as a member of Brilliant Earth Group, Inc.’s Board since its formation and served as a member of the board of managers of Brilliant Earth, LLC from June 2021 to September 2021. Since August 2024, Ms. Jaques has served as SVP &amp; General Manager, US Marketing for Ancestry.com LLC, a genealogy company. From December 2019 to April 2023, Ms. Jaques served as Head of Global Brand Marketing, Consumer Apps at Google LLC. Prior to joining Google, she was Senior Vice President of Global Brand Management at Under Armour, Inc. from April 2016 to August 2019. Prior to this, Ms. Jaques was the Vice President of Global Marketing at the Gap from February 2013 to January 2016 where she successfully launched the Gap, Banana Republic and Old Navy in international markets and built upon her marketing experience in luxury fashion and public relations at Barney’s New York and Prada. Ms. Jaques has received numerous awards and honors, including the Cannes Lion Award for Marketing Innovation in June 2021, being named one of the most influential women in business by Black Enterprise in February 2019, and being named Advertising Age’s “Women to Watch” in June 2015. Ms. Jaques has also served on the board of directors of Mission Advancement Corp. and was previously on the board of the Smithsonian Museum from 2015 until 2020. Ms. Jaques received a Master’s degree in Strategic Communications from Columbia University and a Bachelor’s degree in Sociology from UCLA. We believe Ms. Jaques is qualified to serve as a member of our Board because of her extensive experience into the development of global brands, multi-channel retailing, and emerging market and channel opportunities.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Gavin M. Turner</w:t>
      </w:r>
    </w:p>
    <w:p>
      <w:pPr>
        <w:spacing w:after="0" w:line="33"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Mr. Turner has served as a member of Brilliant Earth Group, Inc.’s Board since its formation and served as a member of the board of managers of Brilliant Earth, LLC from December 2012 to September 2021. Mr. Turner co-founded Mainsail Partners, a growth equity investment firm, in April</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20"/>
          <w:szCs w:val="20"/>
          <w:color w:val="auto"/>
        </w:rPr>
        <w:t>2003 and has served as a Managing Partner since the firm’s inception. Prior to founding Mainsail, Mr. Turner held a variety of investment roles at Summit Partners, a global venture capital firm from 1995 to 2002. Altogether, Mr. Turner has over 25 years of experience as a growth equity investor in private technology companies, and has served on numerous private company boards. Mr. Turner received a Bachelor of Economics from Stanford University and an MBA from Stanford University Graduate School of Business. We believe Mr. Turner is qualified to serve as a member of our Board because of his extensive experience in the private equity industry, his business and leadership experience, and his experience with scaling technology companies.</w:t>
      </w:r>
    </w:p>
    <w:p>
      <w:pPr>
        <w:spacing w:after="0" w:line="200" w:lineRule="exact"/>
        <w:rPr>
          <w:sz w:val="20"/>
          <w:szCs w:val="20"/>
          <w:color w:val="auto"/>
        </w:rPr>
      </w:pPr>
    </w:p>
    <w:p>
      <w:pPr>
        <w:spacing w:after="0" w:line="255" w:lineRule="exact"/>
        <w:rPr>
          <w:sz w:val="20"/>
          <w:szCs w:val="20"/>
          <w:color w:val="auto"/>
        </w:rPr>
      </w:pPr>
    </w:p>
    <w:p>
      <w:pPr>
        <w:ind w:right="3820"/>
        <w:spacing w:after="0" w:line="298" w:lineRule="auto"/>
        <w:rPr>
          <w:sz w:val="20"/>
          <w:szCs w:val="20"/>
          <w:color w:val="auto"/>
        </w:rPr>
      </w:pPr>
      <w:r>
        <w:rPr>
          <w:rFonts w:ascii="Arial" w:cs="Arial" w:eastAsia="Arial" w:hAnsi="Arial"/>
          <w:sz w:val="20"/>
          <w:szCs w:val="20"/>
          <w:b w:val="1"/>
          <w:bCs w:val="1"/>
          <w:color w:val="auto"/>
        </w:rPr>
        <w:t>CONTINUING MEMBERS OF THE BOARD OF DIRECTORS: CLASS I DIRECTOR (TERM TO EXPIRE AT THE 2028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The current member of the Board who is a Class I Director is:</w:t>
      </w:r>
    </w:p>
    <w:p>
      <w:pPr>
        <w:spacing w:after="0" w:line="200" w:lineRule="exact"/>
        <w:rPr>
          <w:sz w:val="20"/>
          <w:szCs w:val="20"/>
          <w:color w:val="auto"/>
        </w:rPr>
      </w:pPr>
    </w:p>
    <w:p>
      <w:pPr>
        <w:spacing w:after="0" w:line="328" w:lineRule="exact"/>
        <w:rPr>
          <w:sz w:val="20"/>
          <w:szCs w:val="20"/>
          <w:color w:val="auto"/>
        </w:rPr>
      </w:pPr>
    </w:p>
    <w:tbl>
      <w:tblPr>
        <w:tblLayout w:type="fixed"/>
        <w:tblInd w:w="270" w:type="dxa"/>
        <w:tblCellMar>
          <w:top w:w="0" w:type="dxa"/>
          <w:left w:w="0" w:type="dxa"/>
          <w:bottom w:w="0" w:type="dxa"/>
          <w:right w:w="0" w:type="dxa"/>
        </w:tblCellMar>
      </w:tblPr>
      <w:tr>
        <w:trPr>
          <w:trHeight w:val="331"/>
        </w:trPr>
        <w:tc>
          <w:tcPr>
            <w:tcW w:w="2920" w:type="dxa"/>
            <w:vAlign w:val="bottom"/>
            <w:tcBorders>
              <w:top w:val="single" w:sz="8" w:color="auto"/>
              <w:left w:val="single" w:sz="8" w:color="auto"/>
              <w:bottom w:val="single" w:sz="8" w:color="auto"/>
              <w:right w:val="single" w:sz="8" w:color="auto"/>
            </w:tcBorders>
          </w:tcPr>
          <w:p>
            <w:pPr>
              <w:ind w:left="1520"/>
              <w:spacing w:after="0"/>
              <w:rPr>
                <w:sz w:val="20"/>
                <w:szCs w:val="20"/>
                <w:color w:val="auto"/>
              </w:rPr>
            </w:pPr>
            <w:r>
              <w:rPr>
                <w:rFonts w:ascii="Arial" w:cs="Arial" w:eastAsia="Arial" w:hAnsi="Arial"/>
                <w:sz w:val="18"/>
                <w:szCs w:val="18"/>
                <w:b w:val="1"/>
                <w:bCs w:val="1"/>
                <w:color w:val="auto"/>
              </w:rPr>
              <w:t>Name</w:t>
            </w:r>
          </w:p>
        </w:tc>
        <w:tc>
          <w:tcPr>
            <w:tcW w:w="1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2400" w:type="dxa"/>
            <w:vAlign w:val="bottom"/>
            <w:tcBorders>
              <w:top w:val="single" w:sz="8" w:color="auto"/>
              <w:bottom w:val="single" w:sz="8" w:color="auto"/>
              <w:right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Director Since</w:t>
            </w:r>
          </w:p>
        </w:tc>
        <w:tc>
          <w:tcPr>
            <w:tcW w:w="3640" w:type="dxa"/>
            <w:vAlign w:val="bottom"/>
            <w:tcBorders>
              <w:top w:val="single" w:sz="8" w:color="auto"/>
              <w:bottom w:val="single" w:sz="8" w:color="auto"/>
              <w:right w:val="single" w:sz="8" w:color="auto"/>
            </w:tcBorders>
          </w:tcPr>
          <w:p>
            <w:pPr>
              <w:jc w:val="center"/>
              <w:ind w:right="750"/>
              <w:spacing w:after="0"/>
              <w:rPr>
                <w:sz w:val="20"/>
                <w:szCs w:val="20"/>
                <w:color w:val="auto"/>
              </w:rPr>
            </w:pPr>
            <w:r>
              <w:rPr>
                <w:rFonts w:ascii="Arial" w:cs="Arial" w:eastAsia="Arial" w:hAnsi="Arial"/>
                <w:sz w:val="18"/>
                <w:szCs w:val="18"/>
                <w:b w:val="1"/>
                <w:bCs w:val="1"/>
                <w:color w:val="auto"/>
              </w:rPr>
              <w:t>Position with the Company</w:t>
            </w:r>
          </w:p>
        </w:tc>
      </w:tr>
      <w:tr>
        <w:trPr>
          <w:trHeight w:val="318"/>
        </w:trPr>
        <w:tc>
          <w:tcPr>
            <w:tcW w:w="29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Beth Gerstein</w:t>
            </w:r>
          </w:p>
        </w:tc>
        <w:tc>
          <w:tcPr>
            <w:tcW w:w="1700" w:type="dxa"/>
            <w:vAlign w:val="bottom"/>
            <w:tcBorders>
              <w:bottom w:val="single" w:sz="8" w:color="auto"/>
              <w:right w:val="single" w:sz="8" w:color="auto"/>
            </w:tcBorders>
          </w:tcPr>
          <w:p>
            <w:pPr>
              <w:jc w:val="right"/>
              <w:ind w:right="666"/>
              <w:spacing w:after="0"/>
              <w:rPr>
                <w:sz w:val="20"/>
                <w:szCs w:val="20"/>
                <w:color w:val="auto"/>
              </w:rPr>
            </w:pPr>
            <w:r>
              <w:rPr>
                <w:rFonts w:ascii="Arial" w:cs="Arial" w:eastAsia="Arial" w:hAnsi="Arial"/>
                <w:sz w:val="20"/>
                <w:szCs w:val="20"/>
                <w:color w:val="auto"/>
              </w:rPr>
              <w:t>50</w:t>
            </w:r>
          </w:p>
        </w:tc>
        <w:tc>
          <w:tcPr>
            <w:tcW w:w="2400" w:type="dxa"/>
            <w:vAlign w:val="bottom"/>
            <w:tcBorders>
              <w:bottom w:val="single" w:sz="8" w:color="auto"/>
              <w:right w:val="single" w:sz="8" w:color="auto"/>
            </w:tcBorders>
          </w:tcPr>
          <w:p>
            <w:pPr>
              <w:jc w:val="right"/>
              <w:ind w:right="530"/>
              <w:spacing w:after="0"/>
              <w:rPr>
                <w:sz w:val="20"/>
                <w:szCs w:val="20"/>
                <w:color w:val="auto"/>
              </w:rPr>
            </w:pPr>
            <w:r>
              <w:rPr>
                <w:rFonts w:ascii="Arial" w:cs="Arial" w:eastAsia="Arial" w:hAnsi="Arial"/>
                <w:sz w:val="18"/>
                <w:szCs w:val="18"/>
                <w:color w:val="auto"/>
              </w:rPr>
              <w:t>2021</w:t>
            </w:r>
          </w:p>
        </w:tc>
        <w:tc>
          <w:tcPr>
            <w:tcW w:w="3640" w:type="dxa"/>
            <w:vAlign w:val="bottom"/>
            <w:tcBorders>
              <w:bottom w:val="single" w:sz="8" w:color="auto"/>
              <w:right w:val="single" w:sz="8" w:color="auto"/>
            </w:tcBorders>
          </w:tcPr>
          <w:p>
            <w:pPr>
              <w:jc w:val="center"/>
              <w:ind w:right="710"/>
              <w:spacing w:after="0"/>
              <w:rPr>
                <w:sz w:val="20"/>
                <w:szCs w:val="20"/>
                <w:color w:val="auto"/>
              </w:rPr>
            </w:pPr>
            <w:r>
              <w:rPr>
                <w:rFonts w:ascii="Arial" w:cs="Arial" w:eastAsia="Arial" w:hAnsi="Arial"/>
                <w:sz w:val="18"/>
                <w:szCs w:val="18"/>
                <w:color w:val="auto"/>
                <w:w w:val="99"/>
              </w:rPr>
              <w:t>Chief Executive Officer and Director</w:t>
            </w:r>
          </w:p>
        </w:tc>
      </w:tr>
    </w:tbl>
    <w:p>
      <w:pPr>
        <w:spacing w:after="0" w:line="3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Beth Gerstein</w:t>
      </w:r>
    </w:p>
    <w:p>
      <w:pPr>
        <w:spacing w:after="0" w:line="33"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Ms. Gerstein has served as Brilliant Earth Group, Inc.’s Chief Executive Officer and a member of its Board since its formation. She co-founded Brilliant Earth, LLC in 2005, serving as its co-Chief Executive Officer until March 2021 and a member of its board of managers from its founding until September 2021, and has served as Brilliant Earth, LLC’s Chief Executive Officer since March 2021. Ms. Gerstein received a Bachelor of Science in Biomedical and Electrical Engineering from Duke University, a Master of Science in Electrical Engineering from Massachusetts Institute of Technology, and an MBA from the Stanford University Graduate School of Business. We believe Ms. Gerstein is qualified to serve as a member of our Board because of the perspective and the executive leadership experience she brings as our co-founder and Chief Executive Officer.</w:t>
      </w:r>
    </w:p>
    <w:p>
      <w:pPr>
        <w:spacing w:after="0" w:line="301" w:lineRule="exact"/>
        <w:rPr>
          <w:sz w:val="20"/>
          <w:szCs w:val="20"/>
          <w:color w:val="auto"/>
        </w:rPr>
      </w:pPr>
    </w:p>
    <w:p>
      <w:pPr>
        <w:ind w:right="3580"/>
        <w:spacing w:after="0" w:line="298" w:lineRule="auto"/>
        <w:rPr>
          <w:sz w:val="20"/>
          <w:szCs w:val="20"/>
          <w:color w:val="auto"/>
        </w:rPr>
      </w:pPr>
      <w:r>
        <w:rPr>
          <w:rFonts w:ascii="Arial" w:cs="Arial" w:eastAsia="Arial" w:hAnsi="Arial"/>
          <w:sz w:val="20"/>
          <w:szCs w:val="20"/>
          <w:b w:val="1"/>
          <w:bCs w:val="1"/>
          <w:color w:val="auto"/>
        </w:rPr>
        <w:t>CONTINUING MEMBERS OF THE BOARD OF DIRECTORS: CLASS III DIRECTORS (TERMS TO EXPIRE AT THE 2027 ANNUAL MEETING)</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The current members of the Board who are Class III Directors are as follows:</w:t>
      </w:r>
    </w:p>
    <w:p>
      <w:pPr>
        <w:spacing w:after="0" w:line="352" w:lineRule="exact"/>
        <w:rPr>
          <w:sz w:val="20"/>
          <w:szCs w:val="20"/>
          <w:color w:val="auto"/>
        </w:rPr>
      </w:pPr>
    </w:p>
    <w:tbl>
      <w:tblPr>
        <w:tblLayout w:type="fixed"/>
        <w:tblInd w:w="270" w:type="dxa"/>
        <w:tblCellMar>
          <w:top w:w="0" w:type="dxa"/>
          <w:left w:w="0" w:type="dxa"/>
          <w:bottom w:w="0" w:type="dxa"/>
          <w:right w:w="0" w:type="dxa"/>
        </w:tblCellMar>
      </w:tblPr>
      <w:tr>
        <w:trPr>
          <w:trHeight w:val="331"/>
        </w:trPr>
        <w:tc>
          <w:tcPr>
            <w:tcW w:w="2620" w:type="dxa"/>
            <w:vAlign w:val="bottom"/>
            <w:tcBorders>
              <w:top w:val="single" w:sz="8" w:color="auto"/>
              <w:left w:val="single" w:sz="8" w:color="auto"/>
              <w:bottom w:val="single" w:sz="8" w:color="auto"/>
              <w:right w:val="single" w:sz="8" w:color="auto"/>
            </w:tcBorders>
          </w:tcPr>
          <w:p>
            <w:pPr>
              <w:ind w:left="1220"/>
              <w:spacing w:after="0"/>
              <w:rPr>
                <w:sz w:val="20"/>
                <w:szCs w:val="20"/>
                <w:color w:val="auto"/>
              </w:rPr>
            </w:pPr>
            <w:r>
              <w:rPr>
                <w:rFonts w:ascii="Arial" w:cs="Arial" w:eastAsia="Arial" w:hAnsi="Arial"/>
                <w:sz w:val="18"/>
                <w:szCs w:val="18"/>
                <w:b w:val="1"/>
                <w:bCs w:val="1"/>
                <w:color w:val="auto"/>
              </w:rPr>
              <w:t>Name</w:t>
            </w:r>
          </w:p>
        </w:tc>
        <w:tc>
          <w:tcPr>
            <w:tcW w:w="16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Age</w:t>
            </w:r>
          </w:p>
        </w:tc>
        <w:tc>
          <w:tcPr>
            <w:tcW w:w="25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Director Since</w:t>
            </w:r>
          </w:p>
        </w:tc>
        <w:tc>
          <w:tcPr>
            <w:tcW w:w="3260" w:type="dxa"/>
            <w:vAlign w:val="bottom"/>
            <w:tcBorders>
              <w:top w:val="single" w:sz="8" w:color="auto"/>
              <w:bottom w:val="single" w:sz="8" w:color="auto"/>
              <w:right w:val="single" w:sz="8" w:color="auto"/>
            </w:tcBorders>
          </w:tcPr>
          <w:p>
            <w:pPr>
              <w:ind w:left="260"/>
              <w:spacing w:after="0"/>
              <w:rPr>
                <w:sz w:val="20"/>
                <w:szCs w:val="20"/>
                <w:color w:val="auto"/>
              </w:rPr>
            </w:pPr>
            <w:r>
              <w:rPr>
                <w:rFonts w:ascii="Arial" w:cs="Arial" w:eastAsia="Arial" w:hAnsi="Arial"/>
                <w:sz w:val="18"/>
                <w:szCs w:val="18"/>
                <w:b w:val="1"/>
                <w:bCs w:val="1"/>
                <w:color w:val="auto"/>
              </w:rPr>
              <w:t>Position with the Company</w:t>
            </w:r>
          </w:p>
        </w:tc>
      </w:tr>
      <w:tr>
        <w:trPr>
          <w:trHeight w:val="331"/>
        </w:trPr>
        <w:tc>
          <w:tcPr>
            <w:tcW w:w="262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Jennifer N. Harris</w:t>
            </w:r>
          </w:p>
        </w:tc>
        <w:tc>
          <w:tcPr>
            <w:tcW w:w="16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58</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3260" w:type="dxa"/>
            <w:vAlign w:val="bottom"/>
            <w:tcBorders>
              <w:bottom w:val="single" w:sz="8" w:color="auto"/>
              <w:right w:val="single" w:sz="8" w:color="auto"/>
            </w:tcBorders>
          </w:tcPr>
          <w:p>
            <w:pPr>
              <w:ind w:left="920"/>
              <w:spacing w:after="0"/>
              <w:rPr>
                <w:sz w:val="20"/>
                <w:szCs w:val="20"/>
                <w:color w:val="auto"/>
              </w:rPr>
            </w:pPr>
            <w:r>
              <w:rPr>
                <w:rFonts w:ascii="Arial" w:cs="Arial" w:eastAsia="Arial" w:hAnsi="Arial"/>
                <w:sz w:val="18"/>
                <w:szCs w:val="18"/>
                <w:color w:val="auto"/>
              </w:rPr>
              <w:t>Director</w:t>
            </w:r>
          </w:p>
        </w:tc>
      </w:tr>
      <w:tr>
        <w:trPr>
          <w:trHeight w:val="307"/>
        </w:trPr>
        <w:tc>
          <w:tcPr>
            <w:tcW w:w="26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Beth J. Kaplan</w:t>
            </w:r>
          </w:p>
        </w:tc>
        <w:tc>
          <w:tcPr>
            <w:tcW w:w="168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8"/>
              </w:rPr>
              <w:t>68</w:t>
            </w:r>
          </w:p>
        </w:tc>
        <w:tc>
          <w:tcPr>
            <w:tcW w:w="25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2021</w:t>
            </w:r>
          </w:p>
        </w:tc>
        <w:tc>
          <w:tcPr>
            <w:tcW w:w="3260" w:type="dxa"/>
            <w:vAlign w:val="bottom"/>
            <w:tcBorders>
              <w:right w:val="single" w:sz="8" w:color="auto"/>
            </w:tcBorders>
          </w:tcPr>
          <w:p>
            <w:pPr>
              <w:ind w:left="1320"/>
              <w:spacing w:after="0"/>
              <w:rPr>
                <w:sz w:val="20"/>
                <w:szCs w:val="20"/>
                <w:color w:val="auto"/>
              </w:rPr>
            </w:pPr>
            <w:r>
              <w:rPr>
                <w:rFonts w:ascii="Arial" w:cs="Arial" w:eastAsia="Arial" w:hAnsi="Arial"/>
                <w:sz w:val="18"/>
                <w:szCs w:val="18"/>
                <w:color w:val="auto"/>
              </w:rPr>
              <w:t>Director</w:t>
            </w:r>
          </w:p>
        </w:tc>
      </w:tr>
      <w:tr>
        <w:trPr>
          <w:trHeight w:val="30"/>
        </w:trPr>
        <w:tc>
          <w:tcPr>
            <w:tcW w:w="2620" w:type="dxa"/>
            <w:vAlign w:val="bottom"/>
            <w:tcBorders>
              <w:left w:val="single" w:sz="8" w:color="auto"/>
              <w:bottom w:val="single" w:sz="8" w:color="auto"/>
              <w:right w:val="single" w:sz="8" w:color="auto"/>
            </w:tcBorders>
          </w:tcPr>
          <w:p>
            <w:pPr>
              <w:spacing w:after="0"/>
              <w:rPr>
                <w:sz w:val="2"/>
                <w:szCs w:val="2"/>
                <w:color w:val="auto"/>
              </w:rPr>
            </w:pPr>
          </w:p>
        </w:tc>
        <w:tc>
          <w:tcPr>
            <w:tcW w:w="1680" w:type="dxa"/>
            <w:vAlign w:val="bottom"/>
            <w:tcBorders>
              <w:bottom w:val="single" w:sz="8" w:color="auto"/>
              <w:right w:val="single" w:sz="8" w:color="auto"/>
            </w:tcBorders>
          </w:tcPr>
          <w:p>
            <w:pPr>
              <w:spacing w:after="0"/>
              <w:rPr>
                <w:sz w:val="2"/>
                <w:szCs w:val="2"/>
                <w:color w:val="auto"/>
              </w:rPr>
            </w:pPr>
          </w:p>
        </w:tc>
        <w:tc>
          <w:tcPr>
            <w:tcW w:w="2500" w:type="dxa"/>
            <w:vAlign w:val="bottom"/>
            <w:tcBorders>
              <w:bottom w:val="single" w:sz="8" w:color="auto"/>
              <w:right w:val="single" w:sz="8" w:color="auto"/>
            </w:tcBorders>
          </w:tcPr>
          <w:p>
            <w:pPr>
              <w:spacing w:after="0"/>
              <w:rPr>
                <w:sz w:val="2"/>
                <w:szCs w:val="2"/>
                <w:color w:val="auto"/>
              </w:rPr>
            </w:pPr>
          </w:p>
        </w:tc>
        <w:tc>
          <w:tcPr>
            <w:tcW w:w="3260" w:type="dxa"/>
            <w:vAlign w:val="bottom"/>
            <w:tcBorders>
              <w:bottom w:val="single" w:sz="8" w:color="auto"/>
              <w:right w:val="single" w:sz="8" w:color="auto"/>
            </w:tcBorders>
          </w:tcPr>
          <w:p>
            <w:pPr>
              <w:spacing w:after="0"/>
              <w:rPr>
                <w:sz w:val="2"/>
                <w:szCs w:val="2"/>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Jennifer N. Harris</w:t>
      </w:r>
    </w:p>
    <w:p>
      <w:pPr>
        <w:spacing w:after="0" w:line="20"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Ms. Harris has served as a member of Brilliant Earth Group, Inc.’s Board since its formation and served as a member of the board of managers of Brilliant Earth, LLC from April until September 2021. Since July 2024, Ms. Harris has served as the Chief Financial Officer of Hapax, Inc., an AI-native platform purpose-built for banks and credit unions. Ms. Harris previously served as the Vice President and Corporate Controller at Q2 Holdings, Inc., from March 2013 until November 2013, when she was promoted to Chief Financial Officer, and served as Chief Financial Officer from December 2013 until April 2021. Prior to her time at Q2 Holdings Inc., Ms. Harris was the Interim Corporate Controller for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4" w:name="page15"/>
    <w:bookmarkEnd w:id="14"/>
    <w:p>
      <w:pPr>
        <w:jc w:val="both"/>
        <w:spacing w:after="0" w:line="237" w:lineRule="auto"/>
        <w:rPr>
          <w:sz w:val="20"/>
          <w:szCs w:val="20"/>
          <w:color w:val="auto"/>
        </w:rPr>
      </w:pPr>
      <w:r>
        <w:rPr>
          <w:rFonts w:ascii="Arial" w:cs="Arial" w:eastAsia="Arial" w:hAnsi="Arial"/>
          <w:sz w:val="20"/>
          <w:szCs w:val="20"/>
          <w:color w:val="auto"/>
        </w:rPr>
        <w:t>Blackbaud, Inc., a provider of software solutions to nonprofit organizations and educational institutions, from May 2012 until November 2012. From April 2005 until May 2012, Ms. Harris held various financial positions with Convio, Inc., a provider of SaaS constituent engagement solutions, most recently as Vice President, Controller and Principal Accounting Officer, from October 2010 until</w:t>
      </w:r>
    </w:p>
    <w:p>
      <w:pPr>
        <w:spacing w:after="0" w:line="226" w:lineRule="auto"/>
        <w:rPr>
          <w:sz w:val="20"/>
          <w:szCs w:val="20"/>
          <w:color w:val="auto"/>
        </w:rPr>
      </w:pPr>
      <w:r>
        <w:rPr>
          <w:rFonts w:ascii="Arial" w:cs="Arial" w:eastAsia="Arial" w:hAnsi="Arial"/>
          <w:sz w:val="20"/>
          <w:szCs w:val="20"/>
          <w:color w:val="auto"/>
        </w:rPr>
        <w:t>May 2012, when Convio was acquired by Blackbaud. In August 2021, Ms. Harris joined the board of</w:t>
      </w:r>
    </w:p>
    <w:p>
      <w:pPr>
        <w:jc w:val="both"/>
        <w:spacing w:after="0" w:line="234" w:lineRule="auto"/>
        <w:rPr>
          <w:sz w:val="20"/>
          <w:szCs w:val="20"/>
          <w:color w:val="auto"/>
        </w:rPr>
      </w:pPr>
      <w:r>
        <w:rPr>
          <w:rFonts w:ascii="Arial" w:cs="Arial" w:eastAsia="Arial" w:hAnsi="Arial"/>
          <w:sz w:val="20"/>
          <w:szCs w:val="20"/>
          <w:color w:val="auto"/>
        </w:rPr>
        <w:t>directors of Jumio, a provider of automated identity verification and AML solutions. In January 2022, Ms. Harris joined the board of directors of Brillio, a global digital technology consulting and solutions company where she served until July of 2024. In September 2022, Ms. Harris joined the board of directors of Enervus, a provider of energy-dedicated SaaS solutions. Ms. Harris received a B.S. in Business from Indiana University. We believe Ms. Harris is qualified to serve as a member of our Board because of her extensive experience in financial leadership, accounting and controllership roles, and her significant tenure as a public company chief financial officer.</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Beth J. Kaplan</w:t>
      </w:r>
    </w:p>
    <w:p>
      <w:pPr>
        <w:spacing w:after="0" w:line="33" w:lineRule="exact"/>
        <w:rPr>
          <w:sz w:val="20"/>
          <w:szCs w:val="20"/>
          <w:color w:val="auto"/>
        </w:rPr>
      </w:pPr>
    </w:p>
    <w:p>
      <w:pPr>
        <w:jc w:val="both"/>
        <w:spacing w:after="0" w:line="262" w:lineRule="auto"/>
        <w:rPr>
          <w:sz w:val="20"/>
          <w:szCs w:val="20"/>
          <w:color w:val="auto"/>
        </w:rPr>
      </w:pPr>
      <w:r>
        <w:rPr>
          <w:rFonts w:ascii="Arial" w:cs="Arial" w:eastAsia="Arial" w:hAnsi="Arial"/>
          <w:sz w:val="19"/>
          <w:szCs w:val="19"/>
          <w:color w:val="auto"/>
        </w:rPr>
        <w:t>Ms. Kaplan has served as a member of Brilliant Earth Group, Inc.’s Board since its formation and served as a member of the board of managers of Brilliant Earth, LLC from October 2020 until September 2021. From March 2013 until November 2015, Ms. Kaplan was the President and Chief Operating Officer at Rent the Runway, where she also served as a member of the board of directors from February 2014 until December 2025. Prior to her time at Rent the Runway, she served as President, Chief Merchandising and Marketing Officer, and Director at General Nutrition Centers Inc., during which she played an integral role in the company’s 2011 initial public offering. From August 2022 to June 2025, Ms. Kaplan was also a Venture Partner at Revolution Venture where she invested in and advised early-stage consumer-oriented companies. Ms. Kaplan has held numerous leadership positions at Bath &amp; Body Works, Rite Aid Drugstores, and Procter &amp; Gamble. Ms. Kaplan also serves on the board of directors of Crocs, Inc. Cooper’s Hawk, and Vitamin Shoppe. Ms. Kaplan received both a Bachelor of Science degree and an MBA from the Wharton School of the University of Pennsylvania. We believe Ms. Kaplan is qualified to serve as a member of our Board because of her extensive experience in operating, advising and investing in companies in the consumer sector.</w:t>
      </w:r>
    </w:p>
    <w:p>
      <w:pPr>
        <w:spacing w:after="0" w:line="207"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believe that all of our current Board members and nominees for Class II directors possess the professional and personal qualifications necessary for Board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p>
      <w:pPr>
        <w:ind w:right="4100"/>
        <w:spacing w:after="0" w:line="285" w:lineRule="auto"/>
        <w:rPr>
          <w:sz w:val="20"/>
          <w:szCs w:val="20"/>
          <w:color w:val="auto"/>
        </w:rPr>
      </w:pPr>
      <w:r>
        <w:rPr>
          <w:rFonts w:ascii="Arial" w:cs="Arial" w:eastAsia="Arial" w:hAnsi="Arial"/>
          <w:sz w:val="22"/>
          <w:szCs w:val="22"/>
          <w:b w:val="1"/>
          <w:bCs w:val="1"/>
          <w:color w:val="0094FF"/>
        </w:rPr>
        <w:t>PROPOSAL 2: Ratification of Appointment of Independent Registered Public Accounting Firm</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Our Audit Committee has appointed BDO USA, P.C. as our independent registered public accounting firm for the fiscal year ending December 31, 2026. Our Board has directed that this appointment be submitted to our stockholders for ratification at the Annual Meeting. Although ratification of our appointment of BDO USA, P.C. is not required, we value the opinions of our stockholders and believe that stockholder ratification of our appointment is a good corporate governance practice.</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BDO USA, P.C. served as our independent registered public accounting firm for the fiscal year ended December 31, 2025. Neither BDO USA, P.C. nor any of its members has any direct or indirect financial interest in or any connection with us in any capacity other than as our auditors, providing audit and non-audit related services. A representative of BDO USA, P.C. is expected to attend the Annual Meeting, have an opportunity to make a statement if he or she desires to do so, and be available to respond to appropriate questions from stockholders.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In the event that the appointment of BDO USA, P.C. is not ratified by the stockholders, the Audit Committee will consider this fact when it appoints the independent auditors for the fiscal year ending December 31, 2027. Even if the appointment of BDO USA, P.C. is ratified, the Audit Committee retains the discretion to appoint a different independent auditor at any time if it determines that such a change is in the interests of the Company.</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RECOMMENDATION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349250</wp:posOffset>
            </wp:positionV>
            <wp:extent cx="7149465" cy="4800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80" w:right="2400"/>
        <w:spacing w:after="0" w:line="296" w:lineRule="auto"/>
        <w:rPr>
          <w:sz w:val="20"/>
          <w:szCs w:val="20"/>
          <w:color w:val="auto"/>
        </w:rPr>
      </w:pPr>
      <w:r>
        <w:rPr>
          <w:rFonts w:ascii="Arial" w:cs="Arial" w:eastAsia="Arial" w:hAnsi="Arial"/>
          <w:sz w:val="18"/>
          <w:szCs w:val="18"/>
          <w:b w:val="1"/>
          <w:bCs w:val="1"/>
          <w:color w:val="auto"/>
        </w:rPr>
        <w:t>The Board of Directors unanimously recommends a vote FOR the ratification of the appointment of BDO USA, P.C. as our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2" w:right="339" w:bottom="1440" w:gutter="0" w:footer="0" w:header="0"/>
        </w:sectPr>
      </w:pPr>
    </w:p>
    <w:bookmarkStart w:id="16" w:name="page17"/>
    <w:bookmarkEnd w:id="16"/>
    <w:p>
      <w:pPr>
        <w:spacing w:after="0"/>
        <w:rPr>
          <w:sz w:val="20"/>
          <w:szCs w:val="20"/>
          <w:color w:val="auto"/>
        </w:rPr>
      </w:pPr>
      <w:r>
        <w:rPr>
          <w:rFonts w:ascii="Arial" w:cs="Arial" w:eastAsia="Arial" w:hAnsi="Arial"/>
          <w:sz w:val="20"/>
          <w:szCs w:val="20"/>
          <w:b w:val="1"/>
          <w:bCs w:val="1"/>
          <w:color w:val="0094FF"/>
        </w:rPr>
        <w:t>REPORT OF THE AUDIT COMMITTEE OF THE BOARD OF DIRECTORS</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Audit Committee has reviewed the Company’s audited financial statements for the fiscal year ended December 31, 2025 and has discussed these financial statements with management and the Company’s independent registered public accounting firm. The Audit Committee has also received from, and discussed with, the Company’s independent registered public accounting firm the matters that they are required to provide to the Audit Committee, including the matters required to be discussed by the Public Company Accounting Oversight Board (“PCAOB”) and the SEC.</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Company’s independent registered public accounting firm also provided the Audit Committee with a formal written statement required by the applicable requirements of the PCAOB describing all relationships between the independent registered public accounting firm and the Company, including the disclosures required by the applicable requirements of the PCAOB regarding the independent registered public accounting firm’s communications with the Audit Committee concerning independence. In addition, the Audit Committee discussed with the independent registered public accounting firm its independence from the Company.</w:t>
      </w: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Based on its discussions with management and the independent registered public accounting firm, and its review of the representations and information provided by management and the independent registered public accounting firm, the Audit Committee recommended to the Board that the audited financial statements be included in the Company’s Annual Report on Form 10-K for the fiscal year ended December 31, 2025.</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Jennifer N. Harris (Chair)</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Beth J. Kaplan</w:t>
      </w:r>
    </w:p>
    <w:p>
      <w:pPr>
        <w:spacing w:after="0"/>
        <w:rPr>
          <w:sz w:val="20"/>
          <w:szCs w:val="20"/>
          <w:color w:val="auto"/>
        </w:rPr>
      </w:pPr>
      <w:r>
        <w:rPr>
          <w:rFonts w:ascii="Arial" w:cs="Arial" w:eastAsia="Arial" w:hAnsi="Arial"/>
          <w:sz w:val="20"/>
          <w:szCs w:val="20"/>
          <w:color w:val="auto"/>
        </w:rPr>
        <w:t>Attica A. Jaques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7" w:name="page18"/>
    <w:bookmarkEnd w:id="17"/>
    <w:p>
      <w:pPr>
        <w:spacing w:after="0"/>
        <w:rPr>
          <w:sz w:val="20"/>
          <w:szCs w:val="20"/>
          <w:color w:val="auto"/>
        </w:rPr>
      </w:pPr>
      <w:r>
        <w:rPr>
          <w:rFonts w:ascii="Arial" w:cs="Arial" w:eastAsia="Arial" w:hAnsi="Arial"/>
          <w:sz w:val="20"/>
          <w:szCs w:val="20"/>
          <w:b w:val="1"/>
          <w:bCs w:val="1"/>
          <w:color w:val="0094FF"/>
        </w:rPr>
        <w:t>INDEPENDENT REGISTERED PUBLIC ACCOUNTING FIRM FEES AND OTHER MATTERS</w:t>
      </w:r>
    </w:p>
    <w:p>
      <w:pPr>
        <w:spacing w:after="0" w:line="258" w:lineRule="exact"/>
        <w:rPr>
          <w:sz w:val="20"/>
          <w:szCs w:val="20"/>
          <w:color w:val="auto"/>
        </w:rPr>
      </w:pPr>
    </w:p>
    <w:p>
      <w:pPr>
        <w:jc w:val="both"/>
        <w:spacing w:after="0" w:line="298" w:lineRule="auto"/>
        <w:rPr>
          <w:sz w:val="20"/>
          <w:szCs w:val="20"/>
          <w:color w:val="auto"/>
        </w:rPr>
      </w:pPr>
      <w:r>
        <w:rPr>
          <w:rFonts w:ascii="Arial" w:cs="Arial" w:eastAsia="Arial" w:hAnsi="Arial"/>
          <w:sz w:val="19"/>
          <w:szCs w:val="19"/>
          <w:color w:val="auto"/>
        </w:rPr>
        <w:t>Set forth below are the fees of BDO USA, P.C., our independent registered public accounting firm, billed to us for the fiscal years ended December 31, 2025 and 2024 for audit services and billed to us in each of the last two fiscal years for other services:</w:t>
      </w:r>
    </w:p>
    <w:p>
      <w:pPr>
        <w:spacing w:after="0" w:line="184" w:lineRule="exact"/>
        <w:rPr>
          <w:sz w:val="20"/>
          <w:szCs w:val="20"/>
          <w:color w:val="auto"/>
        </w:rPr>
      </w:pPr>
    </w:p>
    <w:tbl>
      <w:tblPr>
        <w:tblLayout w:type="fixed"/>
        <w:tblInd w:w="180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20"/>
                <w:szCs w:val="20"/>
                <w:b w:val="1"/>
                <w:bCs w:val="1"/>
                <w:color w:val="auto"/>
              </w:rPr>
              <w:t>Fee Category</w:t>
            </w: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98"/>
              </w:rPr>
              <w:t>Year Ended</w:t>
            </w:r>
          </w:p>
        </w:tc>
        <w:tc>
          <w:tcPr>
            <w:tcW w:w="2560" w:type="dxa"/>
            <w:vAlign w:val="bottom"/>
          </w:tcPr>
          <w:p>
            <w:pPr>
              <w:ind w:left="480"/>
              <w:spacing w:after="0"/>
              <w:rPr>
                <w:sz w:val="20"/>
                <w:szCs w:val="20"/>
                <w:color w:val="auto"/>
              </w:rPr>
            </w:pPr>
            <w:r>
              <w:rPr>
                <w:rFonts w:ascii="Arial" w:cs="Arial" w:eastAsia="Arial" w:hAnsi="Arial"/>
                <w:sz w:val="20"/>
                <w:szCs w:val="20"/>
                <w:b w:val="1"/>
                <w:bCs w:val="1"/>
                <w:color w:val="auto"/>
                <w:w w:val="97"/>
              </w:rPr>
              <w:t>Year Ended December</w:t>
            </w:r>
          </w:p>
        </w:tc>
      </w:tr>
      <w:tr>
        <w:trPr>
          <w:trHeight w:val="245"/>
        </w:trPr>
        <w:tc>
          <w:tcPr>
            <w:tcW w:w="2180" w:type="dxa"/>
            <w:vAlign w:val="bottom"/>
          </w:tcPr>
          <w:p>
            <w:pPr>
              <w:spacing w:after="0"/>
              <w:rPr>
                <w:sz w:val="21"/>
                <w:szCs w:val="21"/>
                <w:color w:val="auto"/>
              </w:rPr>
            </w:pP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98"/>
              </w:rPr>
              <w:t>December 31, 2025</w:t>
            </w:r>
          </w:p>
        </w:tc>
        <w:tc>
          <w:tcPr>
            <w:tcW w:w="2560" w:type="dxa"/>
            <w:vAlign w:val="bottom"/>
          </w:tcPr>
          <w:p>
            <w:pPr>
              <w:jc w:val="center"/>
              <w:ind w:left="384"/>
              <w:spacing w:after="0"/>
              <w:rPr>
                <w:sz w:val="20"/>
                <w:szCs w:val="20"/>
                <w:color w:val="auto"/>
              </w:rPr>
            </w:pPr>
            <w:r>
              <w:rPr>
                <w:rFonts w:ascii="Arial" w:cs="Arial" w:eastAsia="Arial" w:hAnsi="Arial"/>
                <w:sz w:val="20"/>
                <w:szCs w:val="20"/>
                <w:b w:val="1"/>
                <w:bCs w:val="1"/>
                <w:color w:val="auto"/>
                <w:w w:val="97"/>
              </w:rPr>
              <w:t>31, 2024</w:t>
            </w:r>
          </w:p>
        </w:tc>
      </w:tr>
      <w:tr>
        <w:trPr>
          <w:trHeight w:val="257"/>
        </w:trPr>
        <w:tc>
          <w:tcPr>
            <w:tcW w:w="2180" w:type="dxa"/>
            <w:vAlign w:val="bottom"/>
          </w:tcPr>
          <w:p>
            <w:pPr>
              <w:spacing w:after="0"/>
              <w:rPr>
                <w:sz w:val="20"/>
                <w:szCs w:val="20"/>
                <w:color w:val="auto"/>
              </w:rPr>
            </w:pPr>
            <w:r>
              <w:rPr>
                <w:rFonts w:ascii="Arial" w:cs="Arial" w:eastAsia="Arial" w:hAnsi="Arial"/>
                <w:sz w:val="20"/>
                <w:szCs w:val="20"/>
                <w:color w:val="auto"/>
              </w:rPr>
              <w:t>Audit Fees</w:t>
            </w:r>
          </w:p>
        </w:tc>
        <w:tc>
          <w:tcPr>
            <w:tcW w:w="2740" w:type="dxa"/>
            <w:vAlign w:val="bottom"/>
          </w:tcPr>
          <w:p>
            <w:pPr>
              <w:jc w:val="center"/>
              <w:spacing w:after="0"/>
              <w:rPr>
                <w:sz w:val="20"/>
                <w:szCs w:val="20"/>
                <w:color w:val="auto"/>
              </w:rPr>
            </w:pPr>
            <w:r>
              <w:rPr>
                <w:rFonts w:ascii="Arial" w:cs="Arial" w:eastAsia="Arial" w:hAnsi="Arial"/>
                <w:sz w:val="20"/>
                <w:szCs w:val="20"/>
                <w:color w:val="auto"/>
                <w:w w:val="98"/>
              </w:rPr>
              <w:t>$857,637</w:t>
            </w:r>
          </w:p>
        </w:tc>
        <w:tc>
          <w:tcPr>
            <w:tcW w:w="2560" w:type="dxa"/>
            <w:vAlign w:val="bottom"/>
          </w:tcPr>
          <w:p>
            <w:pPr>
              <w:jc w:val="center"/>
              <w:ind w:left="364"/>
              <w:spacing w:after="0"/>
              <w:rPr>
                <w:sz w:val="20"/>
                <w:szCs w:val="20"/>
                <w:color w:val="auto"/>
              </w:rPr>
            </w:pPr>
            <w:r>
              <w:rPr>
                <w:rFonts w:ascii="Arial" w:cs="Arial" w:eastAsia="Arial" w:hAnsi="Arial"/>
                <w:sz w:val="20"/>
                <w:szCs w:val="20"/>
                <w:color w:val="auto"/>
                <w:w w:val="98"/>
              </w:rPr>
              <w:t>$795,235</w:t>
            </w:r>
          </w:p>
        </w:tc>
      </w:tr>
      <w:tr>
        <w:trPr>
          <w:trHeight w:val="257"/>
        </w:trPr>
        <w:tc>
          <w:tcPr>
            <w:tcW w:w="2180" w:type="dxa"/>
            <w:vAlign w:val="bottom"/>
          </w:tcPr>
          <w:p>
            <w:pPr>
              <w:spacing w:after="0"/>
              <w:rPr>
                <w:sz w:val="20"/>
                <w:szCs w:val="20"/>
                <w:color w:val="auto"/>
              </w:rPr>
            </w:pPr>
            <w:r>
              <w:rPr>
                <w:rFonts w:ascii="Arial" w:cs="Arial" w:eastAsia="Arial" w:hAnsi="Arial"/>
                <w:sz w:val="20"/>
                <w:szCs w:val="20"/>
                <w:color w:val="auto"/>
              </w:rPr>
              <w:t>Audit-Related Fees</w:t>
            </w:r>
          </w:p>
        </w:tc>
        <w:tc>
          <w:tcPr>
            <w:tcW w:w="2740" w:type="dxa"/>
            <w:vAlign w:val="bottom"/>
          </w:tcPr>
          <w:p>
            <w:pPr>
              <w:jc w:val="center"/>
              <w:spacing w:after="0"/>
              <w:rPr>
                <w:sz w:val="20"/>
                <w:szCs w:val="20"/>
                <w:color w:val="auto"/>
              </w:rPr>
            </w:pPr>
            <w:r>
              <w:rPr>
                <w:rFonts w:ascii="Arial" w:cs="Arial" w:eastAsia="Arial" w:hAnsi="Arial"/>
                <w:sz w:val="20"/>
                <w:szCs w:val="20"/>
                <w:color w:val="auto"/>
                <w:w w:val="99"/>
              </w:rPr>
              <w:t>$37,454</w:t>
            </w:r>
          </w:p>
        </w:tc>
        <w:tc>
          <w:tcPr>
            <w:tcW w:w="2560" w:type="dxa"/>
            <w:vAlign w:val="bottom"/>
          </w:tcPr>
          <w:p>
            <w:pPr>
              <w:jc w:val="center"/>
              <w:ind w:left="384"/>
              <w:spacing w:after="0"/>
              <w:rPr>
                <w:sz w:val="20"/>
                <w:szCs w:val="20"/>
                <w:color w:val="auto"/>
              </w:rPr>
            </w:pPr>
            <w:r>
              <w:rPr>
                <w:rFonts w:ascii="Arial" w:cs="Arial" w:eastAsia="Arial" w:hAnsi="Arial"/>
                <w:sz w:val="20"/>
                <w:szCs w:val="20"/>
                <w:color w:val="auto"/>
                <w:w w:val="99"/>
              </w:rPr>
              <w:t>$38,767</w:t>
            </w:r>
          </w:p>
        </w:tc>
      </w:tr>
      <w:tr>
        <w:trPr>
          <w:trHeight w:val="257"/>
        </w:trPr>
        <w:tc>
          <w:tcPr>
            <w:tcW w:w="2180" w:type="dxa"/>
            <w:vAlign w:val="bottom"/>
          </w:tcPr>
          <w:p>
            <w:pPr>
              <w:spacing w:after="0"/>
              <w:rPr>
                <w:sz w:val="20"/>
                <w:szCs w:val="20"/>
                <w:color w:val="auto"/>
              </w:rPr>
            </w:pPr>
            <w:r>
              <w:rPr>
                <w:rFonts w:ascii="Arial" w:cs="Arial" w:eastAsia="Arial" w:hAnsi="Arial"/>
                <w:sz w:val="20"/>
                <w:szCs w:val="20"/>
                <w:color w:val="auto"/>
              </w:rPr>
              <w:t>Tax Fees</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__</w:t>
            </w:r>
          </w:p>
        </w:tc>
        <w:tc>
          <w:tcPr>
            <w:tcW w:w="2560" w:type="dxa"/>
            <w:vAlign w:val="bottom"/>
          </w:tcPr>
          <w:p>
            <w:pPr>
              <w:jc w:val="center"/>
              <w:ind w:left="384"/>
              <w:spacing w:after="0"/>
              <w:rPr>
                <w:sz w:val="20"/>
                <w:szCs w:val="20"/>
                <w:color w:val="auto"/>
              </w:rPr>
            </w:pPr>
            <w:r>
              <w:rPr>
                <w:rFonts w:ascii="Arial" w:cs="Arial" w:eastAsia="Arial" w:hAnsi="Arial"/>
                <w:sz w:val="18"/>
                <w:szCs w:val="18"/>
                <w:color w:val="auto"/>
                <w:w w:val="99"/>
              </w:rPr>
              <w:t>__</w:t>
            </w:r>
          </w:p>
        </w:tc>
      </w:tr>
      <w:tr>
        <w:trPr>
          <w:trHeight w:val="254"/>
        </w:trPr>
        <w:tc>
          <w:tcPr>
            <w:tcW w:w="2180" w:type="dxa"/>
            <w:vAlign w:val="bottom"/>
          </w:tcPr>
          <w:p>
            <w:pPr>
              <w:spacing w:after="0"/>
              <w:rPr>
                <w:sz w:val="20"/>
                <w:szCs w:val="20"/>
                <w:color w:val="auto"/>
              </w:rPr>
            </w:pPr>
            <w:r>
              <w:rPr>
                <w:rFonts w:ascii="Arial" w:cs="Arial" w:eastAsia="Arial" w:hAnsi="Arial"/>
                <w:sz w:val="20"/>
                <w:szCs w:val="20"/>
                <w:color w:val="auto"/>
              </w:rPr>
              <w:t>All Other Fees</w:t>
            </w:r>
          </w:p>
        </w:tc>
        <w:tc>
          <w:tcPr>
            <w:tcW w:w="2740" w:type="dxa"/>
            <w:vAlign w:val="bottom"/>
          </w:tcPr>
          <w:p>
            <w:pPr>
              <w:jc w:val="center"/>
              <w:spacing w:after="0"/>
              <w:rPr>
                <w:sz w:val="20"/>
                <w:szCs w:val="20"/>
                <w:color w:val="auto"/>
              </w:rPr>
            </w:pPr>
            <w:r>
              <w:rPr>
                <w:rFonts w:ascii="Arial" w:cs="Arial" w:eastAsia="Arial" w:hAnsi="Arial"/>
                <w:sz w:val="18"/>
                <w:szCs w:val="18"/>
                <w:color w:val="auto"/>
                <w:w w:val="99"/>
              </w:rPr>
              <w:t>__</w:t>
            </w:r>
          </w:p>
        </w:tc>
        <w:tc>
          <w:tcPr>
            <w:tcW w:w="2560" w:type="dxa"/>
            <w:vAlign w:val="bottom"/>
          </w:tcPr>
          <w:p>
            <w:pPr>
              <w:jc w:val="center"/>
              <w:ind w:left="384"/>
              <w:spacing w:after="0"/>
              <w:rPr>
                <w:sz w:val="20"/>
                <w:szCs w:val="20"/>
                <w:color w:val="auto"/>
              </w:rPr>
            </w:pPr>
            <w:r>
              <w:rPr>
                <w:rFonts w:ascii="Arial" w:cs="Arial" w:eastAsia="Arial" w:hAnsi="Arial"/>
                <w:sz w:val="18"/>
                <w:szCs w:val="18"/>
                <w:color w:val="auto"/>
                <w:w w:val="99"/>
              </w:rPr>
              <w:t>__</w:t>
            </w:r>
          </w:p>
        </w:tc>
      </w:tr>
      <w:tr>
        <w:trPr>
          <w:trHeight w:val="273"/>
        </w:trPr>
        <w:tc>
          <w:tcPr>
            <w:tcW w:w="2180" w:type="dxa"/>
            <w:vAlign w:val="bottom"/>
          </w:tcPr>
          <w:p>
            <w:pPr>
              <w:spacing w:after="0"/>
              <w:rPr>
                <w:sz w:val="20"/>
                <w:szCs w:val="20"/>
                <w:color w:val="auto"/>
              </w:rPr>
            </w:pPr>
            <w:r>
              <w:rPr>
                <w:rFonts w:ascii="Arial" w:cs="Arial" w:eastAsia="Arial" w:hAnsi="Arial"/>
                <w:sz w:val="20"/>
                <w:szCs w:val="20"/>
                <w:b w:val="1"/>
                <w:bCs w:val="1"/>
                <w:color w:val="auto"/>
              </w:rPr>
              <w:t>Total Fees</w:t>
            </w:r>
          </w:p>
        </w:tc>
        <w:tc>
          <w:tcPr>
            <w:tcW w:w="2740" w:type="dxa"/>
            <w:vAlign w:val="bottom"/>
          </w:tcPr>
          <w:p>
            <w:pPr>
              <w:jc w:val="center"/>
              <w:spacing w:after="0"/>
              <w:rPr>
                <w:sz w:val="20"/>
                <w:szCs w:val="20"/>
                <w:color w:val="auto"/>
              </w:rPr>
            </w:pPr>
            <w:r>
              <w:rPr>
                <w:rFonts w:ascii="Arial" w:cs="Arial" w:eastAsia="Arial" w:hAnsi="Arial"/>
                <w:sz w:val="20"/>
                <w:szCs w:val="20"/>
                <w:b w:val="1"/>
                <w:bCs w:val="1"/>
                <w:color w:val="auto"/>
                <w:w w:val="98"/>
              </w:rPr>
              <w:t>$895,091</w:t>
            </w:r>
          </w:p>
        </w:tc>
        <w:tc>
          <w:tcPr>
            <w:tcW w:w="2560" w:type="dxa"/>
            <w:vAlign w:val="bottom"/>
          </w:tcPr>
          <w:p>
            <w:pPr>
              <w:jc w:val="center"/>
              <w:ind w:left="364"/>
              <w:spacing w:after="0"/>
              <w:rPr>
                <w:sz w:val="20"/>
                <w:szCs w:val="20"/>
                <w:color w:val="auto"/>
              </w:rPr>
            </w:pPr>
            <w:r>
              <w:rPr>
                <w:rFonts w:ascii="Arial" w:cs="Arial" w:eastAsia="Arial" w:hAnsi="Arial"/>
                <w:sz w:val="20"/>
                <w:szCs w:val="20"/>
                <w:b w:val="1"/>
                <w:bCs w:val="1"/>
                <w:color w:val="auto"/>
                <w:w w:val="98"/>
              </w:rPr>
              <w:t>$834,002</w:t>
            </w:r>
          </w:p>
        </w:tc>
      </w:tr>
    </w:tbl>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FEES</w:t>
      </w:r>
    </w:p>
    <w:p>
      <w:pPr>
        <w:spacing w:after="0" w:line="24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For the year ended December 31, 2025, audit fees consist of fees for the audit of our consolidated financial statements for the year ended December 31, 2025, the review of the unaudited interim financial statements included in our quarterly reports on Form 10-Q, and fees billed in connection with the filing of a registration statement on Form S-3 and the filing of a registration statement on Form S-8. For the year ended December 31, 2024, audit fees consist of fees for the audit of our consolidated financial statements for the year ended December 31, 2024, the review of the unaudited interim financial statements included in our quarterly reports on Form 10-Q, and fees billed in connection with the filing of a registration statement on Form S-8.</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AUDIT-RELATED FEES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For the years ended December 31, 2025 and December 31, 2024, audit-related fees consist of fees for assurance and related services that are reasonably related to the performance of the audit and the review of our financial statements and which are not reported under “Audit Fees.”</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FEES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Tax fees comprise fees for a variety of permissible professional services rendered by the principal accountant for tax compliance, tax advice, and tax planning. There were no tax fees billed for the years ended December 31, 2025 or December 31, 2024.</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ALL OTHER FEES</w:t>
      </w:r>
    </w:p>
    <w:p>
      <w:pPr>
        <w:spacing w:after="0" w:line="20" w:lineRule="exact"/>
        <w:rPr>
          <w:sz w:val="20"/>
          <w:szCs w:val="20"/>
          <w:color w:val="auto"/>
        </w:rPr>
      </w:pPr>
    </w:p>
    <w:p>
      <w:pPr>
        <w:spacing w:after="0"/>
        <w:rPr>
          <w:sz w:val="20"/>
          <w:szCs w:val="20"/>
          <w:color w:val="auto"/>
        </w:rPr>
      </w:pPr>
      <w:r>
        <w:rPr>
          <w:rFonts w:ascii="Arial" w:cs="Arial" w:eastAsia="Arial" w:hAnsi="Arial"/>
          <w:sz w:val="20"/>
          <w:szCs w:val="20"/>
          <w:color w:val="auto"/>
        </w:rPr>
        <w:t>There were no fees billed for “other services” for the years ended December 31, 2025 or December 31, 2024.</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 PRE-APPROVAL POLICY AND PROCEDURES</w:t>
      </w:r>
    </w:p>
    <w:p>
      <w:pPr>
        <w:spacing w:after="0" w:line="245"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The Audit Committee adopted a policy (the “Pre-Approval Policy”) in connection with our IPO, which sets forth the procedures and conditions pursuant to which audit and non-audit services proposed to</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18" w:name="page19"/>
    <w:bookmarkEnd w:id="18"/>
    <w:p>
      <w:pPr>
        <w:jc w:val="both"/>
        <w:spacing w:after="0" w:line="254" w:lineRule="auto"/>
        <w:rPr>
          <w:sz w:val="20"/>
          <w:szCs w:val="20"/>
          <w:color w:val="auto"/>
        </w:rPr>
      </w:pPr>
      <w:r>
        <w:rPr>
          <w:rFonts w:ascii="Arial" w:cs="Arial" w:eastAsia="Arial" w:hAnsi="Arial"/>
          <w:sz w:val="20"/>
          <w:szCs w:val="20"/>
          <w:color w:val="auto"/>
        </w:rPr>
        <w:t>be performed by the independent auditor may be pre-approved. The Pre-Approval Policy generally provides that we will not engage an independent auditor to render any audit, audit-related, tax or permissible non-audit service unless the service is either (i) explicitly approved by the Audit Committee (“specific pre-approval”) or (ii) entered into pursuant to the pre-approval policies and procedures described in the Pre-Approval Policy (“general pre-approval”). Unless a type of service to be provided by the independent auditor has received general pre-approval by the Audit Committee, it requires specific pre-approval by the Audit Committee.</w:t>
      </w:r>
    </w:p>
    <w:p>
      <w:pPr>
        <w:spacing w:after="0" w:line="227"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For both types of pre-approval, the Audit Committee considers whether such services are consistent with the SEC’s rules on auditor independence. The Audit Committee will also consider whether the independent auditor is best positioned to provide the most effective and efficient service, for reasons such as its familiarity with the Company’s business, people, culture, accounting systems, risk profile and other factors, and whether the service might enhance the Company’s ability to manage or control risk or improve audit quality. All such factors will be considered as a whole, and no one factor should necessarily be determinative.</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connection with the Pre-Approval Policy, the Audit Committee may periodically review and pre-approve any services (and related fee levels or budgeted amounts) that may be provided by the independent auditor without first obtaining specific preapproval from the Audit Committee or the Chair of the Audit Committee. The Audit Committee may revise the list of general pre-approved services from time to time, based on subsequent determinations. The above-described services to the Company provided by BDO USA, P.C. for the fiscal years ended December 31, 2025 and 2024 were approved in accordance with the Pre-Approval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p>
      <w:pPr>
        <w:spacing w:after="0"/>
        <w:rPr>
          <w:sz w:val="20"/>
          <w:szCs w:val="20"/>
          <w:color w:val="auto"/>
        </w:rPr>
      </w:pPr>
      <w:r>
        <w:rPr>
          <w:rFonts w:ascii="Arial" w:cs="Arial" w:eastAsia="Arial" w:hAnsi="Arial"/>
          <w:sz w:val="20"/>
          <w:szCs w:val="20"/>
          <w:b w:val="1"/>
          <w:bCs w:val="1"/>
          <w:color w:val="0094FF"/>
        </w:rPr>
        <w:t>EXECUTIVE OFFICERS</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identifies our current executive officers:</w:t>
      </w:r>
    </w:p>
    <w:p>
      <w:pPr>
        <w:spacing w:after="0" w:line="318" w:lineRule="exact"/>
        <w:rPr>
          <w:sz w:val="20"/>
          <w:szCs w:val="20"/>
          <w:color w:val="auto"/>
        </w:rPr>
      </w:pPr>
    </w:p>
    <w:tbl>
      <w:tblPr>
        <w:tblLayout w:type="fixed"/>
        <w:tblInd w:w="380" w:type="dxa"/>
        <w:tblCellMar>
          <w:top w:w="0" w:type="dxa"/>
          <w:left w:w="0" w:type="dxa"/>
          <w:bottom w:w="0" w:type="dxa"/>
          <w:right w:w="0" w:type="dxa"/>
        </w:tblCellMar>
      </w:tblPr>
      <w:tr>
        <w:trPr>
          <w:trHeight w:val="257"/>
        </w:trPr>
        <w:tc>
          <w:tcPr>
            <w:tcW w:w="3340" w:type="dxa"/>
            <w:vAlign w:val="bottom"/>
            <w:shd w:val="clear" w:color="auto" w:fill="CCEEFF"/>
          </w:tcPr>
          <w:p>
            <w:pPr>
              <w:ind w:left="20"/>
              <w:spacing w:after="0"/>
              <w:rPr>
                <w:sz w:val="20"/>
                <w:szCs w:val="20"/>
                <w:color w:val="auto"/>
              </w:rPr>
            </w:pPr>
            <w:r>
              <w:rPr>
                <w:rFonts w:ascii="Arial" w:cs="Arial" w:eastAsia="Arial" w:hAnsi="Arial"/>
                <w:sz w:val="20"/>
                <w:szCs w:val="20"/>
                <w:b w:val="1"/>
                <w:bCs w:val="1"/>
                <w:color w:val="auto"/>
              </w:rPr>
              <w:t>Name</w:t>
            </w:r>
          </w:p>
        </w:tc>
        <w:tc>
          <w:tcPr>
            <w:tcW w:w="2960" w:type="dxa"/>
            <w:vAlign w:val="bottom"/>
            <w:shd w:val="clear" w:color="auto" w:fill="CCEEFF"/>
          </w:tcPr>
          <w:p>
            <w:pPr>
              <w:jc w:val="center"/>
              <w:ind w:left="561"/>
              <w:spacing w:after="0"/>
              <w:rPr>
                <w:sz w:val="20"/>
                <w:szCs w:val="20"/>
                <w:color w:val="auto"/>
              </w:rPr>
            </w:pPr>
            <w:r>
              <w:rPr>
                <w:rFonts w:ascii="Arial" w:cs="Arial" w:eastAsia="Arial" w:hAnsi="Arial"/>
                <w:sz w:val="20"/>
                <w:szCs w:val="20"/>
                <w:b w:val="1"/>
                <w:bCs w:val="1"/>
                <w:color w:val="auto"/>
              </w:rPr>
              <w:t>Age</w:t>
            </w:r>
          </w:p>
        </w:tc>
        <w:tc>
          <w:tcPr>
            <w:tcW w:w="3940" w:type="dxa"/>
            <w:vAlign w:val="bottom"/>
            <w:shd w:val="clear" w:color="auto" w:fill="CCEEFF"/>
          </w:tcPr>
          <w:p>
            <w:pPr>
              <w:ind w:left="1720"/>
              <w:spacing w:after="0"/>
              <w:rPr>
                <w:sz w:val="20"/>
                <w:szCs w:val="20"/>
                <w:color w:val="auto"/>
              </w:rPr>
            </w:pPr>
            <w:r>
              <w:rPr>
                <w:rFonts w:ascii="Arial" w:cs="Arial" w:eastAsia="Arial" w:hAnsi="Arial"/>
                <w:sz w:val="20"/>
                <w:szCs w:val="20"/>
                <w:b w:val="1"/>
                <w:bCs w:val="1"/>
                <w:color w:val="auto"/>
              </w:rPr>
              <w:t>Position</w:t>
            </w:r>
          </w:p>
        </w:tc>
      </w:tr>
      <w:tr>
        <w:trPr>
          <w:trHeight w:val="324"/>
        </w:trPr>
        <w:tc>
          <w:tcPr>
            <w:tcW w:w="3340" w:type="dxa"/>
            <w:vAlign w:val="bottom"/>
          </w:tcPr>
          <w:p>
            <w:pPr>
              <w:ind w:left="60"/>
              <w:spacing w:after="0"/>
              <w:rPr>
                <w:sz w:val="20"/>
                <w:szCs w:val="20"/>
                <w:color w:val="auto"/>
              </w:rPr>
            </w:pPr>
            <w:r>
              <w:rPr>
                <w:rFonts w:ascii="Arial" w:cs="Arial" w:eastAsia="Arial" w:hAnsi="Arial"/>
                <w:sz w:val="20"/>
                <w:szCs w:val="20"/>
                <w:color w:val="auto"/>
              </w:rPr>
              <w:t>Beth Gerstein</w:t>
            </w:r>
            <w:r>
              <w:rPr>
                <w:rFonts w:ascii="Arial" w:cs="Arial" w:eastAsia="Arial" w:hAnsi="Arial"/>
                <w:sz w:val="25"/>
                <w:szCs w:val="25"/>
                <w:color w:val="auto"/>
                <w:vertAlign w:val="superscript"/>
              </w:rPr>
              <w:t>1</w:t>
            </w:r>
          </w:p>
        </w:tc>
        <w:tc>
          <w:tcPr>
            <w:tcW w:w="2960" w:type="dxa"/>
            <w:vAlign w:val="bottom"/>
          </w:tcPr>
          <w:p>
            <w:pPr>
              <w:jc w:val="center"/>
              <w:ind w:left="561"/>
              <w:spacing w:after="0"/>
              <w:rPr>
                <w:sz w:val="20"/>
                <w:szCs w:val="20"/>
                <w:color w:val="auto"/>
              </w:rPr>
            </w:pPr>
            <w:r>
              <w:rPr>
                <w:rFonts w:ascii="Arial" w:cs="Arial" w:eastAsia="Arial" w:hAnsi="Arial"/>
                <w:sz w:val="20"/>
                <w:szCs w:val="20"/>
                <w:color w:val="auto"/>
                <w:w w:val="98"/>
              </w:rPr>
              <w:t>50</w:t>
            </w:r>
          </w:p>
        </w:tc>
        <w:tc>
          <w:tcPr>
            <w:tcW w:w="3940" w:type="dxa"/>
            <w:vAlign w:val="bottom"/>
          </w:tcPr>
          <w:p>
            <w:pPr>
              <w:ind w:left="960"/>
              <w:spacing w:after="0"/>
              <w:rPr>
                <w:sz w:val="20"/>
                <w:szCs w:val="20"/>
                <w:color w:val="auto"/>
              </w:rPr>
            </w:pPr>
            <w:r>
              <w:rPr>
                <w:rFonts w:ascii="Arial" w:cs="Arial" w:eastAsia="Arial" w:hAnsi="Arial"/>
                <w:sz w:val="20"/>
                <w:szCs w:val="20"/>
                <w:color w:val="auto"/>
              </w:rPr>
              <w:t>Chief Executive Officer</w:t>
            </w:r>
          </w:p>
        </w:tc>
      </w:tr>
      <w:tr>
        <w:trPr>
          <w:trHeight w:val="324"/>
        </w:trPr>
        <w:tc>
          <w:tcPr>
            <w:tcW w:w="3340" w:type="dxa"/>
            <w:vAlign w:val="bottom"/>
            <w:shd w:val="clear" w:color="auto" w:fill="CCEEFF"/>
          </w:tcPr>
          <w:p>
            <w:pPr>
              <w:ind w:left="60"/>
              <w:spacing w:after="0"/>
              <w:rPr>
                <w:sz w:val="20"/>
                <w:szCs w:val="20"/>
                <w:color w:val="auto"/>
              </w:rPr>
            </w:pPr>
            <w:r>
              <w:rPr>
                <w:rFonts w:ascii="Arial" w:cs="Arial" w:eastAsia="Arial" w:hAnsi="Arial"/>
                <w:sz w:val="20"/>
                <w:szCs w:val="20"/>
                <w:color w:val="auto"/>
              </w:rPr>
              <w:t>Eric Grossberg</w:t>
            </w:r>
            <w:r>
              <w:rPr>
                <w:rFonts w:ascii="Arial" w:cs="Arial" w:eastAsia="Arial" w:hAnsi="Arial"/>
                <w:sz w:val="25"/>
                <w:szCs w:val="25"/>
                <w:color w:val="auto"/>
                <w:vertAlign w:val="superscript"/>
              </w:rPr>
              <w:t>2</w:t>
            </w:r>
          </w:p>
        </w:tc>
        <w:tc>
          <w:tcPr>
            <w:tcW w:w="2960" w:type="dxa"/>
            <w:vAlign w:val="bottom"/>
            <w:shd w:val="clear" w:color="auto" w:fill="CCEEFF"/>
          </w:tcPr>
          <w:p>
            <w:pPr>
              <w:jc w:val="center"/>
              <w:ind w:left="561"/>
              <w:spacing w:after="0"/>
              <w:rPr>
                <w:sz w:val="20"/>
                <w:szCs w:val="20"/>
                <w:color w:val="auto"/>
              </w:rPr>
            </w:pPr>
            <w:r>
              <w:rPr>
                <w:rFonts w:ascii="Arial" w:cs="Arial" w:eastAsia="Arial" w:hAnsi="Arial"/>
                <w:sz w:val="20"/>
                <w:szCs w:val="20"/>
                <w:color w:val="auto"/>
                <w:w w:val="98"/>
              </w:rPr>
              <w:t>49</w:t>
            </w:r>
          </w:p>
        </w:tc>
        <w:tc>
          <w:tcPr>
            <w:tcW w:w="3940" w:type="dxa"/>
            <w:vAlign w:val="bottom"/>
            <w:shd w:val="clear" w:color="auto" w:fill="CCEEFF"/>
          </w:tcPr>
          <w:p>
            <w:pPr>
              <w:ind w:left="960"/>
              <w:spacing w:after="0"/>
              <w:rPr>
                <w:sz w:val="20"/>
                <w:szCs w:val="20"/>
                <w:color w:val="auto"/>
              </w:rPr>
            </w:pPr>
            <w:r>
              <w:rPr>
                <w:rFonts w:ascii="Arial" w:cs="Arial" w:eastAsia="Arial" w:hAnsi="Arial"/>
                <w:sz w:val="20"/>
                <w:szCs w:val="20"/>
                <w:color w:val="auto"/>
              </w:rPr>
              <w:t>Executive Chairman</w:t>
            </w:r>
          </w:p>
        </w:tc>
      </w:tr>
      <w:tr>
        <w:trPr>
          <w:trHeight w:val="324"/>
        </w:trPr>
        <w:tc>
          <w:tcPr>
            <w:tcW w:w="3340" w:type="dxa"/>
            <w:vAlign w:val="bottom"/>
          </w:tcPr>
          <w:p>
            <w:pPr>
              <w:ind w:left="20"/>
              <w:spacing w:after="0"/>
              <w:rPr>
                <w:sz w:val="20"/>
                <w:szCs w:val="20"/>
                <w:color w:val="auto"/>
              </w:rPr>
            </w:pPr>
            <w:r>
              <w:rPr>
                <w:rFonts w:ascii="Arial" w:cs="Arial" w:eastAsia="Arial" w:hAnsi="Arial"/>
                <w:sz w:val="20"/>
                <w:szCs w:val="20"/>
                <w:color w:val="auto"/>
              </w:rPr>
              <w:t>Jeffrey Kuo</w:t>
            </w:r>
            <w:r>
              <w:rPr>
                <w:rFonts w:ascii="Arial" w:cs="Arial" w:eastAsia="Arial" w:hAnsi="Arial"/>
                <w:sz w:val="25"/>
                <w:szCs w:val="25"/>
                <w:color w:val="auto"/>
                <w:vertAlign w:val="superscript"/>
              </w:rPr>
              <w:t>3</w:t>
            </w:r>
          </w:p>
        </w:tc>
        <w:tc>
          <w:tcPr>
            <w:tcW w:w="2960" w:type="dxa"/>
            <w:vAlign w:val="bottom"/>
          </w:tcPr>
          <w:p>
            <w:pPr>
              <w:jc w:val="center"/>
              <w:ind w:left="561"/>
              <w:spacing w:after="0"/>
              <w:rPr>
                <w:sz w:val="20"/>
                <w:szCs w:val="20"/>
                <w:color w:val="auto"/>
              </w:rPr>
            </w:pPr>
            <w:r>
              <w:rPr>
                <w:rFonts w:ascii="Arial" w:cs="Arial" w:eastAsia="Arial" w:hAnsi="Arial"/>
                <w:sz w:val="20"/>
                <w:szCs w:val="20"/>
                <w:color w:val="auto"/>
                <w:w w:val="98"/>
              </w:rPr>
              <w:t>50</w:t>
            </w:r>
          </w:p>
        </w:tc>
        <w:tc>
          <w:tcPr>
            <w:tcW w:w="3940" w:type="dxa"/>
            <w:vAlign w:val="bottom"/>
          </w:tcPr>
          <w:p>
            <w:pPr>
              <w:ind w:left="960"/>
              <w:spacing w:after="0"/>
              <w:rPr>
                <w:sz w:val="20"/>
                <w:szCs w:val="20"/>
                <w:color w:val="auto"/>
              </w:rPr>
            </w:pPr>
            <w:r>
              <w:rPr>
                <w:rFonts w:ascii="Arial" w:cs="Arial" w:eastAsia="Arial" w:hAnsi="Arial"/>
                <w:sz w:val="20"/>
                <w:szCs w:val="20"/>
                <w:color w:val="auto"/>
              </w:rPr>
              <w:t>Chief Financial Officer</w:t>
            </w:r>
          </w:p>
        </w:tc>
      </w:tr>
      <w:tr>
        <w:trPr>
          <w:trHeight w:val="270"/>
        </w:trPr>
        <w:tc>
          <w:tcPr>
            <w:tcW w:w="3340" w:type="dxa"/>
            <w:vAlign w:val="bottom"/>
            <w:shd w:val="clear" w:color="auto" w:fill="CCEEFF"/>
          </w:tcPr>
          <w:p>
            <w:pPr>
              <w:ind w:left="20"/>
              <w:spacing w:after="0" w:line="270" w:lineRule="exact"/>
              <w:rPr>
                <w:sz w:val="20"/>
                <w:szCs w:val="20"/>
                <w:color w:val="auto"/>
              </w:rPr>
            </w:pPr>
            <w:r>
              <w:rPr>
                <w:rFonts w:ascii="Arial" w:cs="Arial" w:eastAsia="Arial" w:hAnsi="Arial"/>
                <w:sz w:val="20"/>
                <w:szCs w:val="20"/>
                <w:color w:val="auto"/>
              </w:rPr>
              <w:t>Sharon Dziesietnik</w:t>
            </w:r>
            <w:r>
              <w:rPr>
                <w:rFonts w:ascii="Arial" w:cs="Arial" w:eastAsia="Arial" w:hAnsi="Arial"/>
                <w:sz w:val="25"/>
                <w:szCs w:val="25"/>
                <w:color w:val="auto"/>
                <w:vertAlign w:val="superscript"/>
              </w:rPr>
              <w:t>4</w:t>
            </w:r>
          </w:p>
        </w:tc>
        <w:tc>
          <w:tcPr>
            <w:tcW w:w="2960" w:type="dxa"/>
            <w:vAlign w:val="bottom"/>
            <w:shd w:val="clear" w:color="auto" w:fill="CCEEFF"/>
          </w:tcPr>
          <w:p>
            <w:pPr>
              <w:jc w:val="center"/>
              <w:ind w:left="561"/>
              <w:spacing w:after="0"/>
              <w:rPr>
                <w:sz w:val="20"/>
                <w:szCs w:val="20"/>
                <w:color w:val="auto"/>
              </w:rPr>
            </w:pPr>
            <w:r>
              <w:rPr>
                <w:rFonts w:ascii="Arial" w:cs="Arial" w:eastAsia="Arial" w:hAnsi="Arial"/>
                <w:sz w:val="20"/>
                <w:szCs w:val="20"/>
                <w:color w:val="auto"/>
                <w:w w:val="98"/>
              </w:rPr>
              <w:t>41</w:t>
            </w:r>
          </w:p>
        </w:tc>
        <w:tc>
          <w:tcPr>
            <w:tcW w:w="3940" w:type="dxa"/>
            <w:vAlign w:val="bottom"/>
            <w:shd w:val="clear" w:color="auto" w:fill="CCEEFF"/>
          </w:tcPr>
          <w:p>
            <w:pPr>
              <w:ind w:left="960"/>
              <w:spacing w:after="0"/>
              <w:rPr>
                <w:sz w:val="20"/>
                <w:szCs w:val="20"/>
                <w:color w:val="auto"/>
              </w:rPr>
            </w:pPr>
            <w:r>
              <w:rPr>
                <w:rFonts w:ascii="Arial" w:cs="Arial" w:eastAsia="Arial" w:hAnsi="Arial"/>
                <w:sz w:val="20"/>
                <w:szCs w:val="20"/>
                <w:color w:val="auto"/>
              </w:rPr>
              <w:t>Chief Operations Officer</w:t>
            </w:r>
          </w:p>
        </w:tc>
      </w:tr>
    </w:tbl>
    <w:p>
      <w:pPr>
        <w:spacing w:after="0" w:line="167" w:lineRule="exact"/>
        <w:rPr>
          <w:sz w:val="20"/>
          <w:szCs w:val="20"/>
          <w:color w:val="auto"/>
        </w:rPr>
      </w:pPr>
    </w:p>
    <w:p>
      <w:pPr>
        <w:sectPr>
          <w:pgSz w:w="11900" w:h="16838" w:orient="portrait"/>
          <w:cols w:equalWidth="0" w:num="1">
            <w:col w:w="10620"/>
          </w:cols>
          <w:pgMar w:left="320" w:top="980" w:right="959" w:bottom="1440" w:gutter="0" w:footer="0" w:header="0"/>
        </w:sectPr>
      </w:pPr>
    </w:p>
    <w:p>
      <w:pPr>
        <w:spacing w:after="0" w:line="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1</w:t>
      </w:r>
    </w:p>
    <w:p>
      <w:pPr>
        <w:spacing w:after="0" w:line="242" w:lineRule="exact"/>
        <w:rPr>
          <w:sz w:val="20"/>
          <w:szCs w:val="20"/>
          <w:color w:val="auto"/>
        </w:rPr>
      </w:pPr>
    </w:p>
    <w:p>
      <w:pPr>
        <w:ind w:left="400"/>
        <w:spacing w:after="0"/>
        <w:rPr>
          <w:sz w:val="20"/>
          <w:szCs w:val="20"/>
          <w:color w:val="auto"/>
        </w:rPr>
      </w:pPr>
      <w:r>
        <w:rPr>
          <w:rFonts w:ascii="Arial" w:cs="Arial" w:eastAsia="Arial" w:hAnsi="Arial"/>
          <w:sz w:val="13"/>
          <w:szCs w:val="13"/>
          <w:color w:val="auto"/>
        </w:rPr>
        <w:t>2</w:t>
      </w:r>
    </w:p>
    <w:p>
      <w:pPr>
        <w:spacing w:after="0" w:line="229" w:lineRule="exact"/>
        <w:rPr>
          <w:sz w:val="20"/>
          <w:szCs w:val="20"/>
          <w:color w:val="auto"/>
        </w:rPr>
      </w:pPr>
    </w:p>
    <w:p>
      <w:pPr>
        <w:ind w:left="400"/>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auto"/>
        </w:rPr>
        <w:t>See biography on page 10 of this proxy statement.</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See biography on page 9 of this proxy statement.</w:t>
      </w:r>
    </w:p>
    <w:p>
      <w:pPr>
        <w:spacing w:after="0" w:line="148" w:lineRule="exact"/>
        <w:rPr>
          <w:sz w:val="20"/>
          <w:szCs w:val="20"/>
          <w:color w:val="auto"/>
        </w:rPr>
      </w:pPr>
    </w:p>
    <w:p>
      <w:pPr>
        <w:jc w:val="both"/>
        <w:ind w:left="700" w:right="600" w:hanging="668"/>
        <w:spacing w:after="0" w:line="267" w:lineRule="auto"/>
        <w:rPr>
          <w:sz w:val="20"/>
          <w:szCs w:val="20"/>
          <w:color w:val="auto"/>
        </w:rPr>
      </w:pPr>
      <w:r>
        <w:rPr>
          <w:rFonts w:ascii="Arial" w:cs="Arial" w:eastAsia="Arial" w:hAnsi="Arial"/>
          <w:sz w:val="19"/>
          <w:szCs w:val="19"/>
          <w:color w:val="auto"/>
        </w:rPr>
        <w:t>Mr. Kuo has served as Brilliant Earth Group, Inc.’s Chief Financial Officer since its formation, and he has served as the Chief Financial Officer of Brilliant Earth, LLC since March 2020. Mr. Kuo joined Brilliant Earth, LLC in 2015 and previously served as its Vice President of Technology and Vice President of Finance &amp; Technology until March 2020 when he became the Chief Financial Officer. Before joining Brilliant Earth, LLC, Mr. Kuo founded and served as the President and Manager of Xetum LLC, a wristwatch company. Prior to founding Xetum LLC, Mr. Kuo was a management consultant with Bain &amp; Company. Mr. Kuo received a Bachelor of Arts in Biochemical Sciences from Harvard University and an MBA from the Stanford University Graduate School of Business.</w:t>
      </w:r>
    </w:p>
    <w:p>
      <w:pPr>
        <w:spacing w:after="0" w:line="200" w:lineRule="exact"/>
        <w:rPr>
          <w:sz w:val="20"/>
          <w:szCs w:val="20"/>
          <w:color w:val="auto"/>
        </w:rPr>
      </w:pPr>
    </w:p>
    <w:p>
      <w:pPr>
        <w:sectPr>
          <w:pgSz w:w="11900" w:h="16838" w:orient="portrait"/>
          <w:cols w:equalWidth="0" w:num="2">
            <w:col w:w="480" w:space="220"/>
            <w:col w:w="9920"/>
          </w:cols>
          <w:pgMar w:left="320" w:top="980" w:right="959" w:bottom="1440" w:gutter="0" w:footer="0" w:header="0"/>
          <w:type w:val="continuous"/>
        </w:sectPr>
      </w:pPr>
    </w:p>
    <w:p>
      <w:pPr>
        <w:spacing w:after="0" w:line="137" w:lineRule="exact"/>
        <w:rPr>
          <w:sz w:val="20"/>
          <w:szCs w:val="20"/>
          <w:color w:val="auto"/>
        </w:rPr>
      </w:pPr>
    </w:p>
    <w:p>
      <w:pPr>
        <w:ind w:left="1400" w:right="600" w:hanging="994"/>
        <w:spacing w:after="0" w:line="243" w:lineRule="auto"/>
        <w:tabs>
          <w:tab w:leader="none" w:pos="699" w:val="left"/>
        </w:tabs>
        <w:numPr>
          <w:ilvl w:val="0"/>
          <w:numId w:val="9"/>
        </w:numPr>
        <w:rPr>
          <w:rFonts w:ascii="Arial" w:cs="Arial" w:eastAsia="Arial" w:hAnsi="Arial"/>
          <w:sz w:val="26"/>
          <w:szCs w:val="26"/>
          <w:color w:val="auto"/>
          <w:vertAlign w:val="superscript"/>
        </w:rPr>
      </w:pPr>
      <w:r>
        <w:rPr>
          <w:rFonts w:ascii="Arial" w:cs="Arial" w:eastAsia="Arial" w:hAnsi="Arial"/>
          <w:sz w:val="20"/>
          <w:szCs w:val="20"/>
          <w:color w:val="auto"/>
        </w:rPr>
        <w:t>Ms. Dziesietnik has served as the Company’s Chief Operations Officer since August 2024. Previously, Ms. Dziesietnik served as the Company’s Senior Vice President, Customer Operations from September 2021 to August 2024. Ms.Dziesietnik joined Brilliant Earth, LLC in 2012 and held several management positions with Brilliant Earth, LLC, including serving as its Vice President of Customer Operations from March 2017 until March 2020 and as its Senior Vice President of Customer Operations from March 2020 to September 2021. Prior to joining Brilliant Earth, LLC, Ms. Dziesietnik held various management roles at Naehas, Inc. a provider of marketing automation and compliance solutions. Ms. Dziesietnik received a Bachelor of Science in Business Administration from Boston University and an MBA from Tulane University.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980" w:right="95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20"/>
          <w:szCs w:val="20"/>
          <w:b w:val="1"/>
          <w:bCs w:val="1"/>
          <w:color w:val="0094FF"/>
        </w:rPr>
        <w:t>CORPORATE GOVERNANCE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Our Board has adopted Corporate Governance Guidelines, a Code of Business Conduct and Ethics and charters for our Nominating and Corporate Governance Committee, Audit Committee, and Compensation Committee to assist the Board in the exercise of its responsibilities and to serve as a framework for the effective governance of the Company. You can access our current committee charters, our Corporate Governance Guidelines and our Code of Business Conduct and Ethics in the “Governance” section of the “Investor Relations” page of our website located at www.brilliantearth.com or by writing to our offices at 300 Grant Avenue, Third Floor, San Francisco, CA 94108.</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COMPOSITION</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Board currently consists of six (6) members: Beth Gerstein, Eric Grossberg, Jennifer N. Harris, Attica A. Jaques, Beth J. Kaplan, and Gavin M. Turner. Our Board is currently divided into three classes with staggered, three-year terms. At each annual meeting of stockholders, the directors whose terms then expire will be elected to serve from the time of election and qualification until the third annual meeting following election or such director’s death, resignation or removal, whichever is earliest to occur. Any additional directorships resulting from an increase in the number of directors on the Board will be distributed among the three classes so that, as nearly as possible, each class will consist of one-third of the directors. The division of our Board into three classes with staggered three-year terms may delay or prevent a change of our management or a change in control of the Company.</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AGREEMENT</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In connection with our IPO, we entered into a Stockholders Agreement with (i) Mainsail Partners III L.P., a Delaware limited partnership and the Mainsail Holdcos (as defined in the Stockholders Agreement) (collectively, “Mainsail”), and (ii) Just Rocks granting each of Mainsail and Just Rocks certain board designation rights so long as each maintains a specified percentage of ownership of our outstanding common stock.</w:t>
      </w:r>
    </w:p>
    <w:p>
      <w:pPr>
        <w:spacing w:after="0" w:line="241"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Pursuant to the terms of the Stockholders Agreement, Mainsail has the right to designate (i) two of our directors for as long as Mainsail directly or indirectly, beneficially owns, in the aggregate, 15% or more of our Class A common stock (assuming that all outstanding common units of Brilliant Earth, LLC ("LLC Interests") are redeemed for shares of our Class A common stock on a one-for- one basis) or (ii) one of our directors for as long as Mainsail directly or indirectly, beneficially owns, in the aggregate, 5% or more of our Class A common stock (assuming that all outstanding LLC Interests in Brilliant Earth, LLC are redeemed for shares of our Class A common stock on a one- for-one basis), and Just Rocks shall have the right to designate (i) two of our directors, for as long as Just Rocks directly or indirectly, beneficially owns, in the aggregate, 15% or more of our Class A common stock and Class D common stock, combined (assuming that all outstanding LLC Interests are redeemed for shares of our Class A common stock or Class D common stock, on a one-for-one basis) or (ii) one of our directors for as long as Just Rocks directly or indirectly, beneficially owns, in the aggregate, 5% or more of our Class A common stock and Class D common stock, combined (assuming that all outstanding LLC Interests are redeemed for shares of our class A common stock or Class D common stock, on a one-for-one basis). Each of Mainsail and Just Rocks have agreed to vote, or cause to vote, all of their outstanding shares of our Common Stock at any annual or special meeting of stockholders at which directors are elected and to take all necessary action to cause the election of the Mainsail designated directors and Just Rocks designated directors. Additionally, pursuant to the Stockholders Agreement, we agreed to take all commercially reasonable actions to, among other things, cause (1) the Board to be comprised of at least seven (7) directors, or such other number of Directors as the Board may determine in accordance with the terms of the Stockholders Agreement and the Company’s organizational documents, (2) the individuals designated in accordance with the terms of the Stockholders Agreement to be included in the slate of nominees to be directors are to be elected at</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1" w:name="page22"/>
    <w:bookmarkEnd w:id="21"/>
    <w:p>
      <w:pPr>
        <w:jc w:val="both"/>
        <w:spacing w:after="0" w:line="252" w:lineRule="auto"/>
        <w:rPr>
          <w:sz w:val="20"/>
          <w:szCs w:val="20"/>
          <w:color w:val="auto"/>
        </w:rPr>
      </w:pPr>
      <w:r>
        <w:rPr>
          <w:rFonts w:ascii="Arial" w:cs="Arial" w:eastAsia="Arial" w:hAnsi="Arial"/>
          <w:sz w:val="20"/>
          <w:szCs w:val="20"/>
          <w:color w:val="auto"/>
        </w:rPr>
        <w:t>each annual meeting of our stockholders at which a director’s term expires; (3) the individuals designated in accordance with the terms of the Stockholders Agreement to fill the applicable vacancies on the Board; and (4) a Just Rocks designated director to be the Chairperson of the Board. Notwithstanding the foregoing, in accordance with the terms of the Stockholders Agreement and the Company's organizational documents, the Board has determined that six (6) directors is the appropriate number of directors at this time. In addition, Mainsail has the right, but not the obligation, to designate one (1) director to our Compensation Committee for so long as the Mainsail has the ability to designate at least one (1) director to the Board. The Stockholders Agreement allows for the Board to reject the nomination, appointment or election of a particular director if such nomination, appointment or election would constitute a breach of the Board’s fiduciary duties to our stockholders or does not otherwise comply with any requirements of our Articles of Incorporation or our Bylaws or the Securities Act of 1933, as amended (the “Securities Act”) and Securities Exchange Act of 1934, as amended (the “Exchange Act”).</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Stockholders Agreement will terminate upon the earliest to occur of (i) each of Mainsail or Just Rocks ceasing to own our Class A common stock, Class B common stock, Class C common stock or Class D common stock, (ii) each of Mainsail or Just Rocks ceasing to have any director designation rights, or (iii) as agreed unanimously in writing between us, Mainsail and Just Rocks.</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As a result of the Stockholders Agreement and the aggregate voting power of the parties thereto, we expect that the parties to the agreement acting in conjunction will control the election of the Company’s directors. Please see “—Controlled Company,” below.</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Board has affirmatively determined that each of Jennifer N. Harris, Attica A. Jaques, Beth J. Kaplan, and Gavin M. Turner qualifies as an “independent director,” as defined under the applicable Nasdaq Stock Market LLC rules (the “Nasdaq Rules”). In addition, the Board determined that Ian M. Bickley, who resigned from the Board effective March 31, 2026, qualified as independent while he served on the Board. The Nasdaq independence definition includes a series of objective tests, including that the director is not, and has not been for at least three years, one of our employees and that neither the director nor any of his family members has engaged in various types of business dealings with us. In addition, as required by the Nasdaq Rules, our Board has made a subjective determination as to each independent director that no relationships exist, which, in the opinion of our Board, would interfere with the exercise of independent judgment in carrying out the responsibilities of a director. In evaluating and determining the independence of the directors, the Board considered that the Company may have certain relationships with its directors. Specifically, the Board considered that certain of our directors are affiliated with significant stockholders of the Company. There are no family relationships among any of our executive officers and directors.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CONTROLLED COMPANY</w:t>
      </w:r>
    </w:p>
    <w:p>
      <w:pPr>
        <w:spacing w:after="0" w:line="3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Mainsail and Just Rocks, in the aggregate, hold more than 50% of the voting power for the election of directors, and, as a result, we are considered a “controlled company” for the purposes of the Nasdaq Rules. As such, we qualify for exemptions from certain corporate governance requirements, including that a majority of our Board consist of “independent directors,” as defined under the Nasdaq Rules. In addition, we are not required to have a nominating and corporate governance committee or compensation committee that is composed entirely of independent directors with a written charter addressing the committee’s purpose and responsibilities or to conduct annual performance evaluations of the nominating and corporate governance and compensation committees.</w:t>
      </w:r>
    </w:p>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While currently four of the six directors on our Board are independent under the Nasdaq Rules, and our Audit Committee, Compensation Committee, and Nominating and Corporate Governance Committee has each adopted a formal written charter and each consists entirely of independent directors under the Nasdaq Rules, for so long as we remain a “controlled company,” we may avail</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2" w:name="page23"/>
    <w:bookmarkEnd w:id="22"/>
    <w:p>
      <w:pPr>
        <w:jc w:val="both"/>
        <w:spacing w:after="0" w:line="262" w:lineRule="auto"/>
        <w:rPr>
          <w:sz w:val="20"/>
          <w:szCs w:val="20"/>
          <w:color w:val="auto"/>
        </w:rPr>
      </w:pPr>
      <w:r>
        <w:rPr>
          <w:rFonts w:ascii="Arial" w:cs="Arial" w:eastAsia="Arial" w:hAnsi="Arial"/>
          <w:sz w:val="20"/>
          <w:szCs w:val="20"/>
          <w:color w:val="auto"/>
        </w:rPr>
        <w:t>ourselves of exemptions available to “controlled companies” in the future. Accordingly, our stockholders may not have the same protections afforded to stockholders of companies that are subject to all of the corporate governance requirements of the Nasdaq Rules.</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If at any time we cease to be a “controlled company” under the Nasdaq Rules, our Board intends to take any action that may be necessary to comply with the Nasdaq Rules, subject to a permitted “phase-in” period.</w:t>
      </w:r>
    </w:p>
    <w:p>
      <w:pPr>
        <w:spacing w:after="0" w:line="1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CANDIDATES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Nominating and Corporate Governance Committee is responsible for identifying and reviewing the qualifications of potential director candidates and recommending to the Board those candidates to be nominated for election to the Board, subject to any obligations and procedures governing the nomination of directors to the Board that may be included in the Stockholders Agreement. The Nominating and Corporate Governance Committee, in recommending director candidates for election to the Board, and the Board, in nominating director candidates, will consider candidates who have a high level of personal and professional integrity, strong ethics and values and the ability to make mature business judgments. The Board believes that the Board membership should reflect a broad range of work and life experience, qualifications, and skills in order to ensure that the Board, as a whole, has the necessary tools to perform its oversight function effectively in light of the Company’s business and structure.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Nominating and Corporate Governance Committee may also consult with outside advisors or retain search firms to assist in the search for qualified candidates, or consider director candidates recommended by our stockholders. Once potential candidates are identified, the Nominating and Corporate Governance Committee reviews the backgrounds of those candidates, evaluates candidates’ independence from us and potential conflicts of interest, and determines if candidates meet the qualifications desired by the Nominating and Corporate Governance Committee of candidates for election as director.</w:t>
      </w:r>
    </w:p>
    <w:p>
      <w:pPr>
        <w:spacing w:after="0" w:line="214"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In evaluating director candidates (both new candidates and current Board members), the Nominating and Corporate Governance Committee in recommending candidates for election, and the Board may also consider the following criteria as well as any other factor that they deem to be relevant such as experience in corporate management, such as serving as an officer or former officer of a publicly held company; experience as a board member of another publicly held company; professional and academic experience relevant to the Company’s industry, operations, and target markets; ability to exercise mature business judgment, including, but not limited to, the ability to make independent analytical inquiries; leadership skills; experience in finance and accounting and/or executive compensation practices; whether a candidate has the time required for preparation, participation and attendance at Board meetings and committee meetings, if applicable; and diversity of background and perspective, and experience in substantive matters pertaining to the Company’s business relative to other board members. In addition, the Board will consider whether there are potential conflicts of interest with the candidate’s other personal and professional pursuits.</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Stockholders may recommend individuals to the Nominating and Corporate Governance Committee for consideration as potential director candidates by submitting the names of the recommended individuals, together with appropriate biographical information and background materials, to the Nominating and Corporate Governance Committee, c/o General Counsel, Brilliant Earth Group, Inc., 300 Grant Avenue, Third Floor, San Francisco, CA 94108. In the event there is a vacancy, and</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3" w:name="page24"/>
    <w:bookmarkEnd w:id="23"/>
    <w:p>
      <w:pPr>
        <w:jc w:val="both"/>
        <w:ind w:right="20"/>
        <w:spacing w:after="0" w:line="262" w:lineRule="auto"/>
        <w:rPr>
          <w:sz w:val="20"/>
          <w:szCs w:val="20"/>
          <w:color w:val="auto"/>
        </w:rPr>
      </w:pPr>
      <w:r>
        <w:rPr>
          <w:rFonts w:ascii="Arial" w:cs="Arial" w:eastAsia="Arial" w:hAnsi="Arial"/>
          <w:sz w:val="20"/>
          <w:szCs w:val="20"/>
          <w:color w:val="auto"/>
        </w:rPr>
        <w:t>assuming that appropriate biographical and background material has been provided on a timely basis, the Nominating and Corporate Governance Committee will evaluate stockholder-recommended candidates by following substantially the same process, and applying substantially the same criteria, as it follows for candidates submitted by others.</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COMMUNICATIONS FROM STOCKHOLDERS</w:t>
      </w:r>
    </w:p>
    <w:p>
      <w:pPr>
        <w:spacing w:after="0" w:line="33"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Stockholders of the Company may communicate directly with the independent members of the Board or any Chair of a Board committee about corporate governance, corporate strategy, Board- related matters or other substantive matters that our General Counsel consider to be important for the director(s) to know, by addressing any communications to the intended recipient by name or position in care of: Brilliant Earth Group, Inc., Attn: General Counsel, 300 Grant Avenue, Third Floor, San Francisco, CA 94108, subject to compliance with the requirements and parameters noted below. Such communications may be made confidentially or anonymously.</w:t>
      </w:r>
    </w:p>
    <w:p>
      <w:pPr>
        <w:spacing w:after="0" w:line="205"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All communications, including stockholder recommendations of director candidates, must be accompanied by the following regarding the person submitting the communication: a statement of the type and amount of the securities of the Company that the person holds, and the address, telephone number and e-mail address, if any, of the person.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types of communications are considered inappropriate for delivery to directors:</w:t>
      </w:r>
    </w:p>
    <w:p>
      <w:pPr>
        <w:spacing w:after="0" w:line="31" w:lineRule="exact"/>
        <w:rPr>
          <w:sz w:val="20"/>
          <w:szCs w:val="20"/>
          <w:color w:val="auto"/>
        </w:rPr>
      </w:pPr>
    </w:p>
    <w:p>
      <w:pPr>
        <w:ind w:left="660" w:right="20" w:hanging="328"/>
        <w:spacing w:after="0" w:line="246" w:lineRule="auto"/>
        <w:tabs>
          <w:tab w:leader="none" w:pos="648"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Communications regarding individual grievances or other interests that are personal to the party submitting the communication;</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Communications regarding ordinary business operations; and</w:t>
      </w:r>
    </w:p>
    <w:p>
      <w:pPr>
        <w:ind w:left="640" w:hanging="308"/>
        <w:spacing w:after="0"/>
        <w:tabs>
          <w:tab w:leader="none" w:pos="640" w:val="left"/>
        </w:tabs>
        <w:numPr>
          <w:ilvl w:val="0"/>
          <w:numId w:val="10"/>
        </w:numPr>
        <w:rPr>
          <w:rFonts w:ascii="Arial" w:cs="Arial" w:eastAsia="Arial" w:hAnsi="Arial"/>
          <w:sz w:val="20"/>
          <w:szCs w:val="20"/>
          <w:color w:val="auto"/>
        </w:rPr>
      </w:pPr>
      <w:r>
        <w:rPr>
          <w:rFonts w:ascii="Arial" w:cs="Arial" w:eastAsia="Arial" w:hAnsi="Arial"/>
          <w:sz w:val="20"/>
          <w:szCs w:val="20"/>
          <w:color w:val="auto"/>
        </w:rPr>
        <w:t>Communications that contain offensive, obscene or abusive content.</w:t>
      </w:r>
    </w:p>
    <w:p>
      <w:pPr>
        <w:spacing w:after="0" w:line="13"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Communications deemed to comply with the above requirements and to be appropriate for delivery will be delivered to the applicable director(s) on a periodic basis, generally in advance of each regularly scheduled meeting of the Board.</w:t>
      </w:r>
    </w:p>
    <w:p>
      <w:pPr>
        <w:spacing w:after="0" w:line="1"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Concerns relating to accounting, internal accounting controls, auditing matters or questionable financial practices will be handled in accordance with the procedures established by the Audit Committee with respect to such matters.</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 STRUCTURE AND ROLE IN RISK OVERSIGHT</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Our Bylaws and Corporate Governance Guidelines provide our Board with flexibility to combine or separate the positions of Chair of the Board and Chief Executive Officer in accordance with its determination that utilizing one or the other structure would be in the best interests of our Company. Mr. Grossberg, one of our co-founders, has served as Executive Chair of our Board since our formation and previously served as our co-Chief Executive Officer until March 2021. Ms. Gerstein, our other co-founder, serves as our Chief Executive Officer. We believe that the current separation of the roles of Chair and Chief Executive Officer is appropriate given our Company’s strategic and operational priorities. This structure allows the Chief Executive Officer to focus on our business and operations, while continuing to leverage the Executive Chair’s experience, perspective and vision to focus on long-term growth and strategic initiatives.</w:t>
      </w:r>
    </w:p>
    <w:p>
      <w:pPr>
        <w:spacing w:after="0" w:line="220"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Corporate Governance Guidelines provide that, if the Chair of the Board is a member of management or does not otherwise qualify as independent, the independent directors may elect a lead director. Although the Chair of our Board is not an independent director and currently we do not have a lead director, our Board believes that separation of the positions of Chair and Chief Executive Officer, combined with the independent leadership of each of our Board committees, reinforces the independence of the Board from management, creates an environment that encourages objective oversight of management’s performance and enhances the effectiveness of the Board as a whole. Our Board of Directors has concluded that our current leadership structure is appropriate at this time, and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20"/>
          <w:szCs w:val="20"/>
          <w:color w:val="auto"/>
        </w:rPr>
        <w:t>will continue to periodically review our leadership structure and may make such changes in the future as it deems appropriate and in the best interests of the Company and its stockholders.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Board is responsible for overseeing our risk management process. Our Board focuses on our general risk management policies and strategy, the most significant risks facing us, and overseeing the implementation of risk mitigation strategies by management. Our Board is responsible for regularly reviewing information regarding and risks related to our credit, liquidity, and operations.</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Audit Committee is responsible for reviewing and discussing our policies with respect to risk assessment and management, including with respect to financial, cybersecurity, and other information technology risks. In addition, our Audit Committee oversees management’s implementation of our cybersecurity risk management program. The Audit Committee receives periodic reports from management on our cybersecurity risks and risk-mitigation efforts, and our management updates the Audit Committee, as necessary, regarding any significant cybersecurity incidents.</w:t>
      </w:r>
    </w:p>
    <w:p>
      <w:pPr>
        <w:spacing w:after="0" w:line="214"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Our Nominating and Corporate Governance Committee manages risks associated with the independence of our Board of Directors.</w:t>
      </w:r>
    </w:p>
    <w:p>
      <w:pPr>
        <w:spacing w:after="0" w:line="196" w:lineRule="exact"/>
        <w:rPr>
          <w:sz w:val="20"/>
          <w:szCs w:val="20"/>
          <w:color w:val="auto"/>
        </w:rPr>
      </w:pPr>
    </w:p>
    <w:p>
      <w:pPr>
        <w:jc w:val="both"/>
        <w:ind w:right="20"/>
        <w:spacing w:after="0" w:line="286" w:lineRule="auto"/>
        <w:rPr>
          <w:sz w:val="20"/>
          <w:szCs w:val="20"/>
          <w:color w:val="auto"/>
        </w:rPr>
      </w:pPr>
      <w:r>
        <w:rPr>
          <w:rFonts w:ascii="Arial" w:cs="Arial" w:eastAsia="Arial" w:hAnsi="Arial"/>
          <w:sz w:val="20"/>
          <w:szCs w:val="20"/>
          <w:color w:val="auto"/>
        </w:rPr>
        <w:t>Our Compensation Committee is responsible for overseeing the management of risks relating to the Company’s executive compensation plans and arrangements.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While each of our Board committees is responsible for evaluating certain risks and overseeing the management of such risks, our entire Board is regularly kept informed of through committee reports and is also kept apprised of particular risk management matters in connection with its general oversight and approval of corporate matters and significant transactions. The Board does not believe that its role in the oversight of our risks affects the Board’s leadership structure.</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INSIDER TRADING COMPLIANCE POLICY</w:t>
      </w:r>
    </w:p>
    <w:p>
      <w:pPr>
        <w:jc w:val="both"/>
        <w:spacing w:after="0" w:line="251" w:lineRule="auto"/>
        <w:rPr>
          <w:sz w:val="20"/>
          <w:szCs w:val="20"/>
          <w:color w:val="auto"/>
        </w:rPr>
      </w:pPr>
      <w:r>
        <w:rPr>
          <w:rFonts w:ascii="Arial" w:cs="Arial" w:eastAsia="Arial" w:hAnsi="Arial"/>
          <w:sz w:val="20"/>
          <w:szCs w:val="20"/>
          <w:color w:val="auto"/>
        </w:rPr>
        <w:t>Our Board has adopted an Insider Trading Compliance Policy governing the purchase, sale and other dispositions of the Company’s securities by officers, directors and employees of the Company and other covered persons and which the Company believes is reasonably designed to promote compliance with insider trading laws, rules and regulations and listing standards applicable to the Company. In addition, with regard to any trading by the Company in its own securities, it is the Company’s policy to comply with the federal securities laws and applicable exchange listing requirements. A copy of our Insider Trading Policy was filed as Exhibit 19.1 to our Annual Report on Form 10-K for the fiscal year ended December 31, 2024 filed with the SEC on March 13, 2025.</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ANTI-HEDGING POLICY</w:t>
      </w:r>
    </w:p>
    <w:p>
      <w:pPr>
        <w:spacing w:after="0" w:line="33"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Our Insider Trading Compliance Policy prohibits our directors, officers and employees and any entities they control from short sales, transactions in puts, calls, or other derivative securities involving the Company’s equity securities, on an exchange, on an over-the-counter market, or in any other organized market, hedging transactions involving the Company’s securities, such as prepaid variable forward contracts, equity swaps, collars and exchange funds, or other transactions that hedge or offset, or are designed to hedge or offset, any decrease in the market value of the Company’s equity securities pledging Company securities as collateral for a loan, purchasing Company securities on margin (i.e., borrowing money to purchase the securities), or placing Company securities in a margin account.</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POLICY</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Board has adopted a Policy for Recovery of Erroneously Awarded Compensation (the "Clawback Policy"), in accordance with the Nasdaq listing standards and Exchange Act Rule 10D-1, which applies to our current and former executive officers. Under the Clawback Policy, we are required to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20"/>
          <w:szCs w:val="20"/>
          <w:color w:val="auto"/>
        </w:rPr>
        <w:t>recoup the amount of any erroneously awarded compensation (as defined in the Clawback Policy) on a pre-tax basis within a specified lookback period in the event of any Financial Restatement (as defined in the Clawback Policy), subject to limited impracticability exceptions. Administration of the Clawback Policy is overseen and administered by the Compensation Committee.</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 TIMING POLICIES AND PRACTICES</w:t>
      </w:r>
    </w:p>
    <w:p>
      <w:pPr>
        <w:spacing w:after="0" w:line="20" w:lineRule="exact"/>
        <w:rPr>
          <w:sz w:val="20"/>
          <w:szCs w:val="20"/>
          <w:color w:val="auto"/>
        </w:rPr>
      </w:pPr>
    </w:p>
    <w:p>
      <w:pPr>
        <w:jc w:val="both"/>
        <w:spacing w:after="0" w:line="238" w:lineRule="exact"/>
        <w:rPr>
          <w:sz w:val="20"/>
          <w:szCs w:val="20"/>
          <w:color w:val="auto"/>
        </w:rPr>
      </w:pPr>
      <w:r>
        <w:rPr>
          <w:rFonts w:ascii="Arial" w:cs="Arial" w:eastAsia="Arial" w:hAnsi="Arial"/>
          <w:sz w:val="20"/>
          <w:szCs w:val="20"/>
          <w:color w:val="auto"/>
        </w:rPr>
        <w:t>We do not grant equity awards in anticipation of the release of material nonpublic information, and we do not time the release of material nonpublic information for the purpose of affecting the value of executive compensation. In the event material nonpublic information becomes known to the Board of Directors or Compensation Committee before granting an equity award, the Board of Directors or Compensation Committee will consider such information and use its business judgment to determine whether to delay the grant of equity to avoid any appearance of impropriety. We have not granted stock options or similar option-like instruments to our service providers since 2021. Accordingly, during fiscal year 2025, we did not grant stock options or similar option</w:t>
      </w:r>
      <w:r>
        <w:rPr>
          <w:rFonts w:ascii="MS PGothic" w:cs="MS PGothic" w:eastAsia="MS PGothic" w:hAnsi="MS PGothic"/>
          <w:sz w:val="20"/>
          <w:szCs w:val="20"/>
          <w:color w:val="auto"/>
        </w:rPr>
        <w:t>‐</w:t>
      </w:r>
      <w:r>
        <w:rPr>
          <w:rFonts w:ascii="Arial" w:cs="Arial" w:eastAsia="Arial" w:hAnsi="Arial"/>
          <w:sz w:val="20"/>
          <w:szCs w:val="20"/>
          <w:color w:val="auto"/>
        </w:rPr>
        <w:t>like instruments to our NEOs during the four business days prior to or the one business day following the filing of our periodic reports or the filing or furnishing of a Form 8-K that discloses material nonpublic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ETHICS</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have adopted a Code of Business Conduct and Ethics that applies to all of our directors, officers and employees including our principal executive officer, principal financial officer, principal accounting officer or controller, or persons performing similar functions. A copy of the code is available on our website at www.brilliantearth.com in the “Governance” section of the “Investor Relations” page. We intend that any amendments to the code, or any waivers of its requirements, that are required to be disclosed by SEC or Nasdaq Rules will be disclosed on our website.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ATTENDANCE BY MEMBERS OF THE BOARD OF DIRECTORS AT MEETINGS</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There were five meetings of the Board during the fiscal year ended December 31, 2025. Each director attended at least 75% of the aggregate of (i) all meetings of the Board during the period in which he or she served as a director and (ii) all meetings of the committees on which the director served during the period in which he or she served as a director.</w:t>
      </w:r>
    </w:p>
    <w:p>
      <w:pPr>
        <w:spacing w:after="0" w:line="213"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Under our Corporate Governance Guidelines, which are available on our website at www.brilliantearth.com, a director is expected to spend the time and effort necessary to properly discharge his or her responsibilities. Accordingly, a director is expected to regularly prepare for and attend meetings of the Board and all committees on which the director sits (including separate meetings of the Independent Directors), with the understanding that, on occasion, a director may be unable to attend a meeting. A director who is unable to attend a meeting is expected to notify the Chief Executive Officer or the Chair of the appropriate committee in advance of such meeting.</w:t>
      </w:r>
    </w:p>
    <w:p>
      <w:pPr>
        <w:spacing w:after="0" w:line="200"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We do not maintain a formal policy regarding director attendance at the Annual Meeting; however, it is expected that, absent compelling circumstances, directors will attend. Four of our directors attended our 2025 annual meeting of stockholders.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COMMITTEES OF THE BOARD</w:t>
      </w:r>
    </w:p>
    <w:p>
      <w:pPr>
        <w:spacing w:after="0" w:line="2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Our Board has established three standing committees—Audit, Compensation, and Nominating and Corporate Governance— each of which operates under a written charter that has been approved by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20"/>
          <w:szCs w:val="20"/>
          <w:color w:val="auto"/>
        </w:rPr>
        <w:t>The members of each of the Board committees are set forth in the following chart.</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314"/>
        </w:trPr>
        <w:tc>
          <w:tcPr>
            <w:tcW w:w="400" w:type="dxa"/>
            <w:vAlign w:val="bottom"/>
            <w:tcBorders>
              <w:right w:val="single" w:sz="8" w:color="auto"/>
            </w:tcBorders>
          </w:tcPr>
          <w:p>
            <w:pPr>
              <w:spacing w:after="0"/>
              <w:rPr>
                <w:sz w:val="24"/>
                <w:szCs w:val="24"/>
                <w:color w:val="auto"/>
              </w:rPr>
            </w:pPr>
          </w:p>
        </w:tc>
        <w:tc>
          <w:tcPr>
            <w:tcW w:w="3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Name</w:t>
            </w:r>
          </w:p>
        </w:tc>
        <w:tc>
          <w:tcPr>
            <w:tcW w:w="23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rPr>
              <w:t>Audit</w:t>
            </w:r>
          </w:p>
        </w:tc>
        <w:tc>
          <w:tcPr>
            <w:tcW w:w="29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7"/>
              </w:rPr>
              <w:t>Compensation</w:t>
            </w:r>
          </w:p>
        </w:tc>
        <w:tc>
          <w:tcPr>
            <w:tcW w:w="20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b w:val="1"/>
                <w:bCs w:val="1"/>
                <w:color w:val="auto"/>
                <w:w w:val="99"/>
              </w:rPr>
              <w:t>Nominating and</w:t>
            </w:r>
          </w:p>
        </w:tc>
      </w:tr>
      <w:tr>
        <w:trPr>
          <w:trHeight w:val="243"/>
        </w:trPr>
        <w:tc>
          <w:tcPr>
            <w:tcW w:w="400" w:type="dxa"/>
            <w:vAlign w:val="bottom"/>
            <w:tcBorders>
              <w:right w:val="single" w:sz="8" w:color="auto"/>
            </w:tcBorders>
          </w:tcPr>
          <w:p>
            <w:pPr>
              <w:spacing w:after="0"/>
              <w:rPr>
                <w:sz w:val="21"/>
                <w:szCs w:val="21"/>
                <w:color w:val="auto"/>
              </w:rPr>
            </w:pPr>
          </w:p>
        </w:tc>
        <w:tc>
          <w:tcPr>
            <w:tcW w:w="3480" w:type="dxa"/>
            <w:vAlign w:val="bottom"/>
            <w:tcBorders>
              <w:right w:val="single" w:sz="8" w:color="auto"/>
            </w:tcBorders>
          </w:tcPr>
          <w:p>
            <w:pPr>
              <w:spacing w:after="0"/>
              <w:rPr>
                <w:sz w:val="21"/>
                <w:szCs w:val="21"/>
                <w:color w:val="auto"/>
              </w:rPr>
            </w:pPr>
          </w:p>
        </w:tc>
        <w:tc>
          <w:tcPr>
            <w:tcW w:w="2340" w:type="dxa"/>
            <w:vAlign w:val="bottom"/>
            <w:tcBorders>
              <w:right w:val="single" w:sz="8" w:color="auto"/>
            </w:tcBorders>
          </w:tcPr>
          <w:p>
            <w:pPr>
              <w:spacing w:after="0"/>
              <w:rPr>
                <w:sz w:val="21"/>
                <w:szCs w:val="21"/>
                <w:color w:val="auto"/>
              </w:rPr>
            </w:pPr>
          </w:p>
        </w:tc>
        <w:tc>
          <w:tcPr>
            <w:tcW w:w="2940" w:type="dxa"/>
            <w:vAlign w:val="bottom"/>
            <w:tcBorders>
              <w:right w:val="single" w:sz="8" w:color="auto"/>
            </w:tcBorders>
          </w:tcPr>
          <w:p>
            <w:pPr>
              <w:spacing w:after="0"/>
              <w:rPr>
                <w:sz w:val="21"/>
                <w:szCs w:val="21"/>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Corporate</w:t>
            </w:r>
          </w:p>
        </w:tc>
      </w:tr>
      <w:tr>
        <w:trPr>
          <w:trHeight w:val="273"/>
        </w:trPr>
        <w:tc>
          <w:tcPr>
            <w:tcW w:w="400" w:type="dxa"/>
            <w:vAlign w:val="bottom"/>
            <w:tcBorders>
              <w:right w:val="single" w:sz="8" w:color="auto"/>
            </w:tcBorders>
          </w:tcPr>
          <w:p>
            <w:pPr>
              <w:spacing w:after="0"/>
              <w:rPr>
                <w:sz w:val="23"/>
                <w:szCs w:val="23"/>
                <w:color w:val="auto"/>
              </w:rPr>
            </w:pPr>
          </w:p>
        </w:tc>
        <w:tc>
          <w:tcPr>
            <w:tcW w:w="3480" w:type="dxa"/>
            <w:vAlign w:val="bottom"/>
            <w:tcBorders>
              <w:right w:val="single" w:sz="8" w:color="auto"/>
            </w:tcBorders>
          </w:tcPr>
          <w:p>
            <w:pPr>
              <w:spacing w:after="0"/>
              <w:rPr>
                <w:sz w:val="23"/>
                <w:szCs w:val="23"/>
                <w:color w:val="auto"/>
              </w:rPr>
            </w:pPr>
          </w:p>
        </w:tc>
        <w:tc>
          <w:tcPr>
            <w:tcW w:w="2340" w:type="dxa"/>
            <w:vAlign w:val="bottom"/>
            <w:tcBorders>
              <w:right w:val="single" w:sz="8" w:color="auto"/>
            </w:tcBorders>
          </w:tcPr>
          <w:p>
            <w:pPr>
              <w:spacing w:after="0"/>
              <w:rPr>
                <w:sz w:val="23"/>
                <w:szCs w:val="23"/>
                <w:color w:val="auto"/>
              </w:rPr>
            </w:pPr>
          </w:p>
        </w:tc>
        <w:tc>
          <w:tcPr>
            <w:tcW w:w="2940" w:type="dxa"/>
            <w:vAlign w:val="bottom"/>
            <w:tcBorders>
              <w:right w:val="single" w:sz="8" w:color="auto"/>
            </w:tcBorders>
          </w:tcPr>
          <w:p>
            <w:pPr>
              <w:spacing w:after="0"/>
              <w:rPr>
                <w:sz w:val="23"/>
                <w:szCs w:val="23"/>
                <w:color w:val="auto"/>
              </w:rPr>
            </w:pPr>
          </w:p>
        </w:tc>
        <w:tc>
          <w:tcPr>
            <w:tcW w:w="208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w w:val="98"/>
              </w:rPr>
              <w:t>Governance</w:t>
            </w:r>
          </w:p>
        </w:tc>
      </w:tr>
      <w:tr>
        <w:trPr>
          <w:trHeight w:val="21"/>
        </w:trPr>
        <w:tc>
          <w:tcPr>
            <w:tcW w:w="400" w:type="dxa"/>
            <w:vAlign w:val="bottom"/>
            <w:tcBorders>
              <w:right w:val="single" w:sz="8" w:color="auto"/>
            </w:tcBorders>
          </w:tcPr>
          <w:p>
            <w:pPr>
              <w:spacing w:after="0" w:line="20" w:lineRule="exact"/>
              <w:rPr>
                <w:sz w:val="1"/>
                <w:szCs w:val="1"/>
                <w:color w:val="auto"/>
              </w:rPr>
            </w:pPr>
          </w:p>
        </w:tc>
        <w:tc>
          <w:tcPr>
            <w:tcW w:w="3480" w:type="dxa"/>
            <w:vAlign w:val="bottom"/>
            <w:tcBorders>
              <w:bottom w:val="single" w:sz="8" w:color="auto"/>
              <w:right w:val="single" w:sz="8" w:color="auto"/>
            </w:tcBorders>
          </w:tcPr>
          <w:p>
            <w:pPr>
              <w:spacing w:after="0" w:line="20" w:lineRule="exact"/>
              <w:rPr>
                <w:sz w:val="1"/>
                <w:szCs w:val="1"/>
                <w:color w:val="auto"/>
              </w:rPr>
            </w:pPr>
          </w:p>
        </w:tc>
        <w:tc>
          <w:tcPr>
            <w:tcW w:w="2340" w:type="dxa"/>
            <w:vAlign w:val="bottom"/>
            <w:tcBorders>
              <w:bottom w:val="single" w:sz="8" w:color="auto"/>
              <w:right w:val="single" w:sz="8" w:color="auto"/>
            </w:tcBorders>
          </w:tcPr>
          <w:p>
            <w:pPr>
              <w:spacing w:after="0" w:line="20" w:lineRule="exact"/>
              <w:rPr>
                <w:sz w:val="1"/>
                <w:szCs w:val="1"/>
                <w:color w:val="auto"/>
              </w:rPr>
            </w:pPr>
          </w:p>
        </w:tc>
        <w:tc>
          <w:tcPr>
            <w:tcW w:w="294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311"/>
        </w:trPr>
        <w:tc>
          <w:tcPr>
            <w:tcW w:w="400" w:type="dxa"/>
            <w:vAlign w:val="bottom"/>
            <w:tcBorders>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Jennifer N. Harris</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Chair</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X</w:t>
            </w:r>
          </w:p>
        </w:tc>
        <w:tc>
          <w:tcPr>
            <w:tcW w:w="2080" w:type="dxa"/>
            <w:vAlign w:val="bottom"/>
            <w:tcBorders>
              <w:bottom w:val="single" w:sz="8" w:color="auto"/>
              <w:right w:val="single" w:sz="8" w:color="auto"/>
            </w:tcBorders>
          </w:tcPr>
          <w:p>
            <w:pPr>
              <w:spacing w:after="0"/>
              <w:rPr>
                <w:sz w:val="24"/>
                <w:szCs w:val="24"/>
                <w:color w:val="auto"/>
              </w:rPr>
            </w:pPr>
          </w:p>
        </w:tc>
      </w:tr>
      <w:tr>
        <w:trPr>
          <w:trHeight w:val="318"/>
        </w:trPr>
        <w:tc>
          <w:tcPr>
            <w:tcW w:w="400" w:type="dxa"/>
            <w:vAlign w:val="bottom"/>
            <w:tcBorders>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Arial" w:cs="Arial" w:eastAsia="Arial" w:hAnsi="Arial"/>
                <w:sz w:val="20"/>
                <w:szCs w:val="20"/>
                <w:color w:val="auto"/>
                <w:w w:val="98"/>
              </w:rPr>
              <w:t>Attica A. Jaques</w:t>
            </w:r>
          </w:p>
        </w:tc>
        <w:tc>
          <w:tcPr>
            <w:tcW w:w="234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Arial" w:cs="Arial" w:eastAsia="Arial" w:hAnsi="Arial"/>
                <w:sz w:val="20"/>
                <w:szCs w:val="20"/>
                <w:color w:val="auto"/>
                <w:w w:val="89"/>
              </w:rPr>
              <w:t>X</w:t>
            </w:r>
          </w:p>
        </w:tc>
        <w:tc>
          <w:tcPr>
            <w:tcW w:w="2940" w:type="dxa"/>
            <w:vAlign w:val="bottom"/>
            <w:tcBorders>
              <w:bottom w:val="single" w:sz="8" w:color="auto"/>
              <w:right w:val="single" w:sz="8" w:color="auto"/>
            </w:tcBorders>
            <w:shd w:val="clear" w:color="auto" w:fill="CCEDFF"/>
          </w:tcPr>
          <w:p>
            <w:pPr>
              <w:spacing w:after="0"/>
              <w:rPr>
                <w:sz w:val="24"/>
                <w:szCs w:val="24"/>
                <w:color w:val="auto"/>
              </w:rPr>
            </w:pPr>
          </w:p>
        </w:tc>
        <w:tc>
          <w:tcPr>
            <w:tcW w:w="208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Arial" w:cs="Arial" w:eastAsia="Arial" w:hAnsi="Arial"/>
                <w:sz w:val="20"/>
                <w:szCs w:val="20"/>
                <w:color w:val="auto"/>
              </w:rPr>
              <w:t>X</w:t>
            </w:r>
          </w:p>
        </w:tc>
      </w:tr>
      <w:tr>
        <w:trPr>
          <w:trHeight w:val="318"/>
        </w:trPr>
        <w:tc>
          <w:tcPr>
            <w:tcW w:w="400" w:type="dxa"/>
            <w:vAlign w:val="bottom"/>
            <w:tcBorders>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8"/>
              </w:rPr>
              <w:t>Beth J. Kaplan</w:t>
            </w:r>
          </w:p>
        </w:tc>
        <w:tc>
          <w:tcPr>
            <w:tcW w:w="2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X</w:t>
            </w:r>
          </w:p>
        </w:tc>
        <w:tc>
          <w:tcPr>
            <w:tcW w:w="2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rPr>
              <w:t>Chair</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6"/>
              </w:rPr>
              <w:t>Chair</w:t>
            </w:r>
          </w:p>
        </w:tc>
      </w:tr>
      <w:tr>
        <w:trPr>
          <w:trHeight w:val="318"/>
        </w:trPr>
        <w:tc>
          <w:tcPr>
            <w:tcW w:w="400" w:type="dxa"/>
            <w:vAlign w:val="bottom"/>
            <w:tcBorders>
              <w:right w:val="single" w:sz="8" w:color="auto"/>
            </w:tcBorders>
          </w:tcPr>
          <w:p>
            <w:pPr>
              <w:spacing w:after="0"/>
              <w:rPr>
                <w:sz w:val="24"/>
                <w:szCs w:val="24"/>
                <w:color w:val="auto"/>
              </w:rPr>
            </w:pPr>
          </w:p>
        </w:tc>
        <w:tc>
          <w:tcPr>
            <w:tcW w:w="348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Arial" w:cs="Arial" w:eastAsia="Arial" w:hAnsi="Arial"/>
                <w:sz w:val="20"/>
                <w:szCs w:val="20"/>
                <w:color w:val="auto"/>
                <w:w w:val="98"/>
              </w:rPr>
              <w:t>Gavin M. Turner</w:t>
            </w:r>
          </w:p>
        </w:tc>
        <w:tc>
          <w:tcPr>
            <w:tcW w:w="2340" w:type="dxa"/>
            <w:vAlign w:val="bottom"/>
            <w:tcBorders>
              <w:bottom w:val="single" w:sz="8" w:color="auto"/>
              <w:right w:val="single" w:sz="8" w:color="auto"/>
            </w:tcBorders>
            <w:shd w:val="clear" w:color="auto" w:fill="CCEDFF"/>
          </w:tcPr>
          <w:p>
            <w:pPr>
              <w:spacing w:after="0"/>
              <w:rPr>
                <w:sz w:val="24"/>
                <w:szCs w:val="24"/>
                <w:color w:val="auto"/>
              </w:rPr>
            </w:pPr>
          </w:p>
        </w:tc>
        <w:tc>
          <w:tcPr>
            <w:tcW w:w="2940" w:type="dxa"/>
            <w:vAlign w:val="bottom"/>
            <w:tcBorders>
              <w:bottom w:val="single" w:sz="8" w:color="auto"/>
              <w:right w:val="single" w:sz="8" w:color="auto"/>
            </w:tcBorders>
            <w:shd w:val="clear" w:color="auto" w:fill="CCEDFF"/>
          </w:tcPr>
          <w:p>
            <w:pPr>
              <w:jc w:val="center"/>
              <w:spacing w:after="0"/>
              <w:rPr>
                <w:sz w:val="20"/>
                <w:szCs w:val="20"/>
                <w:color w:val="auto"/>
              </w:rPr>
            </w:pPr>
            <w:r>
              <w:rPr>
                <w:rFonts w:ascii="Arial" w:cs="Arial" w:eastAsia="Arial" w:hAnsi="Arial"/>
                <w:sz w:val="20"/>
                <w:szCs w:val="20"/>
                <w:color w:val="auto"/>
                <w:w w:val="89"/>
              </w:rPr>
              <w:t>X</w:t>
            </w:r>
          </w:p>
        </w:tc>
        <w:tc>
          <w:tcPr>
            <w:tcW w:w="2080" w:type="dxa"/>
            <w:vAlign w:val="bottom"/>
            <w:tcBorders>
              <w:bottom w:val="single" w:sz="8" w:color="auto"/>
              <w:right w:val="single" w:sz="8" w:color="auto"/>
            </w:tcBorders>
            <w:shd w:val="clear" w:color="auto" w:fill="CCEDFF"/>
          </w:tcPr>
          <w:p>
            <w:pPr>
              <w:spacing w:after="0"/>
              <w:rPr>
                <w:sz w:val="24"/>
                <w:szCs w:val="24"/>
                <w:color w:val="auto"/>
              </w:rPr>
            </w:pPr>
          </w:p>
        </w:tc>
      </w:tr>
      <w:tr>
        <w:trPr>
          <w:trHeight w:val="587"/>
        </w:trPr>
        <w:tc>
          <w:tcPr>
            <w:tcW w:w="3880" w:type="dxa"/>
            <w:vAlign w:val="bottom"/>
            <w:gridSpan w:val="2"/>
          </w:tcPr>
          <w:p>
            <w:pPr>
              <w:spacing w:after="0"/>
              <w:rPr>
                <w:sz w:val="20"/>
                <w:szCs w:val="20"/>
                <w:color w:val="auto"/>
              </w:rPr>
            </w:pPr>
            <w:r>
              <w:rPr>
                <w:rFonts w:ascii="Arial" w:cs="Arial" w:eastAsia="Arial" w:hAnsi="Arial"/>
                <w:sz w:val="20"/>
                <w:szCs w:val="20"/>
                <w:b w:val="1"/>
                <w:bCs w:val="1"/>
                <w:color w:val="auto"/>
              </w:rPr>
              <w:t>AUDIT COMMITTEE</w:t>
            </w:r>
          </w:p>
        </w:tc>
        <w:tc>
          <w:tcPr>
            <w:tcW w:w="23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080" w:type="dxa"/>
            <w:vAlign w:val="bottom"/>
          </w:tcPr>
          <w:p>
            <w:pPr>
              <w:spacing w:after="0"/>
              <w:rPr>
                <w:sz w:val="24"/>
                <w:szCs w:val="24"/>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20"/>
          <w:szCs w:val="20"/>
          <w:color w:val="auto"/>
        </w:rPr>
        <w:t>Our Audit Committee is responsible for, among other matters:</w:t>
      </w:r>
    </w:p>
    <w:p>
      <w:pPr>
        <w:spacing w:after="0" w:line="31" w:lineRule="exact"/>
        <w:rPr>
          <w:sz w:val="20"/>
          <w:szCs w:val="20"/>
          <w:color w:val="auto"/>
        </w:rPr>
      </w:pPr>
    </w:p>
    <w:p>
      <w:pPr>
        <w:ind w:left="660" w:right="20" w:hanging="328"/>
        <w:spacing w:after="0" w:line="24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appointing, compensating, retaining, evaluating, terminating and overseeing our independent registered public accounting firm;</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discussing with our independent registered public accounting firm their independence;</w:t>
      </w: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reviewing with our independent registered public accounting firm the scope and results of their audit;</w:t>
      </w:r>
    </w:p>
    <w:p>
      <w:pPr>
        <w:spacing w:after="0" w:line="13"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approving all audit and permissible non-audit services to be performed by our independent registered public accounting firm;</w:t>
      </w:r>
    </w:p>
    <w:p>
      <w:pPr>
        <w:spacing w:after="0" w:line="1" w:lineRule="exact"/>
        <w:rPr>
          <w:rFonts w:ascii="Arial" w:cs="Arial" w:eastAsia="Arial" w:hAnsi="Arial"/>
          <w:sz w:val="20"/>
          <w:szCs w:val="20"/>
          <w:color w:val="auto"/>
        </w:rPr>
      </w:pPr>
    </w:p>
    <w:p>
      <w:pPr>
        <w:ind w:left="660" w:hanging="328"/>
        <w:spacing w:after="0" w:line="246"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oversight of the financial reporting process and discussing with management and our independent registered public accounting firm the interim and annual financial statements that we file with the SEC;</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reviewing our policies on risk assessment and risk management, including cybersecurity risk management;</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reviewing related person transactions;</w:t>
      </w:r>
    </w:p>
    <w:p>
      <w:pPr>
        <w:spacing w:after="0" w:line="13" w:lineRule="exact"/>
        <w:rPr>
          <w:rFonts w:ascii="Arial" w:cs="Arial" w:eastAsia="Arial" w:hAnsi="Arial"/>
          <w:sz w:val="20"/>
          <w:szCs w:val="20"/>
          <w:color w:val="auto"/>
        </w:rPr>
      </w:pPr>
    </w:p>
    <w:p>
      <w:pPr>
        <w:ind w:left="640" w:hanging="308"/>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reviewing the adequacy of the Company’s internal control over financial reporting; and</w:t>
      </w:r>
    </w:p>
    <w:p>
      <w:pPr>
        <w:ind w:left="660" w:right="20" w:hanging="328"/>
        <w:spacing w:after="0" w:line="267" w:lineRule="auto"/>
        <w:tabs>
          <w:tab w:leader="none" w:pos="648" w:val="left"/>
        </w:tabs>
        <w:numPr>
          <w:ilvl w:val="0"/>
          <w:numId w:val="11"/>
        </w:numPr>
        <w:rPr>
          <w:rFonts w:ascii="Arial" w:cs="Arial" w:eastAsia="Arial" w:hAnsi="Arial"/>
          <w:sz w:val="20"/>
          <w:szCs w:val="20"/>
          <w:color w:val="auto"/>
        </w:rPr>
      </w:pPr>
      <w:r>
        <w:rPr>
          <w:rFonts w:ascii="Arial" w:cs="Arial" w:eastAsia="Arial" w:hAnsi="Arial"/>
          <w:sz w:val="20"/>
          <w:szCs w:val="20"/>
          <w:color w:val="auto"/>
        </w:rPr>
        <w:t>establishing procedures for the confidential anonymous submission of concerns regarding questionable accounting or auditing matters.</w:t>
      </w:r>
    </w:p>
    <w:p>
      <w:pPr>
        <w:spacing w:after="0" w:line="186" w:lineRule="exact"/>
        <w:rPr>
          <w:sz w:val="20"/>
          <w:szCs w:val="20"/>
          <w:color w:val="auto"/>
        </w:rPr>
      </w:pPr>
    </w:p>
    <w:p>
      <w:pPr>
        <w:jc w:val="both"/>
        <w:spacing w:after="0" w:line="286" w:lineRule="auto"/>
        <w:rPr>
          <w:sz w:val="20"/>
          <w:szCs w:val="20"/>
          <w:color w:val="auto"/>
        </w:rPr>
      </w:pPr>
      <w:r>
        <w:rPr>
          <w:rFonts w:ascii="Arial" w:cs="Arial" w:eastAsia="Arial" w:hAnsi="Arial"/>
          <w:sz w:val="20"/>
          <w:szCs w:val="20"/>
          <w:color w:val="auto"/>
        </w:rPr>
        <w:t>The Committee may conduct or authorize investigations into any matters within the scope of the duties and responsibilities delegated to the Committee.</w:t>
      </w:r>
    </w:p>
    <w:p>
      <w:pPr>
        <w:spacing w:after="0" w:line="181" w:lineRule="exact"/>
        <w:rPr>
          <w:sz w:val="20"/>
          <w:szCs w:val="20"/>
          <w:color w:val="auto"/>
        </w:rPr>
      </w:pPr>
    </w:p>
    <w:p>
      <w:pPr>
        <w:jc w:val="both"/>
        <w:spacing w:after="0" w:line="251" w:lineRule="auto"/>
        <w:rPr>
          <w:sz w:val="20"/>
          <w:szCs w:val="20"/>
          <w:color w:val="auto"/>
        </w:rPr>
      </w:pPr>
      <w:r>
        <w:rPr>
          <w:rFonts w:ascii="Arial" w:cs="Arial" w:eastAsia="Arial" w:hAnsi="Arial"/>
          <w:sz w:val="20"/>
          <w:szCs w:val="20"/>
          <w:color w:val="auto"/>
        </w:rPr>
        <w:t>The Audit Committee charter is available on our website at www.brilliantearth.com. The current members of the Audit Committee are Jennifer N. Harris (Chair), Beth J. Kaplan and Attica A. Jaques. Our Board has determined that each member of our Audit Committee satisfies the standards of independence under Nasdaq Rules and the additional independence standards applicable to audit committee members established pursuant to Rule 10A-3 under the Exchange Act. Our Board has also determined that each of Jennifer N. Harris, Beth J. Kaplan, and Attica A. Jaques meets the “financial literacy” requirement for Audit Committee members under Nasdaq Rules and Ms. Harris qualifies as an “audit committee financial expert” within the meaning of the SEC rules.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The Audit Committee met 5 times during the fiscal year ended December 31, 2025.</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81915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20"/>
          <w:szCs w:val="20"/>
          <w:b w:val="1"/>
          <w:bCs w:val="1"/>
          <w:color w:val="auto"/>
        </w:rPr>
        <w:t>COMPENSATION COMMITTEE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color w:val="auto"/>
        </w:rPr>
        <w:t>The Compensation Committee is responsible for, among other matters:</w:t>
      </w:r>
    </w:p>
    <w:p>
      <w:pPr>
        <w:spacing w:after="0" w:line="18" w:lineRule="exact"/>
        <w:rPr>
          <w:sz w:val="20"/>
          <w:szCs w:val="20"/>
          <w:color w:val="auto"/>
        </w:rPr>
      </w:pPr>
    </w:p>
    <w:p>
      <w:pPr>
        <w:ind w:left="1000" w:hanging="317"/>
        <w:spacing w:after="0" w:line="253" w:lineRule="auto"/>
        <w:tabs>
          <w:tab w:leader="none" w:pos="988"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reviewing, approving, and making recommendations to the Board regarding the compensation of the Chief Executive Officer and other executive officers of the Company;</w:t>
      </w:r>
    </w:p>
    <w:p>
      <w:pPr>
        <w:spacing w:after="0" w:line="1" w:lineRule="exact"/>
        <w:rPr>
          <w:rFonts w:ascii="Arial" w:cs="Arial" w:eastAsia="Arial" w:hAnsi="Arial"/>
          <w:sz w:val="20"/>
          <w:szCs w:val="20"/>
          <w:color w:val="auto"/>
        </w:rPr>
      </w:pPr>
    </w:p>
    <w:p>
      <w:pPr>
        <w:ind w:left="1000" w:hanging="317"/>
        <w:spacing w:after="0"/>
        <w:tabs>
          <w:tab w:leader="none" w:pos="10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reviewing and making recommendations to our Board regarding the compensation of our directors;</w:t>
      </w:r>
    </w:p>
    <w:p>
      <w:pPr>
        <w:ind w:left="1000" w:hanging="317"/>
        <w:spacing w:after="0" w:line="246" w:lineRule="auto"/>
        <w:tabs>
          <w:tab w:leader="none" w:pos="988" w:val="left"/>
        </w:tabs>
        <w:numPr>
          <w:ilvl w:val="0"/>
          <w:numId w:val="12"/>
        </w:numPr>
        <w:rPr>
          <w:rFonts w:ascii="Arial" w:cs="Arial" w:eastAsia="Arial" w:hAnsi="Arial"/>
          <w:sz w:val="20"/>
          <w:szCs w:val="20"/>
          <w:color w:val="auto"/>
        </w:rPr>
      </w:pPr>
      <w:r>
        <w:rPr>
          <w:rFonts w:ascii="Arial" w:cs="Arial" w:eastAsia="Arial" w:hAnsi="Arial"/>
          <w:sz w:val="20"/>
          <w:szCs w:val="20"/>
          <w:color w:val="auto"/>
        </w:rPr>
        <w:t>reviewing and approving or making recommendations to our Board regarding our incentive compensation and equity-based plans and arrangements;</w:t>
      </w:r>
    </w:p>
    <w:p>
      <w:pPr>
        <w:spacing w:after="0" w:line="1" w:lineRule="exact"/>
        <w:rPr>
          <w:rFonts w:ascii="Arial" w:cs="Arial" w:eastAsia="Arial" w:hAnsi="Arial"/>
          <w:sz w:val="20"/>
          <w:szCs w:val="20"/>
          <w:color w:val="auto"/>
        </w:rPr>
      </w:pPr>
    </w:p>
    <w:p>
      <w:pPr>
        <w:jc w:val="both"/>
        <w:ind w:left="1000" w:hanging="317"/>
        <w:spacing w:after="0" w:line="248" w:lineRule="auto"/>
        <w:tabs>
          <w:tab w:leader="none" w:pos="988" w:val="left"/>
        </w:tabs>
        <w:numPr>
          <w:ilvl w:val="0"/>
          <w:numId w:val="12"/>
        </w:numPr>
        <w:rPr>
          <w:rFonts w:ascii="Arial" w:cs="Arial" w:eastAsia="Arial" w:hAnsi="Arial"/>
          <w:sz w:val="20"/>
          <w:szCs w:val="20"/>
          <w:color w:val="auto"/>
        </w:rPr>
      </w:pPr>
      <w:r>
        <w:rPr>
          <w:rFonts w:ascii="Arial" w:cs="Arial" w:eastAsia="Arial" w:hAnsi="Arial"/>
          <w:sz w:val="20"/>
          <w:szCs w:val="20"/>
          <w:color w:val="auto"/>
        </w:rPr>
        <w:t>overseeing and periodically reviewing with management the Company’s strategies, policies and practices with respect to human capital management and management development; workplace environment and culture; employee engagement and effectiveness; and talent recruitment, development, and retention; and</w:t>
      </w:r>
    </w:p>
    <w:p>
      <w:pPr>
        <w:spacing w:after="0" w:line="2" w:lineRule="exact"/>
        <w:rPr>
          <w:rFonts w:ascii="Arial" w:cs="Arial" w:eastAsia="Arial" w:hAnsi="Arial"/>
          <w:sz w:val="20"/>
          <w:szCs w:val="20"/>
          <w:color w:val="auto"/>
        </w:rPr>
      </w:pPr>
    </w:p>
    <w:p>
      <w:pPr>
        <w:ind w:left="1000" w:hanging="317"/>
        <w:spacing w:after="0"/>
        <w:tabs>
          <w:tab w:leader="none" w:pos="10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appointing and overseeing any compensation consultants.</w:t>
      </w:r>
    </w:p>
    <w:p>
      <w:pPr>
        <w:spacing w:after="0" w:line="265"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Pursuant to the Compensation Committee’s charter, which is available on our website at www.brilliantearth.com, the Compensation Committee has the authority to retain or obtain the advice of compensation consultants, legal counsel and other advisors to assist in carrying out its responsibilities. In 2025, the Compensation Committee engaged Compensia, a compensation consulting firm (“Compensia”), to assist it in connection with the decisions regarding the amount and type of compensation to provide our executive officers. All executive compensation services provided by Compensia during 2025 were conducted under the direction or authority of the Compensation Committee, and all work performed by Compensia was approved by the Compensation Committee.</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Compensation Committee may delegate its authority under its charter to a subcommittee as it deems appropriate from time to time. The Committee may conduct or authorize investigations into any matters within the scope of the duties and responsibilities delegated to the Committee, including the authority to request any officer, employee or adviser of the Company to meet with the Committee or any advisers engaged by the Committee.</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The current members of our Compensation Committee are Beth J. Kaplan (Chair), Jennifer N. Harris, and Gavin M. Turner. Our Board has determined that each member of our Compensation Committee meets the requirements for independence under applicable Nasdaq Rules, including the Nasdaq Rules applicable to compensation committee membership, and qualifies as a non-employee director, as defined in Section 16b-3 of the Exchange Act.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color w:val="auto"/>
        </w:rPr>
        <w:t>The Compensation Committee met four times during the fiscal year ended December 31, 2025.</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NOMINATING AND CORPORATE GOVERNANCE COMMITTEE</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The Nominating and Corporate Governance Committee is responsible for, among other matters:</w:t>
      </w:r>
    </w:p>
    <w:p>
      <w:pPr>
        <w:spacing w:after="0" w:line="31" w:lineRule="exact"/>
        <w:rPr>
          <w:sz w:val="20"/>
          <w:szCs w:val="20"/>
          <w:color w:val="auto"/>
        </w:rPr>
      </w:pPr>
    </w:p>
    <w:p>
      <w:pPr>
        <w:jc w:val="both"/>
        <w:ind w:left="900" w:right="320" w:hanging="316"/>
        <w:spacing w:after="0" w:line="248" w:lineRule="auto"/>
        <w:tabs>
          <w:tab w:leader="none" w:pos="888" w:val="left"/>
        </w:tabs>
        <w:numPr>
          <w:ilvl w:val="0"/>
          <w:numId w:val="13"/>
        </w:numPr>
        <w:rPr>
          <w:rFonts w:ascii="Arial" w:cs="Arial" w:eastAsia="Arial" w:hAnsi="Arial"/>
          <w:sz w:val="20"/>
          <w:szCs w:val="20"/>
          <w:color w:val="auto"/>
        </w:rPr>
      </w:pPr>
      <w:r>
        <w:rPr>
          <w:rFonts w:ascii="Arial" w:cs="Arial" w:eastAsia="Arial" w:hAnsi="Arial"/>
          <w:sz w:val="20"/>
          <w:szCs w:val="20"/>
          <w:color w:val="auto"/>
        </w:rPr>
        <w:t>identifying individuals qualified to become members of our Board, consistent with criteria approved by our Board, except where the Company is legally required by contract, bylaw or otherwise to provide third parties with the right to designate directors;</w:t>
      </w:r>
    </w:p>
    <w:p>
      <w:pPr>
        <w:spacing w:after="0" w:line="2" w:lineRule="exact"/>
        <w:rPr>
          <w:rFonts w:ascii="Arial" w:cs="Arial" w:eastAsia="Arial" w:hAnsi="Arial"/>
          <w:sz w:val="20"/>
          <w:szCs w:val="20"/>
          <w:color w:val="auto"/>
        </w:rPr>
      </w:pPr>
    </w:p>
    <w:p>
      <w:pPr>
        <w:jc w:val="both"/>
        <w:ind w:left="900" w:right="320" w:hanging="316"/>
        <w:spacing w:after="0" w:line="248" w:lineRule="auto"/>
        <w:tabs>
          <w:tab w:leader="none" w:pos="888"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recommending to our Board the nominees for election to our Board at annual meetings of stockholders, except where the Company is legally required by contract, bylaw or otherwise to provide third parties with the right to designate directors;</w:t>
      </w:r>
    </w:p>
    <w:p>
      <w:pPr>
        <w:spacing w:after="0" w:line="2" w:lineRule="exact"/>
        <w:rPr>
          <w:rFonts w:ascii="Arial" w:cs="Arial" w:eastAsia="Arial" w:hAnsi="Arial"/>
          <w:sz w:val="20"/>
          <w:szCs w:val="20"/>
          <w:color w:val="auto"/>
        </w:rPr>
      </w:pPr>
    </w:p>
    <w:p>
      <w:pPr>
        <w:ind w:left="900" w:right="340" w:hanging="316"/>
        <w:spacing w:after="0" w:line="246" w:lineRule="auto"/>
        <w:tabs>
          <w:tab w:leader="none" w:pos="888" w:val="left"/>
        </w:tabs>
        <w:numPr>
          <w:ilvl w:val="0"/>
          <w:numId w:val="13"/>
        </w:numPr>
        <w:rPr>
          <w:rFonts w:ascii="Arial" w:cs="Arial" w:eastAsia="Arial" w:hAnsi="Arial"/>
          <w:sz w:val="20"/>
          <w:szCs w:val="20"/>
          <w:color w:val="auto"/>
        </w:rPr>
      </w:pPr>
      <w:r>
        <w:rPr>
          <w:rFonts w:ascii="Arial" w:cs="Arial" w:eastAsia="Arial" w:hAnsi="Arial"/>
          <w:sz w:val="20"/>
          <w:szCs w:val="20"/>
          <w:color w:val="auto"/>
        </w:rPr>
        <w:t>reviewing, and providing oversight with respect to, the Company’s strategy, initiatives and policies concerning corporate social responsibility, including environmental and social matters;</w:t>
      </w:r>
    </w:p>
    <w:p>
      <w:pPr>
        <w:spacing w:after="0" w:line="1" w:lineRule="exact"/>
        <w:rPr>
          <w:rFonts w:ascii="Arial" w:cs="Arial" w:eastAsia="Arial" w:hAnsi="Arial"/>
          <w:sz w:val="20"/>
          <w:szCs w:val="20"/>
          <w:color w:val="auto"/>
        </w:rPr>
      </w:pPr>
    </w:p>
    <w:p>
      <w:pPr>
        <w:ind w:left="900" w:hanging="316"/>
        <w:spacing w:after="0"/>
        <w:tabs>
          <w:tab w:leader="none" w:pos="900" w:val="left"/>
        </w:tabs>
        <w:numPr>
          <w:ilvl w:val="0"/>
          <w:numId w:val="13"/>
        </w:numPr>
        <w:rPr>
          <w:rFonts w:ascii="Arial" w:cs="Arial" w:eastAsia="Arial" w:hAnsi="Arial"/>
          <w:sz w:val="20"/>
          <w:szCs w:val="20"/>
          <w:color w:val="auto"/>
        </w:rPr>
      </w:pPr>
      <w:r>
        <w:rPr>
          <w:rFonts w:ascii="Arial" w:cs="Arial" w:eastAsia="Arial" w:hAnsi="Arial"/>
          <w:sz w:val="20"/>
          <w:szCs w:val="20"/>
          <w:color w:val="auto"/>
        </w:rPr>
        <w:t>overseeing an evaluation of the Board and its committees;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28" w:name="page29"/>
    <w:bookmarkEnd w:id="28"/>
    <w:p>
      <w:pPr>
        <w:ind w:left="900" w:hanging="316"/>
        <w:spacing w:after="0"/>
        <w:tabs>
          <w:tab w:leader="none" w:pos="900" w:val="left"/>
        </w:tabs>
        <w:numPr>
          <w:ilvl w:val="0"/>
          <w:numId w:val="14"/>
        </w:numPr>
        <w:rPr>
          <w:rFonts w:ascii="Arial" w:cs="Arial" w:eastAsia="Arial" w:hAnsi="Arial"/>
          <w:sz w:val="20"/>
          <w:szCs w:val="20"/>
          <w:color w:val="auto"/>
        </w:rPr>
      </w:pPr>
      <w:r>
        <w:rPr>
          <w:rFonts w:ascii="Arial" w:cs="Arial" w:eastAsia="Arial" w:hAnsi="Arial"/>
          <w:sz w:val="20"/>
          <w:szCs w:val="20"/>
          <w:color w:val="auto"/>
        </w:rPr>
        <w:t>developing and recommending to our Board a set of corporate governance guidelines and principles.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The Nominating and Corporate Governance Committee charter is available on our website at www.brilliantearth.com. Our Nominating and Corporate Governance Committee consists of Beth J. Kaplan (Chair) and Attica A. Jaques. Our Board has determined that each member of the Nominating and Corporate Governance Committee meet the requirements for independence under applicable Nasdaq Rules. The Nominating and Corporate Governance Committee has the authority to consult with outside advisors or retain search firms to assist in the search for qualified candidates, or consider director candidates recommended by our stockholders.</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The Nominating and Corporate Governance Committee met four times during the fiscal year ended December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0094FF"/>
        </w:rPr>
        <w:t>EXECUTIVE COMPENSATION</w:t>
      </w:r>
    </w:p>
    <w:p>
      <w:pPr>
        <w:spacing w:after="0" w:line="258"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section discusses the material components of the executive compensation program for our executive officers who are named in the “Summary Compensation Table” below. In 2025, our chief executive officer and our two other highest-paid executive officers, or our named executive officers or "NEOs", were as follows:</w:t>
      </w:r>
    </w:p>
    <w:p>
      <w:pPr>
        <w:spacing w:after="0" w:line="178" w:lineRule="exact"/>
        <w:rPr>
          <w:sz w:val="20"/>
          <w:szCs w:val="20"/>
          <w:color w:val="auto"/>
        </w:rPr>
      </w:pPr>
    </w:p>
    <w:p>
      <w:pPr>
        <w:ind w:left="1000" w:hanging="641"/>
        <w:spacing w:after="0"/>
        <w:tabs>
          <w:tab w:leader="none" w:pos="10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Beth Gerstein, Chief Executive Officer;</w:t>
      </w:r>
    </w:p>
    <w:p>
      <w:pPr>
        <w:spacing w:after="0" w:line="188" w:lineRule="exact"/>
        <w:rPr>
          <w:rFonts w:ascii="Arial" w:cs="Arial" w:eastAsia="Arial" w:hAnsi="Arial"/>
          <w:sz w:val="20"/>
          <w:szCs w:val="20"/>
          <w:color w:val="auto"/>
        </w:rPr>
      </w:pPr>
    </w:p>
    <w:p>
      <w:pPr>
        <w:ind w:left="1000" w:hanging="641"/>
        <w:spacing w:after="0"/>
        <w:tabs>
          <w:tab w:leader="none" w:pos="10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Eric Grossberg, Executive Chairman ; and</w:t>
      </w:r>
    </w:p>
    <w:p>
      <w:pPr>
        <w:spacing w:after="0" w:line="188" w:lineRule="exact"/>
        <w:rPr>
          <w:rFonts w:ascii="Arial" w:cs="Arial" w:eastAsia="Arial" w:hAnsi="Arial"/>
          <w:sz w:val="20"/>
          <w:szCs w:val="20"/>
          <w:color w:val="auto"/>
        </w:rPr>
      </w:pPr>
    </w:p>
    <w:p>
      <w:pPr>
        <w:ind w:left="1000" w:hanging="641"/>
        <w:spacing w:after="0"/>
        <w:tabs>
          <w:tab w:leader="none" w:pos="1000" w:val="left"/>
        </w:tabs>
        <w:numPr>
          <w:ilvl w:val="0"/>
          <w:numId w:val="15"/>
        </w:numPr>
        <w:rPr>
          <w:rFonts w:ascii="Arial" w:cs="Arial" w:eastAsia="Arial" w:hAnsi="Arial"/>
          <w:sz w:val="20"/>
          <w:szCs w:val="20"/>
          <w:color w:val="auto"/>
        </w:rPr>
      </w:pPr>
      <w:r>
        <w:rPr>
          <w:rFonts w:ascii="Arial" w:cs="Arial" w:eastAsia="Arial" w:hAnsi="Arial"/>
          <w:sz w:val="20"/>
          <w:szCs w:val="20"/>
          <w:color w:val="auto"/>
        </w:rPr>
        <w:t>Jeffrey Kuo, Chief Financial Officer.</w:t>
      </w:r>
    </w:p>
    <w:p>
      <w:pPr>
        <w:spacing w:after="0" w:line="283"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This discussion may contain forward-looking statements that are based on our current plans, considerations, expectations and determinations regarding future compensation programs. Actual compensation programs that we adopt in the future may differ materially from the current programs summarized in this discussion.</w:t>
      </w:r>
    </w:p>
    <w:p>
      <w:pPr>
        <w:spacing w:after="0" w:line="1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sets forth information concerning the compensation of our named executive officers:</w:t>
      </w:r>
    </w:p>
    <w:p>
      <w:pPr>
        <w:spacing w:after="0" w:line="267"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720" w:type="dxa"/>
            <w:vAlign w:val="bottom"/>
            <w:tcBorders>
              <w:top w:val="single" w:sz="8" w:color="auto"/>
              <w:left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38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3"/>
                <w:szCs w:val="13"/>
                <w:b w:val="1"/>
                <w:bCs w:val="1"/>
                <w:color w:val="auto"/>
              </w:rPr>
              <w:t>and</w:t>
            </w:r>
          </w:p>
        </w:tc>
        <w:tc>
          <w:tcPr>
            <w:tcW w:w="820" w:type="dxa"/>
            <w:vAlign w:val="bottom"/>
            <w:tcBorders>
              <w:top w:val="single" w:sz="8" w:color="auto"/>
              <w:right w:val="single" w:sz="8" w:color="auto"/>
            </w:tcBorders>
          </w:tcPr>
          <w:p>
            <w:pPr>
              <w:jc w:val="right"/>
              <w:ind w:right="413"/>
              <w:spacing w:after="0"/>
              <w:rPr>
                <w:sz w:val="20"/>
                <w:szCs w:val="20"/>
                <w:color w:val="auto"/>
              </w:rPr>
            </w:pPr>
            <w:r>
              <w:rPr>
                <w:rFonts w:ascii="Arial" w:cs="Arial" w:eastAsia="Arial" w:hAnsi="Arial"/>
                <w:sz w:val="13"/>
                <w:szCs w:val="13"/>
                <w:b w:val="1"/>
                <w:bCs w:val="1"/>
                <w:color w:val="auto"/>
              </w:rPr>
              <w:t>Year</w:t>
            </w:r>
          </w:p>
        </w:tc>
        <w:tc>
          <w:tcPr>
            <w:tcW w:w="152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3"/>
                <w:szCs w:val="13"/>
                <w:b w:val="1"/>
                <w:bCs w:val="1"/>
                <w:color w:val="auto"/>
              </w:rPr>
              <w:t>Salary</w:t>
            </w:r>
          </w:p>
        </w:tc>
        <w:tc>
          <w:tcPr>
            <w:tcW w:w="920" w:type="dxa"/>
            <w:vAlign w:val="bottom"/>
            <w:tcBorders>
              <w:top w:val="single" w:sz="8" w:color="auto"/>
              <w:right w:val="single" w:sz="8" w:color="auto"/>
            </w:tcBorders>
          </w:tcPr>
          <w:p>
            <w:pPr>
              <w:ind w:left="220"/>
              <w:spacing w:after="0"/>
              <w:rPr>
                <w:sz w:val="20"/>
                <w:szCs w:val="20"/>
                <w:color w:val="auto"/>
              </w:rPr>
            </w:pPr>
            <w:r>
              <w:rPr>
                <w:rFonts w:ascii="Arial" w:cs="Arial" w:eastAsia="Arial" w:hAnsi="Arial"/>
                <w:sz w:val="13"/>
                <w:szCs w:val="13"/>
                <w:b w:val="1"/>
                <w:bCs w:val="1"/>
                <w:color w:val="auto"/>
              </w:rPr>
              <w:t>Bonus</w:t>
            </w:r>
          </w:p>
        </w:tc>
        <w:tc>
          <w:tcPr>
            <w:tcW w:w="1760" w:type="dxa"/>
            <w:vAlign w:val="bottom"/>
            <w:tcBorders>
              <w:top w:val="single" w:sz="8" w:color="auto"/>
              <w:right w:val="single" w:sz="8" w:color="auto"/>
            </w:tcBorders>
          </w:tcPr>
          <w:p>
            <w:pPr>
              <w:ind w:left="260"/>
              <w:spacing w:after="0" w:line="162" w:lineRule="exact"/>
              <w:rPr>
                <w:sz w:val="20"/>
                <w:szCs w:val="20"/>
                <w:color w:val="auto"/>
              </w:rPr>
            </w:pPr>
            <w:r>
              <w:rPr>
                <w:rFonts w:ascii="Arial" w:cs="Arial" w:eastAsia="Arial" w:hAnsi="Arial"/>
                <w:sz w:val="13"/>
                <w:szCs w:val="13"/>
                <w:b w:val="1"/>
                <w:bCs w:val="1"/>
                <w:color w:val="auto"/>
              </w:rPr>
              <w:t>Stock Awards ($)</w:t>
            </w:r>
            <w:r>
              <w:rPr>
                <w:rFonts w:ascii="Arial" w:cs="Arial" w:eastAsia="Arial" w:hAnsi="Arial"/>
                <w:sz w:val="17"/>
                <w:szCs w:val="17"/>
                <w:b w:val="1"/>
                <w:bCs w:val="1"/>
                <w:color w:val="auto"/>
                <w:vertAlign w:val="superscript"/>
              </w:rPr>
              <w:t>(1)</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Non-Equity Incentive Plan</w:t>
            </w: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rPr>
              <w:t>All Other</w:t>
            </w:r>
          </w:p>
        </w:tc>
        <w:tc>
          <w:tcPr>
            <w:tcW w:w="152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3"/>
                <w:szCs w:val="13"/>
                <w:b w:val="1"/>
                <w:bCs w:val="1"/>
                <w:color w:val="auto"/>
              </w:rPr>
              <w:t>Total ($)</w:t>
            </w:r>
          </w:p>
        </w:tc>
      </w:tr>
      <w:tr>
        <w:trPr>
          <w:trHeight w:val="134"/>
        </w:trPr>
        <w:tc>
          <w:tcPr>
            <w:tcW w:w="720" w:type="dxa"/>
            <w:vAlign w:val="bottom"/>
            <w:tcBorders>
              <w:left w:val="single" w:sz="8" w:color="auto"/>
            </w:tcBorders>
          </w:tcPr>
          <w:p>
            <w:pPr>
              <w:ind w:left="40"/>
              <w:spacing w:after="0" w:line="134" w:lineRule="exact"/>
              <w:rPr>
                <w:sz w:val="20"/>
                <w:szCs w:val="20"/>
                <w:color w:val="auto"/>
              </w:rPr>
            </w:pPr>
            <w:r>
              <w:rPr>
                <w:rFonts w:ascii="Arial" w:cs="Arial" w:eastAsia="Arial" w:hAnsi="Arial"/>
                <w:sz w:val="13"/>
                <w:szCs w:val="13"/>
                <w:b w:val="1"/>
                <w:bCs w:val="1"/>
                <w:color w:val="auto"/>
              </w:rPr>
              <w:t>Principal</w:t>
            </w:r>
          </w:p>
        </w:tc>
        <w:tc>
          <w:tcPr>
            <w:tcW w:w="38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152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w:t>
            </w:r>
          </w:p>
        </w:tc>
        <w:tc>
          <w:tcPr>
            <w:tcW w:w="920" w:type="dxa"/>
            <w:vAlign w:val="bottom"/>
            <w:tcBorders>
              <w:right w:val="single" w:sz="8" w:color="auto"/>
            </w:tcBorders>
          </w:tcPr>
          <w:p>
            <w:pPr>
              <w:jc w:val="center"/>
              <w:ind w:right="13"/>
              <w:spacing w:after="0" w:line="134" w:lineRule="exact"/>
              <w:rPr>
                <w:sz w:val="20"/>
                <w:szCs w:val="20"/>
                <w:color w:val="auto"/>
              </w:rPr>
            </w:pPr>
            <w:r>
              <w:rPr>
                <w:rFonts w:ascii="Arial" w:cs="Arial" w:eastAsia="Arial" w:hAnsi="Arial"/>
                <w:sz w:val="13"/>
                <w:szCs w:val="13"/>
                <w:b w:val="1"/>
                <w:bCs w:val="1"/>
                <w:color w:val="auto"/>
              </w:rPr>
              <w:t>($)</w:t>
            </w:r>
          </w:p>
        </w:tc>
        <w:tc>
          <w:tcPr>
            <w:tcW w:w="1760" w:type="dxa"/>
            <w:vAlign w:val="bottom"/>
            <w:tcBorders>
              <w:right w:val="single" w:sz="8" w:color="auto"/>
            </w:tcBorders>
          </w:tcPr>
          <w:p>
            <w:pPr>
              <w:spacing w:after="0"/>
              <w:rPr>
                <w:sz w:val="11"/>
                <w:szCs w:val="11"/>
                <w:color w:val="auto"/>
              </w:rPr>
            </w:pPr>
          </w:p>
        </w:tc>
        <w:tc>
          <w:tcPr>
            <w:tcW w:w="186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Compensation ($)</w:t>
            </w:r>
          </w:p>
        </w:tc>
        <w:tc>
          <w:tcPr>
            <w:tcW w:w="1400" w:type="dxa"/>
            <w:vAlign w:val="bottom"/>
            <w:tcBorders>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rPr>
              <w:t>Compensation ($)</w:t>
            </w:r>
          </w:p>
        </w:tc>
        <w:tc>
          <w:tcPr>
            <w:tcW w:w="1520" w:type="dxa"/>
            <w:vAlign w:val="bottom"/>
            <w:tcBorders>
              <w:right w:val="single" w:sz="8" w:color="auto"/>
            </w:tcBorders>
          </w:tcPr>
          <w:p>
            <w:pPr>
              <w:spacing w:after="0"/>
              <w:rPr>
                <w:sz w:val="11"/>
                <w:szCs w:val="11"/>
                <w:color w:val="auto"/>
              </w:rPr>
            </w:pPr>
          </w:p>
        </w:tc>
      </w:tr>
      <w:tr>
        <w:trPr>
          <w:trHeight w:val="176"/>
        </w:trPr>
        <w:tc>
          <w:tcPr>
            <w:tcW w:w="72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3"/>
                <w:szCs w:val="13"/>
                <w:b w:val="1"/>
                <w:bCs w:val="1"/>
                <w:color w:val="auto"/>
              </w:rPr>
              <w:t>Position</w:t>
            </w:r>
          </w:p>
        </w:tc>
        <w:tc>
          <w:tcPr>
            <w:tcW w:w="380" w:type="dxa"/>
            <w:vAlign w:val="bottom"/>
            <w:tcBorders>
              <w:bottom w:val="single" w:sz="8" w:color="auto"/>
              <w:right w:val="single" w:sz="8" w:color="auto"/>
            </w:tcBorders>
          </w:tcPr>
          <w:p>
            <w:pPr>
              <w:spacing w:after="0"/>
              <w:rPr>
                <w:sz w:val="15"/>
                <w:szCs w:val="15"/>
                <w:color w:val="auto"/>
              </w:rPr>
            </w:pPr>
          </w:p>
        </w:tc>
        <w:tc>
          <w:tcPr>
            <w:tcW w:w="82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c>
          <w:tcPr>
            <w:tcW w:w="920" w:type="dxa"/>
            <w:vAlign w:val="bottom"/>
            <w:tcBorders>
              <w:bottom w:val="single" w:sz="8" w:color="auto"/>
              <w:right w:val="single" w:sz="8" w:color="auto"/>
            </w:tcBorders>
          </w:tcPr>
          <w:p>
            <w:pPr>
              <w:spacing w:after="0"/>
              <w:rPr>
                <w:sz w:val="15"/>
                <w:szCs w:val="15"/>
                <w:color w:val="auto"/>
              </w:rPr>
            </w:pPr>
          </w:p>
        </w:tc>
        <w:tc>
          <w:tcPr>
            <w:tcW w:w="1760" w:type="dxa"/>
            <w:vAlign w:val="bottom"/>
            <w:tcBorders>
              <w:bottom w:val="single" w:sz="8" w:color="auto"/>
              <w:right w:val="single" w:sz="8" w:color="auto"/>
            </w:tcBorders>
          </w:tcPr>
          <w:p>
            <w:pPr>
              <w:spacing w:after="0"/>
              <w:rPr>
                <w:sz w:val="15"/>
                <w:szCs w:val="15"/>
                <w:color w:val="auto"/>
              </w:rPr>
            </w:pPr>
          </w:p>
        </w:tc>
        <w:tc>
          <w:tcPr>
            <w:tcW w:w="1860" w:type="dxa"/>
            <w:vAlign w:val="bottom"/>
            <w:tcBorders>
              <w:bottom w:val="single" w:sz="8" w:color="auto"/>
              <w:right w:val="single" w:sz="8" w:color="auto"/>
            </w:tcBorders>
          </w:tcPr>
          <w:p>
            <w:pPr>
              <w:spacing w:after="0"/>
              <w:rPr>
                <w:sz w:val="15"/>
                <w:szCs w:val="15"/>
                <w:color w:val="auto"/>
              </w:rPr>
            </w:pPr>
          </w:p>
        </w:tc>
        <w:tc>
          <w:tcPr>
            <w:tcW w:w="1400" w:type="dxa"/>
            <w:vAlign w:val="bottom"/>
            <w:tcBorders>
              <w:bottom w:val="single" w:sz="8" w:color="auto"/>
              <w:right w:val="single" w:sz="8" w:color="auto"/>
            </w:tcBorders>
          </w:tcPr>
          <w:p>
            <w:pPr>
              <w:spacing w:after="0"/>
              <w:rPr>
                <w:sz w:val="15"/>
                <w:szCs w:val="15"/>
                <w:color w:val="auto"/>
              </w:rPr>
            </w:pPr>
          </w:p>
        </w:tc>
        <w:tc>
          <w:tcPr>
            <w:tcW w:w="1520" w:type="dxa"/>
            <w:vAlign w:val="bottom"/>
            <w:tcBorders>
              <w:bottom w:val="single" w:sz="8" w:color="auto"/>
              <w:right w:val="single" w:sz="8" w:color="auto"/>
            </w:tcBorders>
          </w:tcPr>
          <w:p>
            <w:pPr>
              <w:spacing w:after="0"/>
              <w:rPr>
                <w:sz w:val="15"/>
                <w:szCs w:val="15"/>
                <w:color w:val="auto"/>
              </w:rPr>
            </w:pPr>
          </w:p>
        </w:tc>
      </w:tr>
      <w:tr>
        <w:trPr>
          <w:trHeight w:val="170"/>
        </w:trPr>
        <w:tc>
          <w:tcPr>
            <w:tcW w:w="720" w:type="dxa"/>
            <w:vAlign w:val="bottom"/>
            <w:tcBorders>
              <w:left w:val="single" w:sz="8" w:color="auto"/>
            </w:tcBorders>
            <w:shd w:val="clear" w:color="auto" w:fill="E2EBF7"/>
          </w:tcPr>
          <w:p>
            <w:pPr>
              <w:ind w:left="80"/>
              <w:spacing w:after="0"/>
              <w:rPr>
                <w:sz w:val="20"/>
                <w:szCs w:val="20"/>
                <w:color w:val="auto"/>
              </w:rPr>
            </w:pPr>
            <w:r>
              <w:rPr>
                <w:rFonts w:ascii="Arial" w:cs="Arial" w:eastAsia="Arial" w:hAnsi="Arial"/>
                <w:sz w:val="13"/>
                <w:szCs w:val="13"/>
                <w:color w:val="auto"/>
              </w:rPr>
              <w:t>Beth</w:t>
            </w:r>
          </w:p>
        </w:tc>
        <w:tc>
          <w:tcPr>
            <w:tcW w:w="380" w:type="dxa"/>
            <w:vAlign w:val="bottom"/>
            <w:tcBorders>
              <w:right w:val="single" w:sz="8" w:color="auto"/>
            </w:tcBorders>
            <w:shd w:val="clear" w:color="auto" w:fill="E2EBF7"/>
          </w:tcPr>
          <w:p>
            <w:pPr>
              <w:spacing w:after="0"/>
              <w:rPr>
                <w:sz w:val="14"/>
                <w:szCs w:val="14"/>
                <w:color w:val="auto"/>
              </w:rPr>
            </w:pPr>
          </w:p>
        </w:tc>
        <w:tc>
          <w:tcPr>
            <w:tcW w:w="820" w:type="dxa"/>
            <w:vAlign w:val="bottom"/>
            <w:tcBorders>
              <w:right w:val="single" w:sz="8" w:color="auto"/>
            </w:tcBorders>
            <w:shd w:val="clear" w:color="auto" w:fill="E2EBF7"/>
          </w:tcPr>
          <w:p>
            <w:pPr>
              <w:jc w:val="right"/>
              <w:ind w:right="213"/>
              <w:spacing w:after="0"/>
              <w:rPr>
                <w:sz w:val="20"/>
                <w:szCs w:val="20"/>
                <w:color w:val="auto"/>
              </w:rPr>
            </w:pPr>
            <w:r>
              <w:rPr>
                <w:rFonts w:ascii="Arial" w:cs="Arial" w:eastAsia="Arial" w:hAnsi="Arial"/>
                <w:sz w:val="13"/>
                <w:szCs w:val="13"/>
                <w:color w:val="auto"/>
              </w:rPr>
              <w:t>2025</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600,000</w:t>
            </w:r>
          </w:p>
        </w:tc>
        <w:tc>
          <w:tcPr>
            <w:tcW w:w="920" w:type="dxa"/>
            <w:vAlign w:val="bottom"/>
            <w:tcBorders>
              <w:right w:val="single" w:sz="8" w:color="auto"/>
            </w:tcBorders>
            <w:shd w:val="clear" w:color="auto" w:fill="E2EBF7"/>
          </w:tcPr>
          <w:p>
            <w:pPr>
              <w:jc w:val="center"/>
              <w:ind w:right="13"/>
              <w:spacing w:after="0"/>
              <w:rPr>
                <w:sz w:val="20"/>
                <w:szCs w:val="20"/>
                <w:color w:val="auto"/>
              </w:rPr>
            </w:pPr>
            <w:r>
              <w:rPr>
                <w:rFonts w:ascii="Arial" w:cs="Arial" w:eastAsia="Arial" w:hAnsi="Arial"/>
                <w:sz w:val="13"/>
                <w:szCs w:val="13"/>
                <w:color w:val="auto"/>
              </w:rPr>
              <w:t>__</w:t>
            </w:r>
          </w:p>
        </w:tc>
        <w:tc>
          <w:tcPr>
            <w:tcW w:w="17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__</w:t>
            </w:r>
          </w:p>
        </w:tc>
        <w:tc>
          <w:tcPr>
            <w:tcW w:w="18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386,600</w:t>
            </w:r>
          </w:p>
        </w:tc>
        <w:tc>
          <w:tcPr>
            <w:tcW w:w="1400" w:type="dxa"/>
            <w:vAlign w:val="bottom"/>
            <w:tcBorders>
              <w:right w:val="single" w:sz="8" w:color="auto"/>
            </w:tcBorders>
            <w:shd w:val="clear" w:color="auto" w:fill="E2EBF7"/>
          </w:tcPr>
          <w:p>
            <w:pPr>
              <w:jc w:val="center"/>
              <w:spacing w:after="0" w:line="170" w:lineRule="exact"/>
              <w:rPr>
                <w:sz w:val="20"/>
                <w:szCs w:val="20"/>
                <w:color w:val="auto"/>
              </w:rPr>
            </w:pPr>
            <w:r>
              <w:rPr>
                <w:rFonts w:ascii="Arial" w:cs="Arial" w:eastAsia="Arial" w:hAnsi="Arial"/>
                <w:sz w:val="13"/>
                <w:szCs w:val="13"/>
                <w:color w:val="auto"/>
                <w:w w:val="96"/>
              </w:rPr>
              <w:t>14,000</w:t>
            </w:r>
            <w:r>
              <w:rPr>
                <w:rFonts w:ascii="Arial" w:cs="Arial" w:eastAsia="Arial" w:hAnsi="Arial"/>
                <w:sz w:val="17"/>
                <w:szCs w:val="17"/>
                <w:color w:val="auto"/>
                <w:w w:val="96"/>
                <w:vertAlign w:val="superscript"/>
              </w:rPr>
              <w:t>(2)</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1,000,600</w:t>
            </w:r>
          </w:p>
        </w:tc>
      </w:tr>
      <w:tr>
        <w:trPr>
          <w:trHeight w:val="176"/>
        </w:trPr>
        <w:tc>
          <w:tcPr>
            <w:tcW w:w="720" w:type="dxa"/>
            <w:vAlign w:val="bottom"/>
            <w:tcBorders>
              <w:left w:val="single" w:sz="8" w:color="auto"/>
            </w:tcBorders>
            <w:shd w:val="clear" w:color="auto" w:fill="E2EBF7"/>
          </w:tcPr>
          <w:p>
            <w:pPr>
              <w:ind w:left="80"/>
              <w:spacing w:after="0"/>
              <w:rPr>
                <w:sz w:val="20"/>
                <w:szCs w:val="20"/>
                <w:color w:val="auto"/>
              </w:rPr>
            </w:pPr>
            <w:r>
              <w:rPr>
                <w:rFonts w:ascii="Arial" w:cs="Arial" w:eastAsia="Arial" w:hAnsi="Arial"/>
                <w:sz w:val="13"/>
                <w:szCs w:val="13"/>
                <w:color w:val="auto"/>
              </w:rPr>
              <w:t>Gerstein</w:t>
            </w:r>
          </w:p>
        </w:tc>
        <w:tc>
          <w:tcPr>
            <w:tcW w:w="380" w:type="dxa"/>
            <w:vAlign w:val="bottom"/>
            <w:tcBorders>
              <w:right w:val="single" w:sz="8" w:color="auto"/>
            </w:tcBorders>
            <w:shd w:val="clear" w:color="auto" w:fill="E2EBF7"/>
          </w:tcPr>
          <w:p>
            <w:pPr>
              <w:spacing w:after="0"/>
              <w:rPr>
                <w:sz w:val="15"/>
                <w:szCs w:val="15"/>
                <w:color w:val="auto"/>
              </w:rPr>
            </w:pPr>
          </w:p>
        </w:tc>
        <w:tc>
          <w:tcPr>
            <w:tcW w:w="820" w:type="dxa"/>
            <w:vAlign w:val="bottom"/>
            <w:tcBorders>
              <w:right w:val="single" w:sz="8" w:color="auto"/>
            </w:tcBorders>
            <w:shd w:val="clear" w:color="auto" w:fill="E2EBF7"/>
          </w:tcPr>
          <w:p>
            <w:pPr>
              <w:spacing w:after="0"/>
              <w:rPr>
                <w:sz w:val="15"/>
                <w:szCs w:val="15"/>
                <w:color w:val="auto"/>
              </w:rPr>
            </w:pPr>
          </w:p>
        </w:tc>
        <w:tc>
          <w:tcPr>
            <w:tcW w:w="1520" w:type="dxa"/>
            <w:vAlign w:val="bottom"/>
            <w:tcBorders>
              <w:right w:val="single" w:sz="8" w:color="auto"/>
            </w:tcBorders>
            <w:shd w:val="clear" w:color="auto" w:fill="E2EBF7"/>
          </w:tcPr>
          <w:p>
            <w:pPr>
              <w:spacing w:after="0"/>
              <w:rPr>
                <w:sz w:val="15"/>
                <w:szCs w:val="15"/>
                <w:color w:val="auto"/>
              </w:rPr>
            </w:pPr>
          </w:p>
        </w:tc>
        <w:tc>
          <w:tcPr>
            <w:tcW w:w="920" w:type="dxa"/>
            <w:vAlign w:val="bottom"/>
            <w:tcBorders>
              <w:right w:val="single" w:sz="8" w:color="auto"/>
            </w:tcBorders>
            <w:shd w:val="clear" w:color="auto" w:fill="E2EBF7"/>
          </w:tcPr>
          <w:p>
            <w:pPr>
              <w:spacing w:after="0"/>
              <w:rPr>
                <w:sz w:val="15"/>
                <w:szCs w:val="15"/>
                <w:color w:val="auto"/>
              </w:rPr>
            </w:pPr>
          </w:p>
        </w:tc>
        <w:tc>
          <w:tcPr>
            <w:tcW w:w="1760" w:type="dxa"/>
            <w:vAlign w:val="bottom"/>
            <w:tcBorders>
              <w:right w:val="single" w:sz="8" w:color="auto"/>
            </w:tcBorders>
            <w:shd w:val="clear" w:color="auto" w:fill="E2EBF7"/>
          </w:tcPr>
          <w:p>
            <w:pPr>
              <w:spacing w:after="0"/>
              <w:rPr>
                <w:sz w:val="15"/>
                <w:szCs w:val="15"/>
                <w:color w:val="auto"/>
              </w:rPr>
            </w:pPr>
          </w:p>
        </w:tc>
        <w:tc>
          <w:tcPr>
            <w:tcW w:w="1860" w:type="dxa"/>
            <w:vAlign w:val="bottom"/>
            <w:tcBorders>
              <w:right w:val="single" w:sz="8" w:color="auto"/>
            </w:tcBorders>
            <w:shd w:val="clear" w:color="auto" w:fill="E2EBF7"/>
          </w:tcPr>
          <w:p>
            <w:pPr>
              <w:spacing w:after="0"/>
              <w:rPr>
                <w:sz w:val="15"/>
                <w:szCs w:val="15"/>
                <w:color w:val="auto"/>
              </w:rPr>
            </w:pPr>
          </w:p>
        </w:tc>
        <w:tc>
          <w:tcPr>
            <w:tcW w:w="1400" w:type="dxa"/>
            <w:vAlign w:val="bottom"/>
            <w:tcBorders>
              <w:right w:val="single" w:sz="8" w:color="auto"/>
            </w:tcBorders>
            <w:shd w:val="clear" w:color="auto" w:fill="E2EBF7"/>
          </w:tcPr>
          <w:p>
            <w:pPr>
              <w:spacing w:after="0"/>
              <w:rPr>
                <w:sz w:val="15"/>
                <w:szCs w:val="15"/>
                <w:color w:val="auto"/>
              </w:rPr>
            </w:pPr>
          </w:p>
        </w:tc>
        <w:tc>
          <w:tcPr>
            <w:tcW w:w="1520" w:type="dxa"/>
            <w:vAlign w:val="bottom"/>
            <w:tcBorders>
              <w:right w:val="single" w:sz="8" w:color="auto"/>
            </w:tcBorders>
            <w:shd w:val="clear" w:color="auto" w:fill="E2EBF7"/>
          </w:tcPr>
          <w:p>
            <w:pPr>
              <w:spacing w:after="0"/>
              <w:rPr>
                <w:sz w:val="15"/>
                <w:szCs w:val="15"/>
                <w:color w:val="auto"/>
              </w:rPr>
            </w:pPr>
          </w:p>
        </w:tc>
      </w:tr>
      <w:tr>
        <w:trPr>
          <w:trHeight w:val="174"/>
        </w:trPr>
        <w:tc>
          <w:tcPr>
            <w:tcW w:w="1100" w:type="dxa"/>
            <w:vAlign w:val="bottom"/>
            <w:tcBorders>
              <w:left w:val="single" w:sz="8" w:color="auto"/>
              <w:right w:val="single" w:sz="8" w:color="auto"/>
            </w:tcBorders>
            <w:gridSpan w:val="2"/>
            <w:shd w:val="clear" w:color="auto" w:fill="E2EBF7"/>
          </w:tcPr>
          <w:p>
            <w:pPr>
              <w:ind w:left="80"/>
              <w:spacing w:after="0"/>
              <w:rPr>
                <w:sz w:val="20"/>
                <w:szCs w:val="20"/>
                <w:color w:val="auto"/>
              </w:rPr>
            </w:pPr>
            <w:r>
              <w:rPr>
                <w:rFonts w:ascii="Arial" w:cs="Arial" w:eastAsia="Arial" w:hAnsi="Arial"/>
                <w:sz w:val="13"/>
                <w:szCs w:val="13"/>
                <w:color w:val="auto"/>
              </w:rPr>
              <w:t>Chief Executive</w:t>
            </w:r>
          </w:p>
        </w:tc>
        <w:tc>
          <w:tcPr>
            <w:tcW w:w="820" w:type="dxa"/>
            <w:vAlign w:val="bottom"/>
            <w:tcBorders>
              <w:right w:val="single" w:sz="8" w:color="auto"/>
            </w:tcBorders>
            <w:shd w:val="clear" w:color="auto" w:fill="E2EBF7"/>
          </w:tcPr>
          <w:p>
            <w:pPr>
              <w:jc w:val="right"/>
              <w:ind w:right="213"/>
              <w:spacing w:after="0"/>
              <w:rPr>
                <w:sz w:val="20"/>
                <w:szCs w:val="20"/>
                <w:color w:val="auto"/>
              </w:rPr>
            </w:pPr>
            <w:r>
              <w:rPr>
                <w:rFonts w:ascii="Arial" w:cs="Arial" w:eastAsia="Arial" w:hAnsi="Arial"/>
                <w:sz w:val="13"/>
                <w:szCs w:val="13"/>
                <w:color w:val="auto"/>
              </w:rPr>
              <w:t>2024</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600,000</w:t>
            </w:r>
          </w:p>
        </w:tc>
        <w:tc>
          <w:tcPr>
            <w:tcW w:w="920" w:type="dxa"/>
            <w:vAlign w:val="bottom"/>
            <w:tcBorders>
              <w:right w:val="single" w:sz="8" w:color="auto"/>
            </w:tcBorders>
            <w:shd w:val="clear" w:color="auto" w:fill="E2EBF7"/>
          </w:tcPr>
          <w:p>
            <w:pPr>
              <w:jc w:val="center"/>
              <w:ind w:right="13"/>
              <w:spacing w:after="0"/>
              <w:rPr>
                <w:sz w:val="20"/>
                <w:szCs w:val="20"/>
                <w:color w:val="auto"/>
              </w:rPr>
            </w:pPr>
            <w:r>
              <w:rPr>
                <w:rFonts w:ascii="Arial" w:cs="Arial" w:eastAsia="Arial" w:hAnsi="Arial"/>
                <w:sz w:val="13"/>
                <w:szCs w:val="13"/>
                <w:color w:val="auto"/>
              </w:rPr>
              <w:t>__</w:t>
            </w:r>
          </w:p>
        </w:tc>
        <w:tc>
          <w:tcPr>
            <w:tcW w:w="17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__</w:t>
            </w:r>
          </w:p>
        </w:tc>
        <w:tc>
          <w:tcPr>
            <w:tcW w:w="18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254,800</w:t>
            </w:r>
          </w:p>
        </w:tc>
        <w:tc>
          <w:tcPr>
            <w:tcW w:w="140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13,800</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868,600</w:t>
            </w:r>
          </w:p>
        </w:tc>
      </w:tr>
      <w:tr>
        <w:trPr>
          <w:trHeight w:val="175"/>
        </w:trPr>
        <w:tc>
          <w:tcPr>
            <w:tcW w:w="720" w:type="dxa"/>
            <w:vAlign w:val="bottom"/>
            <w:tcBorders>
              <w:left w:val="single" w:sz="8" w:color="auto"/>
              <w:bottom w:val="single" w:sz="8" w:color="auto"/>
            </w:tcBorders>
            <w:shd w:val="clear" w:color="auto" w:fill="E2EBF7"/>
          </w:tcPr>
          <w:p>
            <w:pPr>
              <w:ind w:left="80"/>
              <w:spacing w:after="0"/>
              <w:rPr>
                <w:sz w:val="20"/>
                <w:szCs w:val="20"/>
                <w:color w:val="auto"/>
              </w:rPr>
            </w:pPr>
            <w:r>
              <w:rPr>
                <w:rFonts w:ascii="Arial" w:cs="Arial" w:eastAsia="Arial" w:hAnsi="Arial"/>
                <w:sz w:val="13"/>
                <w:szCs w:val="13"/>
                <w:color w:val="auto"/>
              </w:rPr>
              <w:t>Officer</w:t>
            </w:r>
          </w:p>
        </w:tc>
        <w:tc>
          <w:tcPr>
            <w:tcW w:w="380" w:type="dxa"/>
            <w:vAlign w:val="bottom"/>
            <w:tcBorders>
              <w:bottom w:val="single" w:sz="8" w:color="auto"/>
              <w:right w:val="single" w:sz="8" w:color="auto"/>
            </w:tcBorders>
            <w:shd w:val="clear" w:color="auto" w:fill="E2EBF7"/>
          </w:tcPr>
          <w:p>
            <w:pPr>
              <w:spacing w:after="0"/>
              <w:rPr>
                <w:sz w:val="15"/>
                <w:szCs w:val="15"/>
                <w:color w:val="auto"/>
              </w:rPr>
            </w:pPr>
          </w:p>
        </w:tc>
        <w:tc>
          <w:tcPr>
            <w:tcW w:w="820" w:type="dxa"/>
            <w:vAlign w:val="bottom"/>
            <w:tcBorders>
              <w:bottom w:val="single" w:sz="8" w:color="auto"/>
              <w:right w:val="single" w:sz="8" w:color="auto"/>
            </w:tcBorders>
            <w:shd w:val="clear" w:color="auto" w:fill="E2EBF7"/>
          </w:tcPr>
          <w:p>
            <w:pPr>
              <w:spacing w:after="0"/>
              <w:rPr>
                <w:sz w:val="15"/>
                <w:szCs w:val="15"/>
                <w:color w:val="auto"/>
              </w:rPr>
            </w:pPr>
          </w:p>
        </w:tc>
        <w:tc>
          <w:tcPr>
            <w:tcW w:w="1520" w:type="dxa"/>
            <w:vAlign w:val="bottom"/>
            <w:tcBorders>
              <w:bottom w:val="single" w:sz="8" w:color="auto"/>
              <w:right w:val="single" w:sz="8" w:color="auto"/>
            </w:tcBorders>
            <w:shd w:val="clear" w:color="auto" w:fill="E2EBF7"/>
          </w:tcPr>
          <w:p>
            <w:pPr>
              <w:spacing w:after="0"/>
              <w:rPr>
                <w:sz w:val="15"/>
                <w:szCs w:val="15"/>
                <w:color w:val="auto"/>
              </w:rPr>
            </w:pPr>
          </w:p>
        </w:tc>
        <w:tc>
          <w:tcPr>
            <w:tcW w:w="920" w:type="dxa"/>
            <w:vAlign w:val="bottom"/>
            <w:tcBorders>
              <w:bottom w:val="single" w:sz="8" w:color="auto"/>
              <w:right w:val="single" w:sz="8" w:color="auto"/>
            </w:tcBorders>
            <w:shd w:val="clear" w:color="auto" w:fill="E2EBF7"/>
          </w:tcPr>
          <w:p>
            <w:pPr>
              <w:spacing w:after="0"/>
              <w:rPr>
                <w:sz w:val="15"/>
                <w:szCs w:val="15"/>
                <w:color w:val="auto"/>
              </w:rPr>
            </w:pPr>
          </w:p>
        </w:tc>
        <w:tc>
          <w:tcPr>
            <w:tcW w:w="1760" w:type="dxa"/>
            <w:vAlign w:val="bottom"/>
            <w:tcBorders>
              <w:bottom w:val="single" w:sz="8" w:color="auto"/>
              <w:right w:val="single" w:sz="8" w:color="auto"/>
            </w:tcBorders>
            <w:shd w:val="clear" w:color="auto" w:fill="E2EBF7"/>
          </w:tcPr>
          <w:p>
            <w:pPr>
              <w:spacing w:after="0"/>
              <w:rPr>
                <w:sz w:val="15"/>
                <w:szCs w:val="15"/>
                <w:color w:val="auto"/>
              </w:rPr>
            </w:pPr>
          </w:p>
        </w:tc>
        <w:tc>
          <w:tcPr>
            <w:tcW w:w="1860" w:type="dxa"/>
            <w:vAlign w:val="bottom"/>
            <w:tcBorders>
              <w:bottom w:val="single" w:sz="8" w:color="auto"/>
              <w:right w:val="single" w:sz="8" w:color="auto"/>
            </w:tcBorders>
            <w:shd w:val="clear" w:color="auto" w:fill="E2EBF7"/>
          </w:tcPr>
          <w:p>
            <w:pPr>
              <w:spacing w:after="0"/>
              <w:rPr>
                <w:sz w:val="15"/>
                <w:szCs w:val="15"/>
                <w:color w:val="auto"/>
              </w:rPr>
            </w:pPr>
          </w:p>
        </w:tc>
        <w:tc>
          <w:tcPr>
            <w:tcW w:w="1400" w:type="dxa"/>
            <w:vAlign w:val="bottom"/>
            <w:tcBorders>
              <w:bottom w:val="single" w:sz="8" w:color="auto"/>
              <w:right w:val="single" w:sz="8" w:color="auto"/>
            </w:tcBorders>
            <w:shd w:val="clear" w:color="auto" w:fill="E2EBF7"/>
          </w:tcPr>
          <w:p>
            <w:pPr>
              <w:spacing w:after="0"/>
              <w:rPr>
                <w:sz w:val="15"/>
                <w:szCs w:val="15"/>
                <w:color w:val="auto"/>
              </w:rPr>
            </w:pPr>
          </w:p>
        </w:tc>
        <w:tc>
          <w:tcPr>
            <w:tcW w:w="1520" w:type="dxa"/>
            <w:vAlign w:val="bottom"/>
            <w:tcBorders>
              <w:bottom w:val="single" w:sz="8" w:color="auto"/>
              <w:right w:val="single" w:sz="8" w:color="auto"/>
            </w:tcBorders>
            <w:shd w:val="clear" w:color="auto" w:fill="E2EBF7"/>
          </w:tcPr>
          <w:p>
            <w:pPr>
              <w:spacing w:after="0"/>
              <w:rPr>
                <w:sz w:val="15"/>
                <w:szCs w:val="15"/>
                <w:color w:val="auto"/>
              </w:rPr>
            </w:pPr>
          </w:p>
        </w:tc>
      </w:tr>
      <w:tr>
        <w:trPr>
          <w:trHeight w:val="250"/>
        </w:trPr>
        <w:tc>
          <w:tcPr>
            <w:tcW w:w="72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520" w:type="dxa"/>
            <w:vAlign w:val="bottom"/>
            <w:tcBorders>
              <w:bottom w:val="single" w:sz="8" w:color="auto"/>
              <w:right w:val="single" w:sz="8" w:color="auto"/>
            </w:tcBorders>
          </w:tcPr>
          <w:p>
            <w:pPr>
              <w:spacing w:after="0"/>
              <w:rPr>
                <w:sz w:val="21"/>
                <w:szCs w:val="21"/>
                <w:color w:val="auto"/>
              </w:rPr>
            </w:pPr>
          </w:p>
        </w:tc>
      </w:tr>
      <w:tr>
        <w:trPr>
          <w:trHeight w:val="210"/>
        </w:trPr>
        <w:tc>
          <w:tcPr>
            <w:tcW w:w="1100" w:type="dxa"/>
            <w:vAlign w:val="bottom"/>
            <w:tcBorders>
              <w:left w:val="single" w:sz="8" w:color="auto"/>
              <w:right w:val="single" w:sz="8" w:color="auto"/>
            </w:tcBorders>
            <w:gridSpan w:val="2"/>
            <w:shd w:val="clear" w:color="auto" w:fill="E2EBF7"/>
          </w:tcPr>
          <w:p>
            <w:pPr>
              <w:ind w:left="80"/>
              <w:spacing w:after="0"/>
              <w:rPr>
                <w:sz w:val="20"/>
                <w:szCs w:val="20"/>
                <w:color w:val="auto"/>
              </w:rPr>
            </w:pPr>
            <w:r>
              <w:rPr>
                <w:rFonts w:ascii="Arial" w:cs="Arial" w:eastAsia="Arial" w:hAnsi="Arial"/>
                <w:sz w:val="13"/>
                <w:szCs w:val="13"/>
                <w:color w:val="auto"/>
              </w:rPr>
              <w:t>Eric Grossberg</w:t>
            </w:r>
          </w:p>
        </w:tc>
        <w:tc>
          <w:tcPr>
            <w:tcW w:w="820" w:type="dxa"/>
            <w:vAlign w:val="bottom"/>
            <w:tcBorders>
              <w:right w:val="single" w:sz="8" w:color="auto"/>
            </w:tcBorders>
            <w:shd w:val="clear" w:color="auto" w:fill="E2EBF7"/>
          </w:tcPr>
          <w:p>
            <w:pPr>
              <w:jc w:val="right"/>
              <w:ind w:right="213"/>
              <w:spacing w:after="0"/>
              <w:rPr>
                <w:sz w:val="20"/>
                <w:szCs w:val="20"/>
                <w:color w:val="auto"/>
              </w:rPr>
            </w:pPr>
            <w:r>
              <w:rPr>
                <w:rFonts w:ascii="Arial" w:cs="Arial" w:eastAsia="Arial" w:hAnsi="Arial"/>
                <w:sz w:val="13"/>
                <w:szCs w:val="13"/>
                <w:color w:val="auto"/>
              </w:rPr>
              <w:t>2025</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600,000</w:t>
            </w:r>
          </w:p>
        </w:tc>
        <w:tc>
          <w:tcPr>
            <w:tcW w:w="920" w:type="dxa"/>
            <w:vAlign w:val="bottom"/>
            <w:tcBorders>
              <w:right w:val="single" w:sz="8" w:color="auto"/>
            </w:tcBorders>
            <w:shd w:val="clear" w:color="auto" w:fill="E2EBF7"/>
          </w:tcPr>
          <w:p>
            <w:pPr>
              <w:jc w:val="center"/>
              <w:ind w:right="13"/>
              <w:spacing w:after="0"/>
              <w:rPr>
                <w:sz w:val="20"/>
                <w:szCs w:val="20"/>
                <w:color w:val="auto"/>
              </w:rPr>
            </w:pPr>
            <w:r>
              <w:rPr>
                <w:rFonts w:ascii="Arial" w:cs="Arial" w:eastAsia="Arial" w:hAnsi="Arial"/>
                <w:sz w:val="13"/>
                <w:szCs w:val="13"/>
                <w:color w:val="auto"/>
              </w:rPr>
              <w:t>__</w:t>
            </w:r>
          </w:p>
        </w:tc>
        <w:tc>
          <w:tcPr>
            <w:tcW w:w="17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__</w:t>
            </w:r>
          </w:p>
        </w:tc>
        <w:tc>
          <w:tcPr>
            <w:tcW w:w="18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303,800</w:t>
            </w:r>
          </w:p>
        </w:tc>
        <w:tc>
          <w:tcPr>
            <w:tcW w:w="140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w w:val="96"/>
              </w:rPr>
              <w:t>14,000</w:t>
            </w:r>
            <w:r>
              <w:rPr>
                <w:rFonts w:ascii="Arial" w:cs="Arial" w:eastAsia="Arial" w:hAnsi="Arial"/>
                <w:sz w:val="17"/>
                <w:szCs w:val="17"/>
                <w:color w:val="auto"/>
                <w:w w:val="96"/>
                <w:vertAlign w:val="superscript"/>
              </w:rPr>
              <w:t>(2)</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917,800</w:t>
            </w:r>
          </w:p>
        </w:tc>
      </w:tr>
      <w:tr>
        <w:trPr>
          <w:trHeight w:val="148"/>
        </w:trPr>
        <w:tc>
          <w:tcPr>
            <w:tcW w:w="720" w:type="dxa"/>
            <w:vAlign w:val="bottom"/>
            <w:tcBorders>
              <w:left w:val="single" w:sz="8" w:color="auto"/>
            </w:tcBorders>
            <w:shd w:val="clear" w:color="auto" w:fill="E2EBF7"/>
          </w:tcPr>
          <w:p>
            <w:pPr>
              <w:ind w:left="80"/>
              <w:spacing w:after="0"/>
              <w:rPr>
                <w:sz w:val="20"/>
                <w:szCs w:val="20"/>
                <w:color w:val="auto"/>
              </w:rPr>
            </w:pPr>
            <w:r>
              <w:rPr>
                <w:rFonts w:ascii="Arial" w:cs="Arial" w:eastAsia="Arial" w:hAnsi="Arial"/>
                <w:sz w:val="13"/>
                <w:szCs w:val="13"/>
                <w:color w:val="auto"/>
              </w:rPr>
              <w:t>Executive</w:t>
            </w:r>
          </w:p>
        </w:tc>
        <w:tc>
          <w:tcPr>
            <w:tcW w:w="380" w:type="dxa"/>
            <w:vAlign w:val="bottom"/>
            <w:tcBorders>
              <w:right w:val="single" w:sz="8" w:color="auto"/>
            </w:tcBorders>
            <w:shd w:val="clear" w:color="auto" w:fill="E2EBF7"/>
          </w:tcPr>
          <w:p>
            <w:pPr>
              <w:spacing w:after="0"/>
              <w:rPr>
                <w:sz w:val="12"/>
                <w:szCs w:val="12"/>
                <w:color w:val="auto"/>
              </w:rPr>
            </w:pPr>
          </w:p>
        </w:tc>
        <w:tc>
          <w:tcPr>
            <w:tcW w:w="820" w:type="dxa"/>
            <w:vAlign w:val="bottom"/>
            <w:tcBorders>
              <w:right w:val="single" w:sz="8" w:color="auto"/>
            </w:tcBorders>
            <w:shd w:val="clear" w:color="auto" w:fill="E2EBF7"/>
          </w:tcPr>
          <w:p>
            <w:pPr>
              <w:jc w:val="right"/>
              <w:ind w:right="213"/>
              <w:spacing w:after="0"/>
              <w:rPr>
                <w:sz w:val="20"/>
                <w:szCs w:val="20"/>
                <w:color w:val="auto"/>
              </w:rPr>
            </w:pPr>
            <w:r>
              <w:rPr>
                <w:rFonts w:ascii="Arial" w:cs="Arial" w:eastAsia="Arial" w:hAnsi="Arial"/>
                <w:sz w:val="13"/>
                <w:szCs w:val="13"/>
                <w:color w:val="auto"/>
              </w:rPr>
              <w:t>2024</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600,000</w:t>
            </w:r>
          </w:p>
        </w:tc>
        <w:tc>
          <w:tcPr>
            <w:tcW w:w="920" w:type="dxa"/>
            <w:vAlign w:val="bottom"/>
            <w:tcBorders>
              <w:right w:val="single" w:sz="8" w:color="auto"/>
            </w:tcBorders>
            <w:shd w:val="clear" w:color="auto" w:fill="E2EBF7"/>
          </w:tcPr>
          <w:p>
            <w:pPr>
              <w:jc w:val="center"/>
              <w:ind w:right="13"/>
              <w:spacing w:after="0"/>
              <w:rPr>
                <w:sz w:val="20"/>
                <w:szCs w:val="20"/>
                <w:color w:val="auto"/>
              </w:rPr>
            </w:pPr>
            <w:r>
              <w:rPr>
                <w:rFonts w:ascii="Arial" w:cs="Arial" w:eastAsia="Arial" w:hAnsi="Arial"/>
                <w:sz w:val="13"/>
                <w:szCs w:val="13"/>
                <w:color w:val="auto"/>
              </w:rPr>
              <w:t>__</w:t>
            </w:r>
          </w:p>
        </w:tc>
        <w:tc>
          <w:tcPr>
            <w:tcW w:w="17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__</w:t>
            </w:r>
          </w:p>
        </w:tc>
        <w:tc>
          <w:tcPr>
            <w:tcW w:w="18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203,900</w:t>
            </w:r>
          </w:p>
        </w:tc>
        <w:tc>
          <w:tcPr>
            <w:tcW w:w="140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13,800</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817,700</w:t>
            </w:r>
          </w:p>
        </w:tc>
      </w:tr>
      <w:tr>
        <w:trPr>
          <w:trHeight w:val="176"/>
        </w:trPr>
        <w:tc>
          <w:tcPr>
            <w:tcW w:w="720" w:type="dxa"/>
            <w:vAlign w:val="bottom"/>
            <w:tcBorders>
              <w:left w:val="single" w:sz="8" w:color="auto"/>
              <w:bottom w:val="single" w:sz="8" w:color="auto"/>
            </w:tcBorders>
            <w:shd w:val="clear" w:color="auto" w:fill="E2EBF7"/>
          </w:tcPr>
          <w:p>
            <w:pPr>
              <w:ind w:left="80"/>
              <w:spacing w:after="0"/>
              <w:rPr>
                <w:sz w:val="20"/>
                <w:szCs w:val="20"/>
                <w:color w:val="auto"/>
              </w:rPr>
            </w:pPr>
            <w:r>
              <w:rPr>
                <w:rFonts w:ascii="Arial" w:cs="Arial" w:eastAsia="Arial" w:hAnsi="Arial"/>
                <w:sz w:val="13"/>
                <w:szCs w:val="13"/>
                <w:color w:val="auto"/>
              </w:rPr>
              <w:t>Chairman</w:t>
            </w:r>
          </w:p>
        </w:tc>
        <w:tc>
          <w:tcPr>
            <w:tcW w:w="380" w:type="dxa"/>
            <w:vAlign w:val="bottom"/>
            <w:tcBorders>
              <w:bottom w:val="single" w:sz="8" w:color="auto"/>
              <w:right w:val="single" w:sz="8" w:color="auto"/>
            </w:tcBorders>
            <w:shd w:val="clear" w:color="auto" w:fill="E2EBF7"/>
          </w:tcPr>
          <w:p>
            <w:pPr>
              <w:spacing w:after="0"/>
              <w:rPr>
                <w:sz w:val="15"/>
                <w:szCs w:val="15"/>
                <w:color w:val="auto"/>
              </w:rPr>
            </w:pPr>
          </w:p>
        </w:tc>
        <w:tc>
          <w:tcPr>
            <w:tcW w:w="820" w:type="dxa"/>
            <w:vAlign w:val="bottom"/>
            <w:tcBorders>
              <w:bottom w:val="single" w:sz="8" w:color="auto"/>
              <w:right w:val="single" w:sz="8" w:color="auto"/>
            </w:tcBorders>
            <w:shd w:val="clear" w:color="auto" w:fill="E2EBF7"/>
          </w:tcPr>
          <w:p>
            <w:pPr>
              <w:spacing w:after="0"/>
              <w:rPr>
                <w:sz w:val="15"/>
                <w:szCs w:val="15"/>
                <w:color w:val="auto"/>
              </w:rPr>
            </w:pPr>
          </w:p>
        </w:tc>
        <w:tc>
          <w:tcPr>
            <w:tcW w:w="1520" w:type="dxa"/>
            <w:vAlign w:val="bottom"/>
            <w:tcBorders>
              <w:bottom w:val="single" w:sz="8" w:color="auto"/>
              <w:right w:val="single" w:sz="8" w:color="auto"/>
            </w:tcBorders>
            <w:shd w:val="clear" w:color="auto" w:fill="E2EBF7"/>
          </w:tcPr>
          <w:p>
            <w:pPr>
              <w:spacing w:after="0"/>
              <w:rPr>
                <w:sz w:val="15"/>
                <w:szCs w:val="15"/>
                <w:color w:val="auto"/>
              </w:rPr>
            </w:pPr>
          </w:p>
        </w:tc>
        <w:tc>
          <w:tcPr>
            <w:tcW w:w="920" w:type="dxa"/>
            <w:vAlign w:val="bottom"/>
            <w:tcBorders>
              <w:bottom w:val="single" w:sz="8" w:color="auto"/>
              <w:right w:val="single" w:sz="8" w:color="auto"/>
            </w:tcBorders>
            <w:shd w:val="clear" w:color="auto" w:fill="E2EBF7"/>
          </w:tcPr>
          <w:p>
            <w:pPr>
              <w:spacing w:after="0"/>
              <w:rPr>
                <w:sz w:val="15"/>
                <w:szCs w:val="15"/>
                <w:color w:val="auto"/>
              </w:rPr>
            </w:pPr>
          </w:p>
        </w:tc>
        <w:tc>
          <w:tcPr>
            <w:tcW w:w="1760" w:type="dxa"/>
            <w:vAlign w:val="bottom"/>
            <w:tcBorders>
              <w:bottom w:val="single" w:sz="8" w:color="auto"/>
              <w:right w:val="single" w:sz="8" w:color="auto"/>
            </w:tcBorders>
            <w:shd w:val="clear" w:color="auto" w:fill="E2EBF7"/>
          </w:tcPr>
          <w:p>
            <w:pPr>
              <w:spacing w:after="0"/>
              <w:rPr>
                <w:sz w:val="15"/>
                <w:szCs w:val="15"/>
                <w:color w:val="auto"/>
              </w:rPr>
            </w:pPr>
          </w:p>
        </w:tc>
        <w:tc>
          <w:tcPr>
            <w:tcW w:w="1860" w:type="dxa"/>
            <w:vAlign w:val="bottom"/>
            <w:tcBorders>
              <w:bottom w:val="single" w:sz="8" w:color="auto"/>
              <w:right w:val="single" w:sz="8" w:color="auto"/>
            </w:tcBorders>
            <w:shd w:val="clear" w:color="auto" w:fill="E2EBF7"/>
          </w:tcPr>
          <w:p>
            <w:pPr>
              <w:spacing w:after="0"/>
              <w:rPr>
                <w:sz w:val="15"/>
                <w:szCs w:val="15"/>
                <w:color w:val="auto"/>
              </w:rPr>
            </w:pPr>
          </w:p>
        </w:tc>
        <w:tc>
          <w:tcPr>
            <w:tcW w:w="1400" w:type="dxa"/>
            <w:vAlign w:val="bottom"/>
            <w:tcBorders>
              <w:bottom w:val="single" w:sz="8" w:color="auto"/>
              <w:right w:val="single" w:sz="8" w:color="auto"/>
            </w:tcBorders>
            <w:shd w:val="clear" w:color="auto" w:fill="E2EBF7"/>
          </w:tcPr>
          <w:p>
            <w:pPr>
              <w:spacing w:after="0"/>
              <w:rPr>
                <w:sz w:val="15"/>
                <w:szCs w:val="15"/>
                <w:color w:val="auto"/>
              </w:rPr>
            </w:pPr>
          </w:p>
        </w:tc>
        <w:tc>
          <w:tcPr>
            <w:tcW w:w="1520" w:type="dxa"/>
            <w:vAlign w:val="bottom"/>
            <w:tcBorders>
              <w:bottom w:val="single" w:sz="8" w:color="auto"/>
              <w:right w:val="single" w:sz="8" w:color="auto"/>
            </w:tcBorders>
            <w:shd w:val="clear" w:color="auto" w:fill="E2EBF7"/>
          </w:tcPr>
          <w:p>
            <w:pPr>
              <w:spacing w:after="0"/>
              <w:rPr>
                <w:sz w:val="15"/>
                <w:szCs w:val="15"/>
                <w:color w:val="auto"/>
              </w:rPr>
            </w:pPr>
          </w:p>
        </w:tc>
      </w:tr>
      <w:tr>
        <w:trPr>
          <w:trHeight w:val="304"/>
        </w:trPr>
        <w:tc>
          <w:tcPr>
            <w:tcW w:w="7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520" w:type="dxa"/>
            <w:vAlign w:val="bottom"/>
            <w:tcBorders>
              <w:bottom w:val="single" w:sz="8" w:color="auto"/>
              <w:right w:val="single" w:sz="8" w:color="auto"/>
            </w:tcBorders>
          </w:tcPr>
          <w:p>
            <w:pPr>
              <w:spacing w:after="0"/>
              <w:rPr>
                <w:sz w:val="24"/>
                <w:szCs w:val="24"/>
                <w:color w:val="auto"/>
              </w:rPr>
            </w:pPr>
          </w:p>
        </w:tc>
      </w:tr>
      <w:tr>
        <w:trPr>
          <w:trHeight w:val="210"/>
        </w:trPr>
        <w:tc>
          <w:tcPr>
            <w:tcW w:w="1100" w:type="dxa"/>
            <w:vAlign w:val="bottom"/>
            <w:tcBorders>
              <w:left w:val="single" w:sz="8" w:color="auto"/>
              <w:right w:val="single" w:sz="8" w:color="auto"/>
            </w:tcBorders>
            <w:gridSpan w:val="2"/>
            <w:shd w:val="clear" w:color="auto" w:fill="E2EBF7"/>
          </w:tcPr>
          <w:p>
            <w:pPr>
              <w:ind w:left="80"/>
              <w:spacing w:after="0"/>
              <w:rPr>
                <w:sz w:val="20"/>
                <w:szCs w:val="20"/>
                <w:color w:val="auto"/>
              </w:rPr>
            </w:pPr>
            <w:r>
              <w:rPr>
                <w:rFonts w:ascii="Arial" w:cs="Arial" w:eastAsia="Arial" w:hAnsi="Arial"/>
                <w:sz w:val="13"/>
                <w:szCs w:val="13"/>
                <w:color w:val="auto"/>
              </w:rPr>
              <w:t>Jeffrey Kuo</w:t>
            </w:r>
          </w:p>
        </w:tc>
        <w:tc>
          <w:tcPr>
            <w:tcW w:w="820" w:type="dxa"/>
            <w:vAlign w:val="bottom"/>
            <w:tcBorders>
              <w:right w:val="single" w:sz="8" w:color="auto"/>
            </w:tcBorders>
            <w:shd w:val="clear" w:color="auto" w:fill="E2EBF7"/>
          </w:tcPr>
          <w:p>
            <w:pPr>
              <w:jc w:val="right"/>
              <w:ind w:right="213"/>
              <w:spacing w:after="0"/>
              <w:rPr>
                <w:sz w:val="20"/>
                <w:szCs w:val="20"/>
                <w:color w:val="auto"/>
              </w:rPr>
            </w:pPr>
            <w:r>
              <w:rPr>
                <w:rFonts w:ascii="Arial" w:cs="Arial" w:eastAsia="Arial" w:hAnsi="Arial"/>
                <w:sz w:val="13"/>
                <w:szCs w:val="13"/>
                <w:color w:val="auto"/>
              </w:rPr>
              <w:t>2025</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480,769</w:t>
            </w:r>
          </w:p>
        </w:tc>
        <w:tc>
          <w:tcPr>
            <w:tcW w:w="920" w:type="dxa"/>
            <w:vAlign w:val="bottom"/>
            <w:tcBorders>
              <w:right w:val="single" w:sz="8" w:color="auto"/>
            </w:tcBorders>
            <w:shd w:val="clear" w:color="auto" w:fill="E2EBF7"/>
          </w:tcPr>
          <w:p>
            <w:pPr>
              <w:jc w:val="center"/>
              <w:ind w:right="13"/>
              <w:spacing w:after="0"/>
              <w:rPr>
                <w:sz w:val="20"/>
                <w:szCs w:val="20"/>
                <w:color w:val="auto"/>
              </w:rPr>
            </w:pPr>
            <w:r>
              <w:rPr>
                <w:rFonts w:ascii="Arial" w:cs="Arial" w:eastAsia="Arial" w:hAnsi="Arial"/>
                <w:sz w:val="13"/>
                <w:szCs w:val="13"/>
                <w:color w:val="auto"/>
              </w:rPr>
              <w:t>__</w:t>
            </w:r>
          </w:p>
        </w:tc>
        <w:tc>
          <w:tcPr>
            <w:tcW w:w="17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195,319</w:t>
            </w:r>
          </w:p>
        </w:tc>
        <w:tc>
          <w:tcPr>
            <w:tcW w:w="186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263,300</w:t>
            </w:r>
          </w:p>
        </w:tc>
        <w:tc>
          <w:tcPr>
            <w:tcW w:w="140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w w:val="96"/>
              </w:rPr>
              <w:t>36,564</w:t>
            </w:r>
            <w:r>
              <w:rPr>
                <w:rFonts w:ascii="Arial" w:cs="Arial" w:eastAsia="Arial" w:hAnsi="Arial"/>
                <w:sz w:val="17"/>
                <w:szCs w:val="17"/>
                <w:color w:val="auto"/>
                <w:w w:val="96"/>
                <w:vertAlign w:val="superscript"/>
              </w:rPr>
              <w:t>(2)</w:t>
            </w:r>
          </w:p>
        </w:tc>
        <w:tc>
          <w:tcPr>
            <w:tcW w:w="1520" w:type="dxa"/>
            <w:vAlign w:val="bottom"/>
            <w:tcBorders>
              <w:right w:val="single" w:sz="8" w:color="auto"/>
            </w:tcBorders>
            <w:shd w:val="clear" w:color="auto" w:fill="E2EBF7"/>
          </w:tcPr>
          <w:p>
            <w:pPr>
              <w:jc w:val="center"/>
              <w:spacing w:after="0"/>
              <w:rPr>
                <w:sz w:val="20"/>
                <w:szCs w:val="20"/>
                <w:color w:val="auto"/>
              </w:rPr>
            </w:pPr>
            <w:r>
              <w:rPr>
                <w:rFonts w:ascii="Arial" w:cs="Arial" w:eastAsia="Arial" w:hAnsi="Arial"/>
                <w:sz w:val="13"/>
                <w:szCs w:val="13"/>
                <w:color w:val="auto"/>
              </w:rPr>
              <w:t>975,952</w:t>
            </w:r>
          </w:p>
        </w:tc>
      </w:tr>
      <w:tr>
        <w:trPr>
          <w:trHeight w:val="136"/>
        </w:trPr>
        <w:tc>
          <w:tcPr>
            <w:tcW w:w="1100" w:type="dxa"/>
            <w:vAlign w:val="bottom"/>
            <w:tcBorders>
              <w:left w:val="single" w:sz="8" w:color="auto"/>
              <w:right w:val="single" w:sz="8" w:color="auto"/>
            </w:tcBorders>
            <w:gridSpan w:val="2"/>
            <w:shd w:val="clear" w:color="auto" w:fill="E2EBF7"/>
          </w:tcPr>
          <w:p>
            <w:pPr>
              <w:ind w:left="80"/>
              <w:spacing w:after="0" w:line="136" w:lineRule="exact"/>
              <w:rPr>
                <w:sz w:val="20"/>
                <w:szCs w:val="20"/>
                <w:color w:val="auto"/>
              </w:rPr>
            </w:pPr>
            <w:r>
              <w:rPr>
                <w:rFonts w:ascii="Arial" w:cs="Arial" w:eastAsia="Arial" w:hAnsi="Arial"/>
                <w:sz w:val="13"/>
                <w:szCs w:val="13"/>
                <w:color w:val="auto"/>
              </w:rPr>
              <w:t>Chief Financial</w:t>
            </w:r>
          </w:p>
        </w:tc>
        <w:tc>
          <w:tcPr>
            <w:tcW w:w="820" w:type="dxa"/>
            <w:vAlign w:val="bottom"/>
            <w:tcBorders>
              <w:right w:val="single" w:sz="8" w:color="auto"/>
            </w:tcBorders>
            <w:shd w:val="clear" w:color="auto" w:fill="E2EBF7"/>
          </w:tcPr>
          <w:p>
            <w:pPr>
              <w:jc w:val="right"/>
              <w:ind w:right="213"/>
              <w:spacing w:after="0" w:line="136" w:lineRule="exact"/>
              <w:rPr>
                <w:sz w:val="20"/>
                <w:szCs w:val="20"/>
                <w:color w:val="auto"/>
              </w:rPr>
            </w:pPr>
            <w:r>
              <w:rPr>
                <w:rFonts w:ascii="Arial" w:cs="Arial" w:eastAsia="Arial" w:hAnsi="Arial"/>
                <w:sz w:val="13"/>
                <w:szCs w:val="13"/>
                <w:color w:val="auto"/>
              </w:rPr>
              <w:t>2024</w:t>
            </w:r>
          </w:p>
        </w:tc>
        <w:tc>
          <w:tcPr>
            <w:tcW w:w="1520" w:type="dxa"/>
            <w:vAlign w:val="bottom"/>
            <w:tcBorders>
              <w:right w:val="single" w:sz="8" w:color="auto"/>
            </w:tcBorders>
            <w:shd w:val="clear" w:color="auto" w:fill="E2EBF7"/>
          </w:tcPr>
          <w:p>
            <w:pPr>
              <w:jc w:val="center"/>
              <w:spacing w:after="0" w:line="136" w:lineRule="exact"/>
              <w:rPr>
                <w:sz w:val="20"/>
                <w:szCs w:val="20"/>
                <w:color w:val="auto"/>
              </w:rPr>
            </w:pPr>
            <w:r>
              <w:rPr>
                <w:rFonts w:ascii="Arial" w:cs="Arial" w:eastAsia="Arial" w:hAnsi="Arial"/>
                <w:sz w:val="13"/>
                <w:szCs w:val="13"/>
                <w:color w:val="auto"/>
              </w:rPr>
              <w:t>446,154</w:t>
            </w:r>
          </w:p>
        </w:tc>
        <w:tc>
          <w:tcPr>
            <w:tcW w:w="920" w:type="dxa"/>
            <w:vAlign w:val="bottom"/>
            <w:tcBorders>
              <w:right w:val="single" w:sz="8" w:color="auto"/>
            </w:tcBorders>
            <w:shd w:val="clear" w:color="auto" w:fill="E2EBF7"/>
          </w:tcPr>
          <w:p>
            <w:pPr>
              <w:jc w:val="center"/>
              <w:ind w:right="13"/>
              <w:spacing w:after="0" w:line="136" w:lineRule="exact"/>
              <w:rPr>
                <w:sz w:val="20"/>
                <w:szCs w:val="20"/>
                <w:color w:val="auto"/>
              </w:rPr>
            </w:pPr>
            <w:r>
              <w:rPr>
                <w:rFonts w:ascii="Arial" w:cs="Arial" w:eastAsia="Arial" w:hAnsi="Arial"/>
                <w:sz w:val="13"/>
                <w:szCs w:val="13"/>
                <w:color w:val="auto"/>
              </w:rPr>
              <w:t>__</w:t>
            </w:r>
          </w:p>
        </w:tc>
        <w:tc>
          <w:tcPr>
            <w:tcW w:w="1760" w:type="dxa"/>
            <w:vAlign w:val="bottom"/>
            <w:tcBorders>
              <w:right w:val="single" w:sz="8" w:color="auto"/>
            </w:tcBorders>
            <w:shd w:val="clear" w:color="auto" w:fill="E2EBF7"/>
          </w:tcPr>
          <w:p>
            <w:pPr>
              <w:jc w:val="center"/>
              <w:spacing w:after="0" w:line="136" w:lineRule="exact"/>
              <w:rPr>
                <w:sz w:val="20"/>
                <w:szCs w:val="20"/>
                <w:color w:val="auto"/>
              </w:rPr>
            </w:pPr>
            <w:r>
              <w:rPr>
                <w:rFonts w:ascii="Arial" w:cs="Arial" w:eastAsia="Arial" w:hAnsi="Arial"/>
                <w:sz w:val="13"/>
                <w:szCs w:val="13"/>
                <w:color w:val="auto"/>
              </w:rPr>
              <w:t>577,924</w:t>
            </w:r>
          </w:p>
        </w:tc>
        <w:tc>
          <w:tcPr>
            <w:tcW w:w="1860" w:type="dxa"/>
            <w:vAlign w:val="bottom"/>
            <w:tcBorders>
              <w:right w:val="single" w:sz="8" w:color="auto"/>
            </w:tcBorders>
            <w:shd w:val="clear" w:color="auto" w:fill="E2EBF7"/>
          </w:tcPr>
          <w:p>
            <w:pPr>
              <w:jc w:val="center"/>
              <w:spacing w:after="0" w:line="136" w:lineRule="exact"/>
              <w:rPr>
                <w:sz w:val="20"/>
                <w:szCs w:val="20"/>
                <w:color w:val="auto"/>
              </w:rPr>
            </w:pPr>
            <w:r>
              <w:rPr>
                <w:rFonts w:ascii="Arial" w:cs="Arial" w:eastAsia="Arial" w:hAnsi="Arial"/>
                <w:sz w:val="13"/>
                <w:szCs w:val="13"/>
                <w:color w:val="auto"/>
              </w:rPr>
              <w:t>198,400</w:t>
            </w:r>
          </w:p>
        </w:tc>
        <w:tc>
          <w:tcPr>
            <w:tcW w:w="1400" w:type="dxa"/>
            <w:vAlign w:val="bottom"/>
            <w:tcBorders>
              <w:right w:val="single" w:sz="8" w:color="auto"/>
            </w:tcBorders>
            <w:shd w:val="clear" w:color="auto" w:fill="E2EBF7"/>
          </w:tcPr>
          <w:p>
            <w:pPr>
              <w:jc w:val="center"/>
              <w:spacing w:after="0" w:line="136" w:lineRule="exact"/>
              <w:rPr>
                <w:sz w:val="20"/>
                <w:szCs w:val="20"/>
                <w:color w:val="auto"/>
              </w:rPr>
            </w:pPr>
            <w:r>
              <w:rPr>
                <w:rFonts w:ascii="Arial" w:cs="Arial" w:eastAsia="Arial" w:hAnsi="Arial"/>
                <w:sz w:val="13"/>
                <w:szCs w:val="13"/>
                <w:color w:val="auto"/>
              </w:rPr>
              <w:t>34,361</w:t>
            </w:r>
          </w:p>
        </w:tc>
        <w:tc>
          <w:tcPr>
            <w:tcW w:w="1520" w:type="dxa"/>
            <w:vAlign w:val="bottom"/>
            <w:tcBorders>
              <w:right w:val="single" w:sz="8" w:color="auto"/>
            </w:tcBorders>
            <w:shd w:val="clear" w:color="auto" w:fill="E2EBF7"/>
          </w:tcPr>
          <w:p>
            <w:pPr>
              <w:jc w:val="center"/>
              <w:spacing w:after="0" w:line="136" w:lineRule="exact"/>
              <w:rPr>
                <w:sz w:val="20"/>
                <w:szCs w:val="20"/>
                <w:color w:val="auto"/>
              </w:rPr>
            </w:pPr>
            <w:r>
              <w:rPr>
                <w:rFonts w:ascii="Arial" w:cs="Arial" w:eastAsia="Arial" w:hAnsi="Arial"/>
                <w:sz w:val="13"/>
                <w:szCs w:val="13"/>
                <w:color w:val="auto"/>
              </w:rPr>
              <w:t>1,256,839</w:t>
            </w:r>
          </w:p>
        </w:tc>
      </w:tr>
      <w:tr>
        <w:trPr>
          <w:trHeight w:val="182"/>
        </w:trPr>
        <w:tc>
          <w:tcPr>
            <w:tcW w:w="720" w:type="dxa"/>
            <w:vAlign w:val="bottom"/>
            <w:tcBorders>
              <w:left w:val="single" w:sz="8" w:color="auto"/>
              <w:bottom w:val="single" w:sz="8" w:color="auto"/>
            </w:tcBorders>
            <w:shd w:val="clear" w:color="auto" w:fill="E2EBF7"/>
          </w:tcPr>
          <w:p>
            <w:pPr>
              <w:ind w:left="80"/>
              <w:spacing w:after="0"/>
              <w:rPr>
                <w:sz w:val="20"/>
                <w:szCs w:val="20"/>
                <w:color w:val="auto"/>
              </w:rPr>
            </w:pPr>
            <w:r>
              <w:rPr>
                <w:rFonts w:ascii="Arial" w:cs="Arial" w:eastAsia="Arial" w:hAnsi="Arial"/>
                <w:sz w:val="13"/>
                <w:szCs w:val="13"/>
                <w:color w:val="auto"/>
              </w:rPr>
              <w:t>Officer</w:t>
            </w:r>
          </w:p>
        </w:tc>
        <w:tc>
          <w:tcPr>
            <w:tcW w:w="380" w:type="dxa"/>
            <w:vAlign w:val="bottom"/>
            <w:tcBorders>
              <w:bottom w:val="single" w:sz="8" w:color="auto"/>
              <w:right w:val="single" w:sz="8" w:color="auto"/>
            </w:tcBorders>
            <w:shd w:val="clear" w:color="auto" w:fill="E2EBF7"/>
          </w:tcPr>
          <w:p>
            <w:pPr>
              <w:spacing w:after="0"/>
              <w:rPr>
                <w:sz w:val="15"/>
                <w:szCs w:val="15"/>
                <w:color w:val="auto"/>
              </w:rPr>
            </w:pPr>
          </w:p>
        </w:tc>
        <w:tc>
          <w:tcPr>
            <w:tcW w:w="820" w:type="dxa"/>
            <w:vAlign w:val="bottom"/>
            <w:tcBorders>
              <w:bottom w:val="single" w:sz="8" w:color="auto"/>
              <w:right w:val="single" w:sz="8" w:color="auto"/>
            </w:tcBorders>
            <w:shd w:val="clear" w:color="auto" w:fill="E2EBF7"/>
          </w:tcPr>
          <w:p>
            <w:pPr>
              <w:spacing w:after="0"/>
              <w:rPr>
                <w:sz w:val="15"/>
                <w:szCs w:val="15"/>
                <w:color w:val="auto"/>
              </w:rPr>
            </w:pPr>
          </w:p>
        </w:tc>
        <w:tc>
          <w:tcPr>
            <w:tcW w:w="1520" w:type="dxa"/>
            <w:vAlign w:val="bottom"/>
            <w:tcBorders>
              <w:bottom w:val="single" w:sz="8" w:color="auto"/>
              <w:right w:val="single" w:sz="8" w:color="auto"/>
            </w:tcBorders>
            <w:shd w:val="clear" w:color="auto" w:fill="E2EBF7"/>
          </w:tcPr>
          <w:p>
            <w:pPr>
              <w:spacing w:after="0"/>
              <w:rPr>
                <w:sz w:val="15"/>
                <w:szCs w:val="15"/>
                <w:color w:val="auto"/>
              </w:rPr>
            </w:pPr>
          </w:p>
        </w:tc>
        <w:tc>
          <w:tcPr>
            <w:tcW w:w="920" w:type="dxa"/>
            <w:vAlign w:val="bottom"/>
            <w:tcBorders>
              <w:bottom w:val="single" w:sz="8" w:color="auto"/>
              <w:right w:val="single" w:sz="8" w:color="auto"/>
            </w:tcBorders>
            <w:shd w:val="clear" w:color="auto" w:fill="E2EBF7"/>
          </w:tcPr>
          <w:p>
            <w:pPr>
              <w:spacing w:after="0"/>
              <w:rPr>
                <w:sz w:val="15"/>
                <w:szCs w:val="15"/>
                <w:color w:val="auto"/>
              </w:rPr>
            </w:pPr>
          </w:p>
        </w:tc>
        <w:tc>
          <w:tcPr>
            <w:tcW w:w="1760" w:type="dxa"/>
            <w:vAlign w:val="bottom"/>
            <w:tcBorders>
              <w:bottom w:val="single" w:sz="8" w:color="auto"/>
              <w:right w:val="single" w:sz="8" w:color="auto"/>
            </w:tcBorders>
            <w:shd w:val="clear" w:color="auto" w:fill="E2EBF7"/>
          </w:tcPr>
          <w:p>
            <w:pPr>
              <w:spacing w:after="0"/>
              <w:rPr>
                <w:sz w:val="15"/>
                <w:szCs w:val="15"/>
                <w:color w:val="auto"/>
              </w:rPr>
            </w:pPr>
          </w:p>
        </w:tc>
        <w:tc>
          <w:tcPr>
            <w:tcW w:w="1860" w:type="dxa"/>
            <w:vAlign w:val="bottom"/>
            <w:tcBorders>
              <w:bottom w:val="single" w:sz="8" w:color="auto"/>
              <w:right w:val="single" w:sz="8" w:color="auto"/>
            </w:tcBorders>
            <w:shd w:val="clear" w:color="auto" w:fill="E2EBF7"/>
          </w:tcPr>
          <w:p>
            <w:pPr>
              <w:spacing w:after="0"/>
              <w:rPr>
                <w:sz w:val="15"/>
                <w:szCs w:val="15"/>
                <w:color w:val="auto"/>
              </w:rPr>
            </w:pPr>
          </w:p>
        </w:tc>
        <w:tc>
          <w:tcPr>
            <w:tcW w:w="1400" w:type="dxa"/>
            <w:vAlign w:val="bottom"/>
            <w:tcBorders>
              <w:bottom w:val="single" w:sz="8" w:color="auto"/>
              <w:right w:val="single" w:sz="8" w:color="auto"/>
            </w:tcBorders>
            <w:shd w:val="clear" w:color="auto" w:fill="E2EBF7"/>
          </w:tcPr>
          <w:p>
            <w:pPr>
              <w:spacing w:after="0"/>
              <w:rPr>
                <w:sz w:val="15"/>
                <w:szCs w:val="15"/>
                <w:color w:val="auto"/>
              </w:rPr>
            </w:pPr>
          </w:p>
        </w:tc>
        <w:tc>
          <w:tcPr>
            <w:tcW w:w="1520" w:type="dxa"/>
            <w:vAlign w:val="bottom"/>
            <w:tcBorders>
              <w:bottom w:val="single" w:sz="8" w:color="auto"/>
              <w:right w:val="single" w:sz="8" w:color="auto"/>
            </w:tcBorders>
            <w:shd w:val="clear" w:color="auto" w:fill="E2EBF7"/>
          </w:tcPr>
          <w:p>
            <w:pPr>
              <w:spacing w:after="0"/>
              <w:rPr>
                <w:sz w:val="15"/>
                <w:szCs w:val="15"/>
                <w:color w:val="auto"/>
              </w:rPr>
            </w:pPr>
          </w:p>
        </w:tc>
      </w:tr>
    </w:tbl>
    <w:p>
      <w:pPr>
        <w:spacing w:after="0" w:line="257" w:lineRule="exact"/>
        <w:rPr>
          <w:sz w:val="20"/>
          <w:szCs w:val="20"/>
          <w:color w:val="auto"/>
        </w:rPr>
      </w:pPr>
    </w:p>
    <w:p>
      <w:pPr>
        <w:jc w:val="both"/>
        <w:ind w:left="400" w:right="1220"/>
        <w:spacing w:after="0" w:line="270" w:lineRule="auto"/>
        <w:rPr>
          <w:sz w:val="20"/>
          <w:szCs w:val="20"/>
          <w:color w:val="auto"/>
        </w:rPr>
      </w:pPr>
      <w:r>
        <w:rPr>
          <w:rFonts w:ascii="Arial" w:cs="Arial" w:eastAsia="Arial" w:hAnsi="Arial"/>
          <w:sz w:val="6"/>
          <w:szCs w:val="6"/>
          <w:color w:val="auto"/>
        </w:rPr>
        <w:t>1</w:t>
      </w:r>
      <w:r>
        <w:rPr>
          <w:rFonts w:ascii="Arial" w:cs="Arial" w:eastAsia="Arial" w:hAnsi="Arial"/>
          <w:sz w:val="13"/>
          <w:szCs w:val="13"/>
          <w:color w:val="auto"/>
        </w:rPr>
        <w:t>Reflects grant date fair value of restricted stock unit awards granted during the year ended December 31, 2025 computed in accordance with FASB ASC Topic</w:t>
      </w:r>
      <w:r>
        <w:rPr>
          <w:rFonts w:ascii="Arial" w:cs="Arial" w:eastAsia="Arial" w:hAnsi="Arial"/>
          <w:sz w:val="6"/>
          <w:szCs w:val="6"/>
          <w:color w:val="auto"/>
        </w:rPr>
        <w:t xml:space="preserve"> </w:t>
      </w:r>
      <w:r>
        <w:rPr>
          <w:rFonts w:ascii="Arial" w:cs="Arial" w:eastAsia="Arial" w:hAnsi="Arial"/>
          <w:sz w:val="13"/>
          <w:szCs w:val="13"/>
          <w:color w:val="auto"/>
        </w:rPr>
        <w:t xml:space="preserve">718, Compensation—Stock Compensation. See </w:t>
      </w:r>
      <w:r>
        <w:rPr>
          <w:rFonts w:ascii="Arial" w:cs="Arial" w:eastAsia="Arial" w:hAnsi="Arial"/>
          <w:sz w:val="13"/>
          <w:szCs w:val="13"/>
          <w:i w:val="1"/>
          <w:iCs w:val="1"/>
          <w:color w:val="auto"/>
        </w:rPr>
        <w:t>Note 10, Equity-Based Compensation</w:t>
      </w:r>
      <w:r>
        <w:rPr>
          <w:rFonts w:ascii="Arial" w:cs="Arial" w:eastAsia="Arial" w:hAnsi="Arial"/>
          <w:sz w:val="13"/>
          <w:szCs w:val="13"/>
          <w:color w:val="auto"/>
        </w:rPr>
        <w:t>, to the financial statements included our audited consolidated financial statements for the fiscal year ended December 31,2025 included in our Annual Report on Form 10-K filed with the SEC on March 17, 2026. The amount reported in this column reflects the aggregate grant date fair value for the restricted stock unit awards as determined for financial accounting purposes and does not correspond to the actual economic value that may be received by Mr. Kuo from this award.</w:t>
      </w:r>
    </w:p>
    <w:p>
      <w:pPr>
        <w:spacing w:after="0" w:line="253" w:lineRule="exact"/>
        <w:rPr>
          <w:sz w:val="20"/>
          <w:szCs w:val="20"/>
          <w:color w:val="auto"/>
        </w:rPr>
      </w:pPr>
    </w:p>
    <w:p>
      <w:pPr>
        <w:jc w:val="both"/>
        <w:ind w:left="400" w:right="1240"/>
        <w:spacing w:after="0" w:line="281" w:lineRule="auto"/>
        <w:rPr>
          <w:sz w:val="20"/>
          <w:szCs w:val="20"/>
          <w:color w:val="auto"/>
        </w:rPr>
      </w:pPr>
      <w:r>
        <w:rPr>
          <w:rFonts w:ascii="Arial" w:cs="Arial" w:eastAsia="Arial" w:hAnsi="Arial"/>
          <w:sz w:val="6"/>
          <w:szCs w:val="6"/>
          <w:color w:val="auto"/>
        </w:rPr>
        <w:t>2</w:t>
      </w:r>
      <w:r>
        <w:rPr>
          <w:rFonts w:ascii="Arial" w:cs="Arial" w:eastAsia="Arial" w:hAnsi="Arial"/>
          <w:sz w:val="13"/>
          <w:szCs w:val="13"/>
          <w:color w:val="auto"/>
        </w:rPr>
        <w:t>$14,000 of the amount reported for each of the named executive officers constitutes matching contributions made by us under our 401(k) plan, and $22,564 of</w:t>
      </w:r>
      <w:r>
        <w:rPr>
          <w:rFonts w:ascii="Arial" w:cs="Arial" w:eastAsia="Arial" w:hAnsi="Arial"/>
          <w:sz w:val="6"/>
          <w:szCs w:val="6"/>
          <w:color w:val="auto"/>
        </w:rPr>
        <w:t xml:space="preserve"> </w:t>
      </w:r>
      <w:r>
        <w:rPr>
          <w:rFonts w:ascii="Arial" w:cs="Arial" w:eastAsia="Arial" w:hAnsi="Arial"/>
          <w:sz w:val="13"/>
          <w:szCs w:val="13"/>
          <w:color w:val="auto"/>
        </w:rPr>
        <w:t>the amount reported for Mr. Kuo constitutes a gross-up payment that is intended to make him whole for the increased tax burden associated with his status as a non-employee member of Brilliant Earth,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NARRATIVE TO SUMMARY COMPENSATION TABLE</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Base Salaries</w:t>
      </w:r>
    </w:p>
    <w:p>
      <w:pPr>
        <w:spacing w:after="0" w:line="1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named executive officers receive an annual base salary to compensate them for services rendered to our company. The base salary payable to each named executive officer is intended to provide a fixed component of compensation reflecting the executive’s skill set, experience, role and responsibilities. Each of Ms. Gerstein’s, Mr. Grossberg’s and Mr. Kuo’s annual base salary was set in connection with the commencement of her or his service to us and is adjusted periodically.</w:t>
      </w:r>
    </w:p>
    <w:p>
      <w:pPr>
        <w:spacing w:after="0" w:line="214" w:lineRule="exact"/>
        <w:rPr>
          <w:sz w:val="20"/>
          <w:szCs w:val="20"/>
          <w:color w:val="auto"/>
        </w:rPr>
      </w:pPr>
    </w:p>
    <w:p>
      <w:pPr>
        <w:jc w:val="both"/>
        <w:ind w:right="20"/>
        <w:spacing w:after="0" w:line="282" w:lineRule="auto"/>
        <w:rPr>
          <w:sz w:val="20"/>
          <w:szCs w:val="20"/>
          <w:color w:val="auto"/>
        </w:rPr>
      </w:pPr>
      <w:r>
        <w:rPr>
          <w:rFonts w:ascii="Arial" w:cs="Arial" w:eastAsia="Arial" w:hAnsi="Arial"/>
          <w:sz w:val="19"/>
          <w:szCs w:val="19"/>
          <w:color w:val="auto"/>
        </w:rPr>
        <w:t>For fiscal year 2025, Ms. Gerstein and Mr. Grossberg each had an annual base salary of $600,000, which remained unchanged since fiscal year 2022. In early fiscal year 2025, Mr. Kuo’s annual base salary was adjusted from $450,000 to $490,000. The Summary Compensation Table above shows the actual base salaries paid to each named executive officer in 2025.</w:t>
      </w:r>
    </w:p>
    <w:p>
      <w:pPr>
        <w:spacing w:after="0" w:line="188" w:lineRule="exact"/>
        <w:rPr>
          <w:sz w:val="20"/>
          <w:szCs w:val="20"/>
          <w:color w:val="auto"/>
        </w:rPr>
      </w:pPr>
    </w:p>
    <w:p>
      <w:pPr>
        <w:spacing w:after="0"/>
        <w:rPr>
          <w:sz w:val="20"/>
          <w:szCs w:val="20"/>
          <w:color w:val="auto"/>
        </w:rPr>
      </w:pPr>
      <w:r>
        <w:rPr>
          <w:rFonts w:ascii="Arial" w:cs="Arial" w:eastAsia="Arial" w:hAnsi="Arial"/>
          <w:sz w:val="20"/>
          <w:szCs w:val="20"/>
          <w:color w:val="auto"/>
        </w:rPr>
        <w:t>The Compensation Committee retains the discretion to adjust each named executive officer’s base salary from time to time.</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Annual Bonuses</w:t>
      </w:r>
    </w:p>
    <w:p>
      <w:pPr>
        <w:spacing w:after="0" w:line="18"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auto"/>
        </w:rPr>
        <w:t>In early 2025, the Compensation Committee adopted a bonus plan for the year ended December 31, 2025 (the “2025 Bonus Plan”). The Compensation Committee established financial metrics to measure Company performance in connection with awards under the 2025 Bonus Plan. The Compensation Committee determined that payouts of bonuses under the 2025 Bonus Plan would also be subject to individual performance goals and the Company meeting certain corporate mission goals for 2025.</w:t>
      </w:r>
    </w:p>
    <w:p>
      <w:pPr>
        <w:spacing w:after="0" w:line="200" w:lineRule="exact"/>
        <w:rPr>
          <w:sz w:val="20"/>
          <w:szCs w:val="20"/>
          <w:color w:val="auto"/>
        </w:rPr>
      </w:pPr>
    </w:p>
    <w:p>
      <w:pPr>
        <w:jc w:val="both"/>
        <w:ind w:right="20"/>
        <w:spacing w:after="0" w:line="271" w:lineRule="auto"/>
        <w:rPr>
          <w:sz w:val="20"/>
          <w:szCs w:val="20"/>
          <w:color w:val="auto"/>
        </w:rPr>
      </w:pPr>
      <w:r>
        <w:rPr>
          <w:rFonts w:ascii="Arial" w:cs="Arial" w:eastAsia="Arial" w:hAnsi="Arial"/>
          <w:sz w:val="20"/>
          <w:szCs w:val="20"/>
          <w:color w:val="auto"/>
        </w:rPr>
        <w:t>The target bonus amount and the payout approved by the Compensation Committee in March 2026 under the 2025 Bonus Plan are set forth below:</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8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b w:val="1"/>
                <w:bCs w:val="1"/>
                <w:color w:val="auto"/>
              </w:rPr>
              <w:t>Executive</w:t>
            </w:r>
          </w:p>
        </w:tc>
        <w:tc>
          <w:tcPr>
            <w:tcW w:w="3360" w:type="dxa"/>
            <w:vAlign w:val="bottom"/>
            <w:tcBorders>
              <w:top w:val="single" w:sz="8" w:color="auto"/>
              <w:bottom w:val="single" w:sz="8" w:color="auto"/>
              <w:right w:val="single" w:sz="8" w:color="auto"/>
            </w:tcBorders>
          </w:tcPr>
          <w:p>
            <w:pPr>
              <w:jc w:val="right"/>
              <w:ind w:right="961"/>
              <w:spacing w:after="0"/>
              <w:rPr>
                <w:sz w:val="20"/>
                <w:szCs w:val="20"/>
                <w:color w:val="auto"/>
              </w:rPr>
            </w:pPr>
            <w:r>
              <w:rPr>
                <w:rFonts w:ascii="Arial" w:cs="Arial" w:eastAsia="Arial" w:hAnsi="Arial"/>
                <w:sz w:val="20"/>
                <w:szCs w:val="20"/>
                <w:b w:val="1"/>
                <w:bCs w:val="1"/>
                <w:color w:val="auto"/>
              </w:rPr>
              <w:t>2025 Bonus Plan Target</w:t>
            </w:r>
          </w:p>
        </w:tc>
        <w:tc>
          <w:tcPr>
            <w:tcW w:w="3460" w:type="dxa"/>
            <w:vAlign w:val="bottom"/>
            <w:tcBorders>
              <w:top w:val="single" w:sz="8" w:color="auto"/>
              <w:bottom w:val="single" w:sz="8" w:color="auto"/>
              <w:right w:val="single" w:sz="8" w:color="auto"/>
            </w:tcBorders>
          </w:tcPr>
          <w:p>
            <w:pPr>
              <w:jc w:val="right"/>
              <w:ind w:right="1001"/>
              <w:spacing w:after="0"/>
              <w:rPr>
                <w:sz w:val="20"/>
                <w:szCs w:val="20"/>
                <w:color w:val="auto"/>
              </w:rPr>
            </w:pPr>
            <w:r>
              <w:rPr>
                <w:rFonts w:ascii="Arial" w:cs="Arial" w:eastAsia="Arial" w:hAnsi="Arial"/>
                <w:sz w:val="20"/>
                <w:szCs w:val="20"/>
                <w:b w:val="1"/>
                <w:bCs w:val="1"/>
                <w:color w:val="auto"/>
              </w:rPr>
              <w:t>2025 Bonus Plan Payout</w:t>
            </w:r>
          </w:p>
        </w:tc>
      </w:tr>
      <w:tr>
        <w:trPr>
          <w:trHeight w:val="250"/>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Beth Gerstein</w:t>
            </w:r>
          </w:p>
        </w:tc>
        <w:tc>
          <w:tcPr>
            <w:tcW w:w="3360" w:type="dxa"/>
            <w:vAlign w:val="bottom"/>
            <w:tcBorders>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$350,000</w:t>
            </w:r>
          </w:p>
        </w:tc>
        <w:tc>
          <w:tcPr>
            <w:tcW w:w="3460" w:type="dxa"/>
            <w:vAlign w:val="bottom"/>
            <w:tcBorders>
              <w:bottom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$386,600</w:t>
            </w:r>
          </w:p>
        </w:tc>
      </w:tr>
      <w:tr>
        <w:trPr>
          <w:trHeight w:val="250"/>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Eric Grossberg</w:t>
            </w:r>
          </w:p>
        </w:tc>
        <w:tc>
          <w:tcPr>
            <w:tcW w:w="3360" w:type="dxa"/>
            <w:vAlign w:val="bottom"/>
            <w:tcBorders>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$275,000</w:t>
            </w:r>
          </w:p>
        </w:tc>
        <w:tc>
          <w:tcPr>
            <w:tcW w:w="3460" w:type="dxa"/>
            <w:vAlign w:val="bottom"/>
            <w:tcBorders>
              <w:bottom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$303,800</w:t>
            </w:r>
          </w:p>
        </w:tc>
      </w:tr>
      <w:tr>
        <w:trPr>
          <w:trHeight w:val="250"/>
        </w:trPr>
        <w:tc>
          <w:tcPr>
            <w:tcW w:w="28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0"/>
                <w:szCs w:val="20"/>
                <w:color w:val="auto"/>
              </w:rPr>
              <w:t>Jeff Kuo</w:t>
            </w:r>
          </w:p>
        </w:tc>
        <w:tc>
          <w:tcPr>
            <w:tcW w:w="3360" w:type="dxa"/>
            <w:vAlign w:val="bottom"/>
            <w:tcBorders>
              <w:bottom w:val="single" w:sz="8" w:color="auto"/>
              <w:right w:val="single" w:sz="8" w:color="auto"/>
            </w:tcBorders>
          </w:tcPr>
          <w:p>
            <w:pPr>
              <w:jc w:val="right"/>
              <w:ind w:right="1181"/>
              <w:spacing w:after="0"/>
              <w:rPr>
                <w:sz w:val="20"/>
                <w:szCs w:val="20"/>
                <w:color w:val="auto"/>
              </w:rPr>
            </w:pPr>
            <w:r>
              <w:rPr>
                <w:rFonts w:ascii="Arial" w:cs="Arial" w:eastAsia="Arial" w:hAnsi="Arial"/>
                <w:sz w:val="20"/>
                <w:szCs w:val="20"/>
                <w:color w:val="auto"/>
              </w:rPr>
              <w:t>$245,000</w:t>
            </w:r>
          </w:p>
        </w:tc>
        <w:tc>
          <w:tcPr>
            <w:tcW w:w="3460" w:type="dxa"/>
            <w:vAlign w:val="bottom"/>
            <w:tcBorders>
              <w:bottom w:val="single" w:sz="8" w:color="auto"/>
              <w:right w:val="single" w:sz="8" w:color="auto"/>
            </w:tcBorders>
          </w:tcPr>
          <w:p>
            <w:pPr>
              <w:jc w:val="right"/>
              <w:ind w:right="1241"/>
              <w:spacing w:after="0"/>
              <w:rPr>
                <w:sz w:val="20"/>
                <w:szCs w:val="20"/>
                <w:color w:val="auto"/>
              </w:rPr>
            </w:pPr>
            <w:r>
              <w:rPr>
                <w:rFonts w:ascii="Arial" w:cs="Arial" w:eastAsia="Arial" w:hAnsi="Arial"/>
                <w:sz w:val="20"/>
                <w:szCs w:val="20"/>
                <w:color w:val="auto"/>
              </w:rPr>
              <w:t>$263,300</w:t>
            </w:r>
          </w:p>
        </w:tc>
      </w:tr>
    </w:tbl>
    <w:p>
      <w:pPr>
        <w:spacing w:after="0" w:line="316" w:lineRule="exact"/>
        <w:rPr>
          <w:sz w:val="20"/>
          <w:szCs w:val="20"/>
          <w:color w:val="auto"/>
        </w:rPr>
      </w:pPr>
    </w:p>
    <w:p>
      <w:pPr>
        <w:ind w:right="100"/>
        <w:spacing w:after="0" w:line="271" w:lineRule="auto"/>
        <w:rPr>
          <w:sz w:val="20"/>
          <w:szCs w:val="20"/>
          <w:color w:val="auto"/>
        </w:rPr>
      </w:pPr>
      <w:r>
        <w:rPr>
          <w:rFonts w:ascii="Arial" w:cs="Arial" w:eastAsia="Arial" w:hAnsi="Arial"/>
          <w:sz w:val="20"/>
          <w:szCs w:val="20"/>
          <w:color w:val="auto"/>
        </w:rPr>
        <w:t>The Compensation Committee adopted a similar bonus plan for 2026. The Compensation Committee also retains the discretion to award discretionary bonuses from time to time.</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Equity Compensation</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In March 2025, our Compensation Committee approved a grant of 120,567 restricted stock units relating to our Class A common stock to Mr. Kuo under the 2021 Plan. The restricted stock units vest as follows, subject to Mr. Kuo’s continued service with us through the applicable vesting date, as to 25% of the restricted stock units initially subject to the award on February 15, 2026, and as to 1/16th of the restricted stock units initially subject to the award on each quarterly anniversary thereafter until the award is fully vested.</w:t>
      </w:r>
    </w:p>
    <w:p>
      <w:pPr>
        <w:spacing w:after="0" w:line="28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Other Elements of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Retirement Plans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We currently maintain a 401(k) retirement savings plan for our employees, including our named executive officers, who satisfy certain eligibility requirements. Our named executive officers are eligible to participate in the 401(k) plan on the same terms as other full-time employees. The Internal</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31" w:name="page32"/>
    <w:bookmarkEnd w:id="31"/>
    <w:p>
      <w:pPr>
        <w:jc w:val="both"/>
        <w:spacing w:after="0" w:line="254" w:lineRule="auto"/>
        <w:rPr>
          <w:sz w:val="20"/>
          <w:szCs w:val="20"/>
          <w:color w:val="auto"/>
        </w:rPr>
      </w:pPr>
      <w:r>
        <w:rPr>
          <w:rFonts w:ascii="Arial" w:cs="Arial" w:eastAsia="Arial" w:hAnsi="Arial"/>
          <w:sz w:val="20"/>
          <w:szCs w:val="20"/>
          <w:color w:val="auto"/>
        </w:rPr>
        <w:t>Revenue Code allows eligible employees to defer a portion of their compensation, within prescribed limits, on a pre-tax basis through contributions to the 401(k) plan. Currently, we make safe harbor matching contributions in the 401(k) plan up to a specified percentage of each NEO’s contributions, and these matching contributions are fully vested as of the date on which the contribution is made. We believe that providing a vehicle for tax-deferred retirement savings though our 401(k) plan, and making fully vested matching contributions, adds to the overall desirability of our executive compensation package and further incentivizes our employees, including our NEOs, in accordance with our compensation policies. Each NEO received Company-paid matching contributions under the 401(k) plan in 2025.</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Health/Welfare Plans</w:t>
      </w:r>
    </w:p>
    <w:p>
      <w:pPr>
        <w:spacing w:after="0" w:line="18" w:lineRule="exact"/>
        <w:rPr>
          <w:sz w:val="20"/>
          <w:szCs w:val="20"/>
          <w:color w:val="auto"/>
        </w:rPr>
      </w:pPr>
    </w:p>
    <w:p>
      <w:pPr>
        <w:jc w:val="both"/>
        <w:ind w:right="20"/>
        <w:spacing w:after="0" w:line="253" w:lineRule="auto"/>
        <w:rPr>
          <w:sz w:val="20"/>
          <w:szCs w:val="20"/>
          <w:color w:val="auto"/>
        </w:rPr>
      </w:pPr>
      <w:r>
        <w:rPr>
          <w:rFonts w:ascii="Arial" w:cs="Arial" w:eastAsia="Arial" w:hAnsi="Arial"/>
          <w:sz w:val="20"/>
          <w:szCs w:val="20"/>
          <w:color w:val="auto"/>
        </w:rPr>
        <w:t>All of our full-time employees, including our named executive officers, are eligible to participate in our health and welfare plans, including medical, dental and vision benefits; short-term and long- term disability insurance; and life insurance.</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No Tax Gross-Ups</w:t>
      </w:r>
    </w:p>
    <w:p>
      <w:pPr>
        <w:spacing w:after="0" w:line="18"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Other than as described below for Mr. Kuo, we have not made gross-up payments to cover our named executive officers’ personal income taxes that may pertain to any of the compensation paid or provided by our company.</w:t>
      </w:r>
    </w:p>
    <w:p>
      <w:pPr>
        <w:spacing w:after="0" w:line="19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During fiscal year 2025, Mr. Kuo’s compensation and benefits were administered differently from employees of the Company because of his status as a member of Brilliant Earth, LLC. Specifically, as a result of being a member of Brilliant Earth, LLC, Mr. Kuo was required to pay self-employment taxes and we were not required to pay employer-funded employment taxes. As a result, we grossed Mr. Kuo</w:t>
      </w:r>
      <w:r>
        <w:rPr>
          <w:sz w:val="1"/>
          <w:szCs w:val="1"/>
          <w:color w:val="auto"/>
        </w:rPr>
        <w:drawing>
          <wp:inline distT="0" distB="0" distL="0" distR="0">
            <wp:extent cx="34290" cy="13716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137160"/>
                    </a:xfrm>
                    <a:prstGeom prst="rect">
                      <a:avLst/>
                    </a:prstGeom>
                    <a:noFill/>
                    <a:ln>
                      <a:noFill/>
                    </a:ln>
                  </pic:spPr>
                </pic:pic>
              </a:graphicData>
            </a:graphic>
          </wp:inline>
        </w:drawing>
      </w:r>
      <w:r>
        <w:rPr>
          <w:rFonts w:ascii="Arial" w:cs="Arial" w:eastAsia="Arial" w:hAnsi="Arial"/>
          <w:sz w:val="20"/>
          <w:szCs w:val="20"/>
          <w:color w:val="auto"/>
        </w:rPr>
        <w:t>up for the self-employment taxes he was required to pay as a result of being classified as a member. The intent of this payment was to return Mr. Kuo to the position he would have been in had he been classified as an employee of the Company.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COMPENSATION ARRANGEMENTS</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On May 10, 2023, the Company entered into an employment agreement which superseded any prior employment arrangement with each of Ms. Gerstein, Mr. Grossberg and Mr. Kuo, to continue to serve as our Chief Executive Officer, Executive Chairman and Chief Financial Officer, respectively. These employment agreements provide for at-will employment, an annual base salary, eligibility to earn an annual cash performance bonus targeted at a percentage of base salary based on the attainment of Company financial performance metrics established and evaluated by the Board or the Compensation Committee, and eligibility to participate in the health and welfare benefit plans and programs maintained by the Company. Each employment agreement provides that each named executive officer remains a party to a previously executed proprietary information and inventions agreement with the Company (or its predecessor in interest, as applicable).</w:t>
      </w:r>
    </w:p>
    <w:p>
      <w:pPr>
        <w:spacing w:after="0" w:line="220" w:lineRule="exact"/>
        <w:rPr>
          <w:sz w:val="20"/>
          <w:szCs w:val="20"/>
          <w:color w:val="auto"/>
        </w:rPr>
      </w:pPr>
    </w:p>
    <w:p>
      <w:pPr>
        <w:jc w:val="both"/>
        <w:spacing w:after="0" w:line="252" w:lineRule="auto"/>
        <w:rPr>
          <w:sz w:val="20"/>
          <w:szCs w:val="20"/>
          <w:color w:val="auto"/>
        </w:rPr>
      </w:pPr>
      <w:r>
        <w:rPr>
          <w:rFonts w:ascii="Arial" w:cs="Arial" w:eastAsia="Arial" w:hAnsi="Arial"/>
          <w:sz w:val="20"/>
          <w:szCs w:val="20"/>
          <w:color w:val="auto"/>
        </w:rPr>
        <w:t>Under each NEO’s employment agreement, in the event the NEO’s employment is terminated by us without cause or by the NEO for good reason, then the NEO is entitled to receive 12 months’ base salary (or 6 months’ in the case of Mr. Kuo) and 12 months’ continued healthcare coverage (or 6 months’ in the case of Mr. Kuo) at our expense. If such termination occurs within the period commencing 3 months prior to a change in control and ending 12 months after the change in control, then, in lieu of the preceding benefits, the NEO is entitled to receive the sum of the NEO’s base salary and target bonus opportunity (or 1.5x such sum in the case of Ms. Gerstein and Mr. Grossberg), 12 months’ continued healthcare coverage (or 18 months’ in the case of Ms. Gerstein and Mr. Grossberg) at our expense, and full vesting acceleration of all outstanding equity awards held by the NEO. In order to receive the foregoing severance benefits, the NEO must timely deliver a release of all claims against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OUTSTANDING EQUITY AWARDS AT 2025 FISCAL YEAR END</w:t>
      </w:r>
    </w:p>
    <w:p>
      <w:pPr>
        <w:spacing w:after="0" w:line="33" w:lineRule="exact"/>
        <w:rPr>
          <w:sz w:val="20"/>
          <w:szCs w:val="20"/>
          <w:color w:val="auto"/>
        </w:rPr>
      </w:pPr>
    </w:p>
    <w:p>
      <w:pPr>
        <w:spacing w:after="0"/>
        <w:rPr>
          <w:sz w:val="20"/>
          <w:szCs w:val="20"/>
          <w:color w:val="auto"/>
        </w:rPr>
      </w:pPr>
      <w:r>
        <w:rPr>
          <w:rFonts w:ascii="Arial" w:cs="Arial" w:eastAsia="Arial" w:hAnsi="Arial"/>
          <w:sz w:val="20"/>
          <w:szCs w:val="20"/>
          <w:color w:val="auto"/>
        </w:rPr>
        <w:t>The following table lists all outstanding equity awards held by our named executive officers as of December 31, 2025.</w:t>
      </w:r>
    </w:p>
    <w:p>
      <w:pPr>
        <w:spacing w:after="0" w:line="26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00" w:type="dxa"/>
            <w:vAlign w:val="bottom"/>
          </w:tcPr>
          <w:p>
            <w:pPr>
              <w:spacing w:after="0"/>
              <w:rPr>
                <w:sz w:val="14"/>
                <w:szCs w:val="14"/>
                <w:color w:val="auto"/>
              </w:rPr>
            </w:pPr>
          </w:p>
        </w:tc>
        <w:tc>
          <w:tcPr>
            <w:tcW w:w="3160" w:type="dxa"/>
            <w:vAlign w:val="bottom"/>
          </w:tcPr>
          <w:p>
            <w:pPr>
              <w:jc w:val="center"/>
              <w:ind w:left="1788"/>
              <w:spacing w:after="0"/>
              <w:rPr>
                <w:sz w:val="20"/>
                <w:szCs w:val="20"/>
                <w:color w:val="auto"/>
              </w:rPr>
            </w:pPr>
            <w:r>
              <w:rPr>
                <w:rFonts w:ascii="Arial" w:cs="Arial" w:eastAsia="Arial" w:hAnsi="Arial"/>
                <w:sz w:val="14"/>
                <w:szCs w:val="14"/>
                <w:b w:val="1"/>
                <w:bCs w:val="1"/>
                <w:color w:val="auto"/>
              </w:rPr>
              <w:t>Number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Number of</w:t>
            </w: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7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Number of</w:t>
            </w:r>
          </w:p>
        </w:tc>
        <w:tc>
          <w:tcPr>
            <w:tcW w:w="1020" w:type="dxa"/>
            <w:vAlign w:val="bottom"/>
          </w:tcPr>
          <w:p>
            <w:pPr>
              <w:jc w:val="center"/>
              <w:ind w:left="148"/>
              <w:spacing w:after="0"/>
              <w:rPr>
                <w:sz w:val="20"/>
                <w:szCs w:val="20"/>
                <w:color w:val="auto"/>
              </w:rPr>
            </w:pPr>
            <w:r>
              <w:rPr>
                <w:rFonts w:ascii="Arial" w:cs="Arial" w:eastAsia="Arial" w:hAnsi="Arial"/>
                <w:sz w:val="14"/>
                <w:szCs w:val="14"/>
                <w:b w:val="1"/>
                <w:bCs w:val="1"/>
                <w:color w:val="auto"/>
              </w:rPr>
              <w:t>Value of</w:t>
            </w:r>
          </w:p>
        </w:tc>
        <w:tc>
          <w:tcPr>
            <w:tcW w:w="0" w:type="dxa"/>
            <w:vAlign w:val="bottom"/>
          </w:tcPr>
          <w:p>
            <w:pPr>
              <w:spacing w:after="0"/>
              <w:rPr>
                <w:sz w:val="1"/>
                <w:szCs w:val="1"/>
                <w:color w:val="auto"/>
              </w:rPr>
            </w:pPr>
          </w:p>
        </w:tc>
      </w:tr>
      <w:tr>
        <w:trPr>
          <w:trHeight w:val="144"/>
        </w:trPr>
        <w:tc>
          <w:tcPr>
            <w:tcW w:w="700" w:type="dxa"/>
            <w:vAlign w:val="bottom"/>
          </w:tcPr>
          <w:p>
            <w:pPr>
              <w:spacing w:after="0"/>
              <w:rPr>
                <w:sz w:val="12"/>
                <w:szCs w:val="12"/>
                <w:color w:val="auto"/>
              </w:rPr>
            </w:pPr>
          </w:p>
        </w:tc>
        <w:tc>
          <w:tcPr>
            <w:tcW w:w="3160" w:type="dxa"/>
            <w:vAlign w:val="bottom"/>
          </w:tcPr>
          <w:p>
            <w:pPr>
              <w:jc w:val="center"/>
              <w:ind w:left="1828"/>
              <w:spacing w:after="0" w:line="145" w:lineRule="exact"/>
              <w:rPr>
                <w:sz w:val="20"/>
                <w:szCs w:val="20"/>
                <w:color w:val="auto"/>
              </w:rPr>
            </w:pPr>
            <w:r>
              <w:rPr>
                <w:rFonts w:ascii="Arial" w:cs="Arial" w:eastAsia="Arial" w:hAnsi="Arial"/>
                <w:sz w:val="14"/>
                <w:szCs w:val="14"/>
                <w:b w:val="1"/>
                <w:bCs w:val="1"/>
                <w:color w:val="auto"/>
              </w:rPr>
              <w:t>of Securities</w:t>
            </w:r>
          </w:p>
        </w:tc>
        <w:tc>
          <w:tcPr>
            <w:tcW w:w="132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rPr>
              <w:t>Securities</w:t>
            </w:r>
          </w:p>
        </w:tc>
        <w:tc>
          <w:tcPr>
            <w:tcW w:w="92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Option</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Option</w:t>
            </w:r>
          </w:p>
        </w:tc>
        <w:tc>
          <w:tcPr>
            <w:tcW w:w="1760" w:type="dxa"/>
            <w:vAlign w:val="bottom"/>
            <w:vMerge w:val="continue"/>
          </w:tcPr>
          <w:p>
            <w:pPr>
              <w:spacing w:after="0"/>
              <w:rPr>
                <w:sz w:val="12"/>
                <w:szCs w:val="12"/>
                <w:color w:val="auto"/>
              </w:rPr>
            </w:pPr>
          </w:p>
        </w:tc>
        <w:tc>
          <w:tcPr>
            <w:tcW w:w="1020" w:type="dxa"/>
            <w:vAlign w:val="bottom"/>
          </w:tcPr>
          <w:p>
            <w:pPr>
              <w:jc w:val="center"/>
              <w:ind w:left="148"/>
              <w:spacing w:after="0" w:line="145" w:lineRule="exact"/>
              <w:rPr>
                <w:sz w:val="20"/>
                <w:szCs w:val="20"/>
                <w:color w:val="auto"/>
              </w:rPr>
            </w:pPr>
            <w:r>
              <w:rPr>
                <w:rFonts w:ascii="Arial" w:cs="Arial" w:eastAsia="Arial" w:hAnsi="Arial"/>
                <w:sz w:val="14"/>
                <w:szCs w:val="14"/>
                <w:b w:val="1"/>
                <w:bCs w:val="1"/>
                <w:color w:val="auto"/>
              </w:rPr>
              <w:t>Shares or</w:t>
            </w:r>
          </w:p>
        </w:tc>
        <w:tc>
          <w:tcPr>
            <w:tcW w:w="0" w:type="dxa"/>
            <w:vAlign w:val="bottom"/>
          </w:tcPr>
          <w:p>
            <w:pPr>
              <w:spacing w:after="0"/>
              <w:rPr>
                <w:sz w:val="1"/>
                <w:szCs w:val="1"/>
                <w:color w:val="auto"/>
              </w:rPr>
            </w:pPr>
          </w:p>
        </w:tc>
      </w:tr>
      <w:tr>
        <w:trPr>
          <w:trHeight w:val="72"/>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160" w:type="dxa"/>
            <w:vAlign w:val="bottom"/>
            <w:vMerge w:val="restart"/>
          </w:tcPr>
          <w:p>
            <w:pPr>
              <w:jc w:val="center"/>
              <w:ind w:left="1828"/>
              <w:spacing w:after="0" w:line="149" w:lineRule="exact"/>
              <w:rPr>
                <w:sz w:val="20"/>
                <w:szCs w:val="20"/>
                <w:color w:val="auto"/>
              </w:rPr>
            </w:pPr>
            <w:r>
              <w:rPr>
                <w:rFonts w:ascii="Arial" w:cs="Arial" w:eastAsia="Arial" w:hAnsi="Arial"/>
                <w:sz w:val="14"/>
                <w:szCs w:val="14"/>
                <w:b w:val="1"/>
                <w:bCs w:val="1"/>
                <w:color w:val="auto"/>
              </w:rPr>
              <w:t>Underlying</w:t>
            </w:r>
          </w:p>
        </w:tc>
        <w:tc>
          <w:tcPr>
            <w:tcW w:w="132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Underlying</w:t>
            </w:r>
          </w:p>
        </w:tc>
        <w:tc>
          <w:tcPr>
            <w:tcW w:w="9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7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Shares or</w:t>
            </w:r>
          </w:p>
        </w:tc>
        <w:tc>
          <w:tcPr>
            <w:tcW w:w="1020" w:type="dxa"/>
            <w:vAlign w:val="bottom"/>
            <w:vMerge w:val="restart"/>
          </w:tcPr>
          <w:p>
            <w:pPr>
              <w:jc w:val="center"/>
              <w:ind w:left="148"/>
              <w:spacing w:after="0" w:line="149" w:lineRule="exact"/>
              <w:rPr>
                <w:sz w:val="20"/>
                <w:szCs w:val="20"/>
                <w:color w:val="auto"/>
              </w:rPr>
            </w:pPr>
            <w:r>
              <w:rPr>
                <w:rFonts w:ascii="Arial" w:cs="Arial" w:eastAsia="Arial" w:hAnsi="Arial"/>
                <w:sz w:val="14"/>
                <w:szCs w:val="14"/>
                <w:b w:val="1"/>
                <w:bCs w:val="1"/>
                <w:color w:val="auto"/>
                <w:w w:val="99"/>
              </w:rPr>
              <w:t>Units of</w:t>
            </w:r>
          </w:p>
        </w:tc>
        <w:tc>
          <w:tcPr>
            <w:tcW w:w="0" w:type="dxa"/>
            <w:vAlign w:val="bottom"/>
          </w:tcPr>
          <w:p>
            <w:pPr>
              <w:spacing w:after="0"/>
              <w:rPr>
                <w:sz w:val="1"/>
                <w:szCs w:val="1"/>
                <w:color w:val="auto"/>
              </w:rPr>
            </w:pPr>
          </w:p>
        </w:tc>
      </w:tr>
      <w:tr>
        <w:trPr>
          <w:trHeight w:val="77"/>
        </w:trPr>
        <w:tc>
          <w:tcPr>
            <w:tcW w:w="700" w:type="dxa"/>
            <w:vAlign w:val="bottom"/>
            <w:vMerge w:val="continue"/>
          </w:tcPr>
          <w:p>
            <w:pPr>
              <w:spacing w:after="0"/>
              <w:rPr>
                <w:sz w:val="6"/>
                <w:szCs w:val="6"/>
                <w:color w:val="auto"/>
              </w:rPr>
            </w:pPr>
          </w:p>
        </w:tc>
        <w:tc>
          <w:tcPr>
            <w:tcW w:w="3160" w:type="dxa"/>
            <w:vAlign w:val="bottom"/>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920" w:type="dxa"/>
            <w:vAlign w:val="bottom"/>
            <w:vMerge w:val="restart"/>
          </w:tcPr>
          <w:p>
            <w:pPr>
              <w:ind w:left="180"/>
              <w:spacing w:after="0" w:line="149" w:lineRule="exact"/>
              <w:rPr>
                <w:sz w:val="20"/>
                <w:szCs w:val="20"/>
                <w:color w:val="auto"/>
              </w:rPr>
            </w:pPr>
            <w:r>
              <w:rPr>
                <w:rFonts w:ascii="Arial" w:cs="Arial" w:eastAsia="Arial" w:hAnsi="Arial"/>
                <w:sz w:val="14"/>
                <w:szCs w:val="14"/>
                <w:b w:val="1"/>
                <w:bCs w:val="1"/>
                <w:color w:val="auto"/>
              </w:rPr>
              <w:t>Exercise</w:t>
            </w:r>
          </w:p>
        </w:tc>
        <w:tc>
          <w:tcPr>
            <w:tcW w:w="108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rPr>
              <w:t>Expiration</w:t>
            </w:r>
          </w:p>
        </w:tc>
        <w:tc>
          <w:tcPr>
            <w:tcW w:w="1760" w:type="dxa"/>
            <w:vAlign w:val="bottom"/>
            <w:vMerge w:val="continue"/>
          </w:tcPr>
          <w:p>
            <w:pPr>
              <w:spacing w:after="0"/>
              <w:rPr>
                <w:sz w:val="6"/>
                <w:szCs w:val="6"/>
                <w:color w:val="auto"/>
              </w:rPr>
            </w:pPr>
          </w:p>
        </w:tc>
        <w:tc>
          <w:tcPr>
            <w:tcW w:w="1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700" w:type="dxa"/>
            <w:vAlign w:val="bottom"/>
            <w:vMerge w:val="continue"/>
          </w:tcPr>
          <w:p>
            <w:pPr>
              <w:spacing w:after="0"/>
              <w:rPr>
                <w:sz w:val="6"/>
                <w:szCs w:val="6"/>
                <w:color w:val="auto"/>
              </w:rPr>
            </w:pPr>
          </w:p>
        </w:tc>
        <w:tc>
          <w:tcPr>
            <w:tcW w:w="3160" w:type="dxa"/>
            <w:vAlign w:val="bottom"/>
            <w:vMerge w:val="restart"/>
          </w:tcPr>
          <w:p>
            <w:pPr>
              <w:jc w:val="center"/>
              <w:ind w:left="1788"/>
              <w:spacing w:after="0" w:line="135" w:lineRule="exact"/>
              <w:rPr>
                <w:sz w:val="20"/>
                <w:szCs w:val="20"/>
                <w:color w:val="auto"/>
              </w:rPr>
            </w:pPr>
            <w:r>
              <w:rPr>
                <w:rFonts w:ascii="Arial" w:cs="Arial" w:eastAsia="Arial" w:hAnsi="Arial"/>
                <w:sz w:val="14"/>
                <w:szCs w:val="14"/>
                <w:b w:val="1"/>
                <w:bCs w:val="1"/>
                <w:color w:val="auto"/>
              </w:rPr>
              <w:t>Unexercised</w:t>
            </w:r>
          </w:p>
        </w:tc>
        <w:tc>
          <w:tcPr>
            <w:tcW w:w="132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Unexercised</w:t>
            </w:r>
          </w:p>
        </w:tc>
        <w:tc>
          <w:tcPr>
            <w:tcW w:w="92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760" w:type="dxa"/>
            <w:vAlign w:val="bottom"/>
            <w:vMerge w:val="restart"/>
          </w:tcPr>
          <w:p>
            <w:pPr>
              <w:jc w:val="center"/>
              <w:spacing w:after="0" w:line="135" w:lineRule="exact"/>
              <w:rPr>
                <w:sz w:val="20"/>
                <w:szCs w:val="20"/>
                <w:color w:val="auto"/>
              </w:rPr>
            </w:pPr>
            <w:r>
              <w:rPr>
                <w:rFonts w:ascii="Arial" w:cs="Arial" w:eastAsia="Arial" w:hAnsi="Arial"/>
                <w:sz w:val="14"/>
                <w:szCs w:val="14"/>
                <w:b w:val="1"/>
                <w:bCs w:val="1"/>
                <w:color w:val="auto"/>
              </w:rPr>
              <w:t>Units That</w:t>
            </w:r>
          </w:p>
        </w:tc>
        <w:tc>
          <w:tcPr>
            <w:tcW w:w="1020" w:type="dxa"/>
            <w:vAlign w:val="bottom"/>
            <w:vMerge w:val="restart"/>
          </w:tcPr>
          <w:p>
            <w:pPr>
              <w:jc w:val="center"/>
              <w:ind w:left="148"/>
              <w:spacing w:after="0" w:line="135" w:lineRule="exact"/>
              <w:rPr>
                <w:sz w:val="20"/>
                <w:szCs w:val="20"/>
                <w:color w:val="auto"/>
              </w:rPr>
            </w:pPr>
            <w:r>
              <w:rPr>
                <w:rFonts w:ascii="Arial" w:cs="Arial" w:eastAsia="Arial" w:hAnsi="Arial"/>
                <w:sz w:val="14"/>
                <w:szCs w:val="14"/>
                <w:b w:val="1"/>
                <w:bCs w:val="1"/>
                <w:color w:val="auto"/>
              </w:rPr>
              <w:t>Stock That</w:t>
            </w:r>
          </w:p>
        </w:tc>
        <w:tc>
          <w:tcPr>
            <w:tcW w:w="0" w:type="dxa"/>
            <w:vAlign w:val="bottom"/>
          </w:tcPr>
          <w:p>
            <w:pPr>
              <w:spacing w:after="0"/>
              <w:rPr>
                <w:sz w:val="1"/>
                <w:szCs w:val="1"/>
                <w:color w:val="auto"/>
              </w:rPr>
            </w:pPr>
          </w:p>
        </w:tc>
      </w:tr>
      <w:tr>
        <w:trPr>
          <w:trHeight w:val="63"/>
        </w:trPr>
        <w:tc>
          <w:tcPr>
            <w:tcW w:w="70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1320" w:type="dxa"/>
            <w:vAlign w:val="bottom"/>
            <w:vMerge w:val="continue"/>
          </w:tcPr>
          <w:p>
            <w:pPr>
              <w:spacing w:after="0"/>
              <w:rPr>
                <w:sz w:val="5"/>
                <w:szCs w:val="5"/>
                <w:color w:val="auto"/>
              </w:rPr>
            </w:pPr>
          </w:p>
        </w:tc>
        <w:tc>
          <w:tcPr>
            <w:tcW w:w="9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Price ($)</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Date</w:t>
            </w:r>
          </w:p>
        </w:tc>
        <w:tc>
          <w:tcPr>
            <w:tcW w:w="176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700" w:type="dxa"/>
            <w:vAlign w:val="bottom"/>
          </w:tcPr>
          <w:p>
            <w:pPr>
              <w:spacing w:after="0"/>
              <w:rPr>
                <w:sz w:val="13"/>
                <w:szCs w:val="13"/>
                <w:color w:val="auto"/>
              </w:rPr>
            </w:pPr>
          </w:p>
        </w:tc>
        <w:tc>
          <w:tcPr>
            <w:tcW w:w="3160" w:type="dxa"/>
            <w:vAlign w:val="bottom"/>
          </w:tcPr>
          <w:p>
            <w:pPr>
              <w:jc w:val="center"/>
              <w:ind w:left="1728"/>
              <w:spacing w:after="0" w:line="151" w:lineRule="exact"/>
              <w:rPr>
                <w:sz w:val="20"/>
                <w:szCs w:val="20"/>
                <w:color w:val="auto"/>
              </w:rPr>
            </w:pPr>
            <w:r>
              <w:rPr>
                <w:rFonts w:ascii="Arial" w:cs="Arial" w:eastAsia="Arial" w:hAnsi="Arial"/>
                <w:sz w:val="14"/>
                <w:szCs w:val="14"/>
                <w:b w:val="1"/>
                <w:bCs w:val="1"/>
                <w:color w:val="auto"/>
              </w:rPr>
              <w:t>Options (#)</w:t>
            </w:r>
          </w:p>
        </w:tc>
        <w:tc>
          <w:tcPr>
            <w:tcW w:w="132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Options (#)</w:t>
            </w:r>
          </w:p>
        </w:tc>
        <w:tc>
          <w:tcPr>
            <w:tcW w:w="920" w:type="dxa"/>
            <w:vAlign w:val="bottom"/>
            <w:vMerge w:val="continue"/>
          </w:tcPr>
          <w:p>
            <w:pPr>
              <w:spacing w:after="0"/>
              <w:rPr>
                <w:sz w:val="13"/>
                <w:szCs w:val="13"/>
                <w:color w:val="auto"/>
              </w:rPr>
            </w:pPr>
          </w:p>
        </w:tc>
        <w:tc>
          <w:tcPr>
            <w:tcW w:w="1080" w:type="dxa"/>
            <w:vAlign w:val="bottom"/>
            <w:vMerge w:val="continue"/>
          </w:tcPr>
          <w:p>
            <w:pPr>
              <w:spacing w:after="0"/>
              <w:rPr>
                <w:sz w:val="13"/>
                <w:szCs w:val="13"/>
                <w:color w:val="auto"/>
              </w:rPr>
            </w:pPr>
          </w:p>
        </w:tc>
        <w:tc>
          <w:tcPr>
            <w:tcW w:w="1760" w:type="dxa"/>
            <w:vAlign w:val="bottom"/>
          </w:tcPr>
          <w:p>
            <w:pPr>
              <w:jc w:val="center"/>
              <w:spacing w:after="0" w:line="151" w:lineRule="exact"/>
              <w:rPr>
                <w:sz w:val="20"/>
                <w:szCs w:val="20"/>
                <w:color w:val="auto"/>
              </w:rPr>
            </w:pPr>
            <w:r>
              <w:rPr>
                <w:rFonts w:ascii="Arial" w:cs="Arial" w:eastAsia="Arial" w:hAnsi="Arial"/>
                <w:sz w:val="14"/>
                <w:szCs w:val="14"/>
                <w:b w:val="1"/>
                <w:bCs w:val="1"/>
                <w:color w:val="auto"/>
              </w:rPr>
              <w:t>Have Not Vested(#)</w:t>
            </w:r>
          </w:p>
        </w:tc>
        <w:tc>
          <w:tcPr>
            <w:tcW w:w="1020" w:type="dxa"/>
            <w:vAlign w:val="bottom"/>
          </w:tcPr>
          <w:p>
            <w:pPr>
              <w:jc w:val="center"/>
              <w:ind w:left="148"/>
              <w:spacing w:after="0" w:line="151" w:lineRule="exact"/>
              <w:rPr>
                <w:sz w:val="20"/>
                <w:szCs w:val="20"/>
                <w:color w:val="auto"/>
              </w:rPr>
            </w:pPr>
            <w:r>
              <w:rPr>
                <w:rFonts w:ascii="Arial" w:cs="Arial" w:eastAsia="Arial" w:hAnsi="Arial"/>
                <w:sz w:val="14"/>
                <w:szCs w:val="14"/>
                <w:b w:val="1"/>
                <w:bCs w:val="1"/>
                <w:color w:val="auto"/>
              </w:rPr>
              <w:t>Have Not</w:t>
            </w:r>
          </w:p>
        </w:tc>
        <w:tc>
          <w:tcPr>
            <w:tcW w:w="0" w:type="dxa"/>
            <w:vAlign w:val="bottom"/>
          </w:tcPr>
          <w:p>
            <w:pPr>
              <w:spacing w:after="0"/>
              <w:rPr>
                <w:sz w:val="1"/>
                <w:szCs w:val="1"/>
                <w:color w:val="auto"/>
              </w:rPr>
            </w:pPr>
          </w:p>
        </w:tc>
      </w:tr>
      <w:tr>
        <w:trPr>
          <w:trHeight w:val="191"/>
        </w:trPr>
        <w:tc>
          <w:tcPr>
            <w:tcW w:w="700" w:type="dxa"/>
            <w:vAlign w:val="bottom"/>
          </w:tcPr>
          <w:p>
            <w:pPr>
              <w:spacing w:after="0"/>
              <w:rPr>
                <w:sz w:val="16"/>
                <w:szCs w:val="16"/>
                <w:color w:val="auto"/>
              </w:rPr>
            </w:pPr>
          </w:p>
        </w:tc>
        <w:tc>
          <w:tcPr>
            <w:tcW w:w="3160" w:type="dxa"/>
            <w:vAlign w:val="bottom"/>
          </w:tcPr>
          <w:p>
            <w:pPr>
              <w:jc w:val="center"/>
              <w:ind w:left="1768"/>
              <w:spacing w:after="0"/>
              <w:rPr>
                <w:sz w:val="20"/>
                <w:szCs w:val="20"/>
                <w:color w:val="auto"/>
              </w:rPr>
            </w:pPr>
            <w:r>
              <w:rPr>
                <w:rFonts w:ascii="Arial" w:cs="Arial" w:eastAsia="Arial" w:hAnsi="Arial"/>
                <w:sz w:val="14"/>
                <w:szCs w:val="14"/>
                <w:b w:val="1"/>
                <w:bCs w:val="1"/>
                <w:color w:val="auto"/>
              </w:rPr>
              <w:t>Exercisable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rPr>
              <w:t>Unexercisable</w:t>
            </w:r>
          </w:p>
        </w:tc>
        <w:tc>
          <w:tcPr>
            <w:tcW w:w="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20" w:type="dxa"/>
            <w:vAlign w:val="bottom"/>
          </w:tcPr>
          <w:p>
            <w:pPr>
              <w:jc w:val="center"/>
              <w:ind w:left="148"/>
              <w:spacing w:after="0" w:line="191" w:lineRule="exact"/>
              <w:rPr>
                <w:sz w:val="20"/>
                <w:szCs w:val="20"/>
                <w:color w:val="auto"/>
              </w:rPr>
            </w:pPr>
            <w:r>
              <w:rPr>
                <w:rFonts w:ascii="Arial" w:cs="Arial" w:eastAsia="Arial" w:hAnsi="Arial"/>
                <w:sz w:val="14"/>
                <w:szCs w:val="14"/>
                <w:b w:val="1"/>
                <w:bCs w:val="1"/>
                <w:color w:val="auto"/>
                <w:w w:val="98"/>
              </w:rPr>
              <w:t>Vested ($)</w:t>
            </w:r>
            <w:r>
              <w:rPr>
                <w:rFonts w:ascii="Arial" w:cs="Arial" w:eastAsia="Arial" w:hAnsi="Arial"/>
                <w:sz w:val="18"/>
                <w:szCs w:val="18"/>
                <w:b w:val="1"/>
                <w:bCs w:val="1"/>
                <w:color w:val="auto"/>
                <w:w w:val="98"/>
                <w:vertAlign w:val="superscript"/>
              </w:rPr>
              <w:t>(1)</w:t>
            </w:r>
          </w:p>
        </w:tc>
        <w:tc>
          <w:tcPr>
            <w:tcW w:w="0" w:type="dxa"/>
            <w:vAlign w:val="bottom"/>
          </w:tcPr>
          <w:p>
            <w:pPr>
              <w:spacing w:after="0"/>
              <w:rPr>
                <w:sz w:val="1"/>
                <w:szCs w:val="1"/>
                <w:color w:val="auto"/>
              </w:rPr>
            </w:pPr>
          </w:p>
        </w:tc>
      </w:tr>
      <w:tr>
        <w:trPr>
          <w:trHeight w:val="148"/>
        </w:trPr>
        <w:tc>
          <w:tcPr>
            <w:tcW w:w="700" w:type="dxa"/>
            <w:vAlign w:val="bottom"/>
          </w:tcPr>
          <w:p>
            <w:pPr>
              <w:spacing w:after="0"/>
              <w:rPr>
                <w:sz w:val="12"/>
                <w:szCs w:val="12"/>
                <w:color w:val="auto"/>
              </w:rPr>
            </w:pPr>
          </w:p>
        </w:tc>
        <w:tc>
          <w:tcPr>
            <w:tcW w:w="31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Vesting</w:t>
            </w:r>
          </w:p>
        </w:tc>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00" w:type="dxa"/>
            <w:vAlign w:val="bottom"/>
          </w:tcPr>
          <w:p>
            <w:pPr>
              <w:spacing w:after="0"/>
              <w:rPr>
                <w:sz w:val="12"/>
                <w:szCs w:val="12"/>
                <w:color w:val="auto"/>
              </w:rPr>
            </w:pPr>
          </w:p>
        </w:tc>
        <w:tc>
          <w:tcPr>
            <w:tcW w:w="3160" w:type="dxa"/>
            <w:vAlign w:val="bottom"/>
          </w:tcPr>
          <w:p>
            <w:pPr>
              <w:ind w:left="300"/>
              <w:spacing w:after="0" w:line="149" w:lineRule="exact"/>
              <w:rPr>
                <w:sz w:val="20"/>
                <w:szCs w:val="20"/>
                <w:color w:val="auto"/>
              </w:rPr>
            </w:pPr>
            <w:r>
              <w:rPr>
                <w:rFonts w:ascii="Arial" w:cs="Arial" w:eastAsia="Arial" w:hAnsi="Arial"/>
                <w:sz w:val="14"/>
                <w:szCs w:val="14"/>
                <w:b w:val="1"/>
                <w:bCs w:val="1"/>
                <w:color w:val="auto"/>
              </w:rPr>
              <w:t>Commencement</w:t>
            </w:r>
          </w:p>
        </w:tc>
        <w:tc>
          <w:tcPr>
            <w:tcW w:w="13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3160" w:type="dxa"/>
            <w:vAlign w:val="bottom"/>
          </w:tcPr>
          <w:p>
            <w:pPr>
              <w:ind w:left="300"/>
              <w:spacing w:after="0"/>
              <w:rPr>
                <w:sz w:val="20"/>
                <w:szCs w:val="20"/>
                <w:color w:val="auto"/>
              </w:rPr>
            </w:pPr>
            <w:r>
              <w:rPr>
                <w:rFonts w:ascii="Arial" w:cs="Arial" w:eastAsia="Arial" w:hAnsi="Arial"/>
                <w:sz w:val="14"/>
                <w:szCs w:val="14"/>
                <w:b w:val="1"/>
                <w:bCs w:val="1"/>
                <w:color w:val="auto"/>
              </w:rPr>
              <w:t>Date</w:t>
            </w:r>
          </w:p>
        </w:tc>
        <w:tc>
          <w:tcPr>
            <w:tcW w:w="1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1140" w:type="dxa"/>
            <w:vAlign w:val="bottom"/>
          </w:tcPr>
          <w:p>
            <w:pPr>
              <w:spacing w:after="0"/>
              <w:rPr>
                <w:sz w:val="16"/>
                <w:szCs w:val="16"/>
                <w:color w:val="auto"/>
              </w:rPr>
            </w:pPr>
          </w:p>
        </w:tc>
        <w:tc>
          <w:tcPr>
            <w:tcW w:w="1800" w:type="dxa"/>
            <w:vAlign w:val="bottom"/>
          </w:tcPr>
          <w:p>
            <w:pPr>
              <w:ind w:left="420"/>
              <w:spacing w:after="0"/>
              <w:rPr>
                <w:sz w:val="20"/>
                <w:szCs w:val="20"/>
                <w:color w:val="auto"/>
              </w:rPr>
            </w:pPr>
            <w:r>
              <w:rPr>
                <w:rFonts w:ascii="Arial" w:cs="Arial" w:eastAsia="Arial" w:hAnsi="Arial"/>
                <w:sz w:val="14"/>
                <w:szCs w:val="14"/>
                <w:color w:val="auto"/>
              </w:rPr>
              <w:t>2/15/2025</w:t>
            </w:r>
            <w:r>
              <w:rPr>
                <w:rFonts w:ascii="Arial" w:cs="Arial" w:eastAsia="Arial" w:hAnsi="Arial"/>
                <w:sz w:val="9"/>
                <w:szCs w:val="9"/>
                <w:color w:val="auto"/>
              </w:rPr>
              <w:t>(2)</w:t>
            </w:r>
          </w:p>
        </w:tc>
        <w:tc>
          <w:tcPr>
            <w:tcW w:w="19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920" w:type="dxa"/>
            <w:vAlign w:val="bottom"/>
          </w:tcPr>
          <w:p>
            <w:pPr>
              <w:jc w:val="center"/>
              <w:ind w:left="1368"/>
              <w:spacing w:after="0"/>
              <w:rPr>
                <w:sz w:val="20"/>
                <w:szCs w:val="20"/>
                <w:color w:val="auto"/>
              </w:rPr>
            </w:pPr>
            <w:r>
              <w:rPr>
                <w:rFonts w:ascii="Arial" w:cs="Arial" w:eastAsia="Arial" w:hAnsi="Arial"/>
                <w:sz w:val="14"/>
                <w:szCs w:val="14"/>
                <w:color w:val="auto"/>
              </w:rPr>
              <w:t>120,567</w:t>
            </w:r>
          </w:p>
        </w:tc>
        <w:tc>
          <w:tcPr>
            <w:tcW w:w="1060" w:type="dxa"/>
            <w:vAlign w:val="bottom"/>
          </w:tcPr>
          <w:p>
            <w:pPr>
              <w:jc w:val="center"/>
              <w:ind w:left="388"/>
              <w:spacing w:after="0"/>
              <w:rPr>
                <w:sz w:val="20"/>
                <w:szCs w:val="20"/>
                <w:color w:val="auto"/>
              </w:rPr>
            </w:pPr>
            <w:r>
              <w:rPr>
                <w:rFonts w:ascii="Arial" w:cs="Arial" w:eastAsia="Arial" w:hAnsi="Arial"/>
                <w:sz w:val="14"/>
                <w:szCs w:val="14"/>
                <w:color w:val="auto"/>
              </w:rPr>
              <w:t>$210,992</w:t>
            </w:r>
          </w:p>
        </w:tc>
      </w:tr>
      <w:tr>
        <w:trPr>
          <w:trHeight w:val="203"/>
        </w:trPr>
        <w:tc>
          <w:tcPr>
            <w:tcW w:w="1140" w:type="dxa"/>
            <w:vAlign w:val="bottom"/>
          </w:tcPr>
          <w:p>
            <w:pPr>
              <w:spacing w:after="0"/>
              <w:rPr>
                <w:sz w:val="20"/>
                <w:szCs w:val="20"/>
                <w:color w:val="auto"/>
              </w:rPr>
            </w:pPr>
            <w:r>
              <w:rPr>
                <w:rFonts w:ascii="Arial" w:cs="Arial" w:eastAsia="Arial" w:hAnsi="Arial"/>
                <w:sz w:val="14"/>
                <w:szCs w:val="14"/>
                <w:color w:val="auto"/>
              </w:rPr>
              <w:t>Jeffrey Kuo</w:t>
            </w:r>
          </w:p>
        </w:tc>
        <w:tc>
          <w:tcPr>
            <w:tcW w:w="1800" w:type="dxa"/>
            <w:vAlign w:val="bottom"/>
          </w:tcPr>
          <w:p>
            <w:pPr>
              <w:ind w:left="420"/>
              <w:spacing w:after="0"/>
              <w:rPr>
                <w:sz w:val="20"/>
                <w:szCs w:val="20"/>
                <w:color w:val="auto"/>
              </w:rPr>
            </w:pPr>
            <w:r>
              <w:rPr>
                <w:rFonts w:ascii="Arial" w:cs="Arial" w:eastAsia="Arial" w:hAnsi="Arial"/>
                <w:sz w:val="14"/>
                <w:szCs w:val="14"/>
                <w:color w:val="auto"/>
              </w:rPr>
              <w:t>2/15/2024</w:t>
            </w:r>
            <w:r>
              <w:rPr>
                <w:rFonts w:ascii="Arial" w:cs="Arial" w:eastAsia="Arial" w:hAnsi="Arial"/>
                <w:sz w:val="9"/>
                <w:szCs w:val="9"/>
                <w:color w:val="auto"/>
              </w:rPr>
              <w:t>(2)</w:t>
            </w:r>
          </w:p>
        </w:tc>
        <w:tc>
          <w:tcPr>
            <w:tcW w:w="1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920" w:type="dxa"/>
            <w:vAlign w:val="bottom"/>
          </w:tcPr>
          <w:p>
            <w:pPr>
              <w:jc w:val="center"/>
              <w:ind w:left="1368"/>
              <w:spacing w:after="0"/>
              <w:rPr>
                <w:sz w:val="20"/>
                <w:szCs w:val="20"/>
                <w:color w:val="auto"/>
              </w:rPr>
            </w:pPr>
            <w:r>
              <w:rPr>
                <w:rFonts w:ascii="Arial" w:cs="Arial" w:eastAsia="Arial" w:hAnsi="Arial"/>
                <w:sz w:val="14"/>
                <w:szCs w:val="14"/>
                <w:color w:val="auto"/>
              </w:rPr>
              <w:t>112,876</w:t>
            </w:r>
          </w:p>
        </w:tc>
        <w:tc>
          <w:tcPr>
            <w:tcW w:w="1060" w:type="dxa"/>
            <w:vAlign w:val="bottom"/>
          </w:tcPr>
          <w:p>
            <w:pPr>
              <w:jc w:val="center"/>
              <w:ind w:left="388"/>
              <w:spacing w:after="0"/>
              <w:rPr>
                <w:sz w:val="20"/>
                <w:szCs w:val="20"/>
                <w:color w:val="auto"/>
              </w:rPr>
            </w:pPr>
            <w:r>
              <w:rPr>
                <w:rFonts w:ascii="Arial" w:cs="Arial" w:eastAsia="Arial" w:hAnsi="Arial"/>
                <w:sz w:val="14"/>
                <w:szCs w:val="14"/>
                <w:color w:val="auto"/>
              </w:rPr>
              <w:t>$197,533</w:t>
            </w:r>
          </w:p>
        </w:tc>
      </w:tr>
      <w:tr>
        <w:trPr>
          <w:trHeight w:val="203"/>
        </w:trPr>
        <w:tc>
          <w:tcPr>
            <w:tcW w:w="114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4"/>
                <w:szCs w:val="14"/>
                <w:color w:val="auto"/>
              </w:rPr>
              <w:t>2/15/2023</w:t>
            </w:r>
            <w:r>
              <w:rPr>
                <w:rFonts w:ascii="Arial" w:cs="Arial" w:eastAsia="Arial" w:hAnsi="Arial"/>
                <w:sz w:val="9"/>
                <w:szCs w:val="9"/>
                <w:color w:val="auto"/>
              </w:rPr>
              <w:t>(2)</w:t>
            </w:r>
          </w:p>
        </w:tc>
        <w:tc>
          <w:tcPr>
            <w:tcW w:w="1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920" w:type="dxa"/>
            <w:vAlign w:val="bottom"/>
          </w:tcPr>
          <w:p>
            <w:pPr>
              <w:jc w:val="center"/>
              <w:ind w:left="1368"/>
              <w:spacing w:after="0"/>
              <w:rPr>
                <w:sz w:val="20"/>
                <w:szCs w:val="20"/>
                <w:color w:val="auto"/>
              </w:rPr>
            </w:pPr>
            <w:r>
              <w:rPr>
                <w:rFonts w:ascii="Arial" w:cs="Arial" w:eastAsia="Arial" w:hAnsi="Arial"/>
                <w:sz w:val="14"/>
                <w:szCs w:val="14"/>
                <w:color w:val="auto"/>
              </w:rPr>
              <w:t>64,133</w:t>
            </w:r>
          </w:p>
        </w:tc>
        <w:tc>
          <w:tcPr>
            <w:tcW w:w="1060" w:type="dxa"/>
            <w:vAlign w:val="bottom"/>
          </w:tcPr>
          <w:p>
            <w:pPr>
              <w:jc w:val="center"/>
              <w:ind w:left="388"/>
              <w:spacing w:after="0"/>
              <w:rPr>
                <w:sz w:val="20"/>
                <w:szCs w:val="20"/>
                <w:color w:val="auto"/>
              </w:rPr>
            </w:pPr>
            <w:r>
              <w:rPr>
                <w:rFonts w:ascii="Arial" w:cs="Arial" w:eastAsia="Arial" w:hAnsi="Arial"/>
                <w:sz w:val="14"/>
                <w:szCs w:val="14"/>
                <w:color w:val="auto"/>
              </w:rPr>
              <w:t>$112,233</w:t>
            </w:r>
          </w:p>
        </w:tc>
      </w:tr>
      <w:tr>
        <w:trPr>
          <w:trHeight w:val="203"/>
        </w:trPr>
        <w:tc>
          <w:tcPr>
            <w:tcW w:w="114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4"/>
                <w:szCs w:val="14"/>
                <w:color w:val="auto"/>
              </w:rPr>
              <w:t>8/15/2022</w:t>
            </w:r>
            <w:r>
              <w:rPr>
                <w:rFonts w:ascii="Arial" w:cs="Arial" w:eastAsia="Arial" w:hAnsi="Arial"/>
                <w:sz w:val="9"/>
                <w:szCs w:val="9"/>
                <w:color w:val="auto"/>
              </w:rPr>
              <w:t>(2)</w:t>
            </w:r>
          </w:p>
        </w:tc>
        <w:tc>
          <w:tcPr>
            <w:tcW w:w="1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920" w:type="dxa"/>
            <w:vAlign w:val="bottom"/>
          </w:tcPr>
          <w:p>
            <w:pPr>
              <w:jc w:val="center"/>
              <w:ind w:left="1368"/>
              <w:spacing w:after="0"/>
              <w:rPr>
                <w:sz w:val="20"/>
                <w:szCs w:val="20"/>
                <w:color w:val="auto"/>
              </w:rPr>
            </w:pPr>
            <w:r>
              <w:rPr>
                <w:rFonts w:ascii="Arial" w:cs="Arial" w:eastAsia="Arial" w:hAnsi="Arial"/>
                <w:sz w:val="14"/>
                <w:szCs w:val="14"/>
                <w:color w:val="auto"/>
              </w:rPr>
              <w:t>5,969</w:t>
            </w:r>
          </w:p>
        </w:tc>
        <w:tc>
          <w:tcPr>
            <w:tcW w:w="1060" w:type="dxa"/>
            <w:vAlign w:val="bottom"/>
          </w:tcPr>
          <w:p>
            <w:pPr>
              <w:jc w:val="center"/>
              <w:ind w:left="388"/>
              <w:spacing w:after="0"/>
              <w:rPr>
                <w:sz w:val="20"/>
                <w:szCs w:val="20"/>
                <w:color w:val="auto"/>
              </w:rPr>
            </w:pPr>
            <w:r>
              <w:rPr>
                <w:rFonts w:ascii="Arial" w:cs="Arial" w:eastAsia="Arial" w:hAnsi="Arial"/>
                <w:sz w:val="14"/>
                <w:szCs w:val="14"/>
                <w:color w:val="auto"/>
              </w:rPr>
              <w:t>$10,446</w:t>
            </w:r>
          </w:p>
        </w:tc>
      </w:tr>
      <w:tr>
        <w:trPr>
          <w:trHeight w:val="203"/>
        </w:trPr>
        <w:tc>
          <w:tcPr>
            <w:tcW w:w="114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4"/>
                <w:szCs w:val="14"/>
                <w:color w:val="auto"/>
              </w:rPr>
              <w:t>2/15/2022</w:t>
            </w:r>
            <w:r>
              <w:rPr>
                <w:rFonts w:ascii="Arial" w:cs="Arial" w:eastAsia="Arial" w:hAnsi="Arial"/>
                <w:sz w:val="9"/>
                <w:szCs w:val="9"/>
                <w:color w:val="auto"/>
              </w:rPr>
              <w:t>(2)</w:t>
            </w:r>
          </w:p>
        </w:tc>
        <w:tc>
          <w:tcPr>
            <w:tcW w:w="19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920" w:type="dxa"/>
            <w:vAlign w:val="bottom"/>
          </w:tcPr>
          <w:p>
            <w:pPr>
              <w:jc w:val="center"/>
              <w:ind w:left="1368"/>
              <w:spacing w:after="0"/>
              <w:rPr>
                <w:sz w:val="20"/>
                <w:szCs w:val="20"/>
                <w:color w:val="auto"/>
              </w:rPr>
            </w:pPr>
            <w:r>
              <w:rPr>
                <w:rFonts w:ascii="Arial" w:cs="Arial" w:eastAsia="Arial" w:hAnsi="Arial"/>
                <w:sz w:val="14"/>
                <w:szCs w:val="14"/>
                <w:color w:val="auto"/>
              </w:rPr>
              <w:t>5,483</w:t>
            </w:r>
          </w:p>
        </w:tc>
        <w:tc>
          <w:tcPr>
            <w:tcW w:w="1060" w:type="dxa"/>
            <w:vAlign w:val="bottom"/>
          </w:tcPr>
          <w:p>
            <w:pPr>
              <w:jc w:val="center"/>
              <w:ind w:left="388"/>
              <w:spacing w:after="0"/>
              <w:rPr>
                <w:sz w:val="20"/>
                <w:szCs w:val="20"/>
                <w:color w:val="auto"/>
              </w:rPr>
            </w:pPr>
            <w:r>
              <w:rPr>
                <w:rFonts w:ascii="Arial" w:cs="Arial" w:eastAsia="Arial" w:hAnsi="Arial"/>
                <w:sz w:val="14"/>
                <w:szCs w:val="14"/>
                <w:color w:val="auto"/>
              </w:rPr>
              <w:t>$9,595</w:t>
            </w:r>
          </w:p>
        </w:tc>
      </w:tr>
      <w:tr>
        <w:trPr>
          <w:trHeight w:val="203"/>
        </w:trPr>
        <w:tc>
          <w:tcPr>
            <w:tcW w:w="1140" w:type="dxa"/>
            <w:vAlign w:val="bottom"/>
          </w:tcPr>
          <w:p>
            <w:pPr>
              <w:spacing w:after="0"/>
              <w:rPr>
                <w:sz w:val="17"/>
                <w:szCs w:val="17"/>
                <w:color w:val="auto"/>
              </w:rPr>
            </w:pPr>
          </w:p>
        </w:tc>
        <w:tc>
          <w:tcPr>
            <w:tcW w:w="1800" w:type="dxa"/>
            <w:vAlign w:val="bottom"/>
          </w:tcPr>
          <w:p>
            <w:pPr>
              <w:ind w:left="420"/>
              <w:spacing w:after="0"/>
              <w:rPr>
                <w:sz w:val="20"/>
                <w:szCs w:val="20"/>
                <w:color w:val="auto"/>
              </w:rPr>
            </w:pPr>
            <w:r>
              <w:rPr>
                <w:rFonts w:ascii="Arial" w:cs="Arial" w:eastAsia="Arial" w:hAnsi="Arial"/>
                <w:sz w:val="14"/>
                <w:szCs w:val="14"/>
                <w:color w:val="auto"/>
              </w:rPr>
              <w:t>9/22/21</w:t>
            </w:r>
          </w:p>
        </w:tc>
        <w:tc>
          <w:tcPr>
            <w:tcW w:w="1940" w:type="dxa"/>
            <w:vAlign w:val="bottom"/>
          </w:tcPr>
          <w:p>
            <w:pPr>
              <w:jc w:val="right"/>
              <w:ind w:right="828"/>
              <w:spacing w:after="0"/>
              <w:rPr>
                <w:sz w:val="20"/>
                <w:szCs w:val="20"/>
                <w:color w:val="auto"/>
              </w:rPr>
            </w:pPr>
            <w:r>
              <w:rPr>
                <w:rFonts w:ascii="Arial" w:cs="Arial" w:eastAsia="Arial" w:hAnsi="Arial"/>
                <w:sz w:val="14"/>
                <w:szCs w:val="14"/>
                <w:color w:val="auto"/>
              </w:rPr>
              <w:t>54,465</w:t>
            </w:r>
          </w:p>
        </w:tc>
        <w:tc>
          <w:tcPr>
            <w:tcW w:w="1560" w:type="dxa"/>
            <w:vAlign w:val="bottom"/>
          </w:tcPr>
          <w:p>
            <w:pPr>
              <w:jc w:val="right"/>
              <w:ind w:right="148"/>
              <w:spacing w:after="0"/>
              <w:rPr>
                <w:sz w:val="20"/>
                <w:szCs w:val="20"/>
                <w:color w:val="auto"/>
              </w:rPr>
            </w:pPr>
            <w:r>
              <w:rPr>
                <w:rFonts w:ascii="Arial" w:cs="Arial" w:eastAsia="Arial" w:hAnsi="Arial"/>
                <w:sz w:val="14"/>
                <w:szCs w:val="14"/>
                <w:color w:val="auto"/>
              </w:rPr>
              <w:t>$12.00</w:t>
            </w:r>
          </w:p>
        </w:tc>
        <w:tc>
          <w:tcPr>
            <w:tcW w:w="2920" w:type="dxa"/>
            <w:vAlign w:val="bottom"/>
          </w:tcPr>
          <w:p>
            <w:pPr>
              <w:jc w:val="right"/>
              <w:ind w:right="1968"/>
              <w:spacing w:after="0"/>
              <w:rPr>
                <w:sz w:val="20"/>
                <w:szCs w:val="20"/>
                <w:color w:val="auto"/>
              </w:rPr>
            </w:pPr>
            <w:r>
              <w:rPr>
                <w:rFonts w:ascii="Arial" w:cs="Arial" w:eastAsia="Arial" w:hAnsi="Arial"/>
                <w:sz w:val="14"/>
                <w:szCs w:val="14"/>
                <w:color w:val="auto"/>
              </w:rPr>
              <w:t>9/22/2031</w:t>
            </w: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60" w:hanging="66"/>
        <w:spacing w:after="0"/>
        <w:tabs>
          <w:tab w:leader="none" w:pos="560" w:val="left"/>
        </w:tabs>
        <w:numPr>
          <w:ilvl w:val="0"/>
          <w:numId w:val="16"/>
        </w:numPr>
        <w:rPr>
          <w:rFonts w:ascii="Arial" w:cs="Arial" w:eastAsia="Arial" w:hAnsi="Arial"/>
          <w:sz w:val="16"/>
          <w:szCs w:val="16"/>
          <w:color w:val="auto"/>
          <w:vertAlign w:val="superscript"/>
        </w:rPr>
      </w:pPr>
      <w:r>
        <w:rPr>
          <w:rFonts w:ascii="Arial" w:cs="Arial" w:eastAsia="Arial" w:hAnsi="Arial"/>
          <w:sz w:val="13"/>
          <w:szCs w:val="13"/>
          <w:color w:val="auto"/>
        </w:rPr>
        <w:t>Amounts calculated based on $1.75 per share, the closing price of our Class A common stock on December 31, 2025.</w:t>
      </w:r>
    </w:p>
    <w:p>
      <w:pPr>
        <w:spacing w:after="0" w:line="3" w:lineRule="exact"/>
        <w:rPr>
          <w:sz w:val="20"/>
          <w:szCs w:val="20"/>
          <w:color w:val="auto"/>
        </w:rPr>
      </w:pPr>
    </w:p>
    <w:p>
      <w:pPr>
        <w:jc w:val="both"/>
        <w:ind w:left="500" w:right="800" w:firstLine="4"/>
        <w:spacing w:after="0" w:line="239" w:lineRule="auto"/>
        <w:tabs>
          <w:tab w:leader="none" w:pos="599" w:val="left"/>
        </w:tabs>
        <w:numPr>
          <w:ilvl w:val="0"/>
          <w:numId w:val="17"/>
        </w:numPr>
        <w:rPr>
          <w:rFonts w:ascii="Arial" w:cs="Arial" w:eastAsia="Arial" w:hAnsi="Arial"/>
          <w:sz w:val="9"/>
          <w:szCs w:val="9"/>
          <w:color w:val="auto"/>
        </w:rPr>
      </w:pPr>
      <w:r>
        <w:rPr>
          <w:rFonts w:ascii="Arial" w:cs="Arial" w:eastAsia="Arial" w:hAnsi="Arial"/>
          <w:sz w:val="14"/>
          <w:szCs w:val="14"/>
          <w:color w:val="auto"/>
        </w:rPr>
        <w:t>Award of restricted stock units vests as to 25% of the total number of restricted stock units subject to the award on the first anniversary of the vesting commencement date, and as to 1/16</w:t>
      </w:r>
      <w:r>
        <w:rPr>
          <w:rFonts w:ascii="Arial" w:cs="Arial" w:eastAsia="Arial" w:hAnsi="Arial"/>
          <w:sz w:val="18"/>
          <w:szCs w:val="18"/>
          <w:color w:val="auto"/>
          <w:vertAlign w:val="superscript"/>
        </w:rPr>
        <w:t>th</w:t>
      </w:r>
      <w:r>
        <w:rPr>
          <w:rFonts w:ascii="Arial" w:cs="Arial" w:eastAsia="Arial" w:hAnsi="Arial"/>
          <w:sz w:val="14"/>
          <w:szCs w:val="14"/>
          <w:color w:val="auto"/>
        </w:rPr>
        <w:t xml:space="preserve"> of the total number of restricted stock units subject to the award on each quarterly anniversary of the vesting commencement date thereafter, in each case, subject to continued service.</w:t>
      </w:r>
    </w:p>
    <w:p>
      <w:pPr>
        <w:sectPr>
          <w:pgSz w:w="11900" w:h="16838" w:orient="portrait"/>
          <w:cols w:equalWidth="0" w:num="1">
            <w:col w:w="10540"/>
          </w:cols>
          <w:pgMar w:left="320" w:top="993"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500"/>
        <w:spacing w:after="0"/>
        <w:rPr>
          <w:sz w:val="20"/>
          <w:szCs w:val="20"/>
          <w:color w:val="auto"/>
        </w:rPr>
      </w:pPr>
      <w:r>
        <w:rPr>
          <w:rFonts w:ascii="Arial" w:cs="Arial" w:eastAsia="Arial" w:hAnsi="Arial"/>
          <w:sz w:val="21"/>
          <w:szCs w:val="2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40"/>
          </w:cols>
          <w:pgMar w:left="320" w:top="993" w:right="10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SECURITIES AUTHORIZED FOR ISSUANCE UNDER EQUITY COMPENSATION PLANS</w:t>
      </w:r>
    </w:p>
    <w:p>
      <w:pPr>
        <w:spacing w:after="0" w:line="20"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2025, the following securities were authorized for issuance under our equity compensation plans:</w:t>
      </w: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1940" w:type="dxa"/>
            <w:vAlign w:val="bottom"/>
          </w:tcPr>
          <w:p>
            <w:pPr>
              <w:ind w:left="40"/>
              <w:spacing w:after="0"/>
              <w:rPr>
                <w:sz w:val="20"/>
                <w:szCs w:val="20"/>
                <w:color w:val="auto"/>
              </w:rPr>
            </w:pPr>
            <w:r>
              <w:rPr>
                <w:rFonts w:ascii="Arial" w:cs="Arial" w:eastAsia="Arial" w:hAnsi="Arial"/>
                <w:sz w:val="18"/>
                <w:szCs w:val="18"/>
                <w:b w:val="1"/>
                <w:bCs w:val="1"/>
                <w:color w:val="auto"/>
              </w:rPr>
              <w:t>Number of Securities</w:t>
            </w:r>
          </w:p>
        </w:tc>
        <w:tc>
          <w:tcPr>
            <w:tcW w:w="2080" w:type="dxa"/>
            <w:vAlign w:val="bottom"/>
          </w:tcPr>
          <w:p>
            <w:pPr>
              <w:ind w:left="60"/>
              <w:spacing w:after="0"/>
              <w:rPr>
                <w:sz w:val="20"/>
                <w:szCs w:val="20"/>
                <w:color w:val="auto"/>
              </w:rPr>
            </w:pPr>
            <w:r>
              <w:rPr>
                <w:rFonts w:ascii="Arial" w:cs="Arial" w:eastAsia="Arial" w:hAnsi="Arial"/>
                <w:sz w:val="18"/>
                <w:szCs w:val="18"/>
                <w:b w:val="1"/>
                <w:bCs w:val="1"/>
                <w:color w:val="auto"/>
              </w:rPr>
              <w:t>Weighted Average</w:t>
            </w:r>
          </w:p>
        </w:tc>
        <w:tc>
          <w:tcPr>
            <w:tcW w:w="2280" w:type="dxa"/>
            <w:vAlign w:val="bottom"/>
          </w:tcPr>
          <w:p>
            <w:pPr>
              <w:ind w:left="180"/>
              <w:spacing w:after="0"/>
              <w:rPr>
                <w:sz w:val="20"/>
                <w:szCs w:val="20"/>
                <w:color w:val="auto"/>
              </w:rPr>
            </w:pPr>
            <w:r>
              <w:rPr>
                <w:rFonts w:ascii="Arial" w:cs="Arial" w:eastAsia="Arial" w:hAnsi="Arial"/>
                <w:sz w:val="18"/>
                <w:szCs w:val="18"/>
                <w:b w:val="1"/>
                <w:bCs w:val="1"/>
                <w:color w:val="auto"/>
              </w:rPr>
              <w:t>Number of Securities</w:t>
            </w: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5"/>
                <w:szCs w:val="15"/>
                <w:color w:val="auto"/>
              </w:rPr>
            </w:pPr>
          </w:p>
        </w:tc>
        <w:tc>
          <w:tcPr>
            <w:tcW w:w="1940" w:type="dxa"/>
            <w:vAlign w:val="bottom"/>
          </w:tcPr>
          <w:p>
            <w:pPr>
              <w:ind w:left="40"/>
              <w:spacing w:after="0" w:line="183" w:lineRule="exact"/>
              <w:rPr>
                <w:sz w:val="20"/>
                <w:szCs w:val="20"/>
                <w:color w:val="auto"/>
              </w:rPr>
            </w:pPr>
            <w:r>
              <w:rPr>
                <w:rFonts w:ascii="Arial" w:cs="Arial" w:eastAsia="Arial" w:hAnsi="Arial"/>
                <w:sz w:val="18"/>
                <w:szCs w:val="18"/>
                <w:b w:val="1"/>
                <w:bCs w:val="1"/>
                <w:color w:val="auto"/>
              </w:rPr>
              <w:t>to be Issued Upon</w:t>
            </w:r>
          </w:p>
        </w:tc>
        <w:tc>
          <w:tcPr>
            <w:tcW w:w="2080" w:type="dxa"/>
            <w:vAlign w:val="bottom"/>
          </w:tcPr>
          <w:p>
            <w:pPr>
              <w:ind w:left="60"/>
              <w:spacing w:after="0" w:line="183" w:lineRule="exact"/>
              <w:rPr>
                <w:sz w:val="20"/>
                <w:szCs w:val="20"/>
                <w:color w:val="auto"/>
              </w:rPr>
            </w:pPr>
            <w:r>
              <w:rPr>
                <w:rFonts w:ascii="Arial" w:cs="Arial" w:eastAsia="Arial" w:hAnsi="Arial"/>
                <w:sz w:val="18"/>
                <w:szCs w:val="18"/>
                <w:b w:val="1"/>
                <w:bCs w:val="1"/>
                <w:color w:val="auto"/>
              </w:rPr>
              <w:t>Exercise Price of</w:t>
            </w:r>
          </w:p>
        </w:tc>
        <w:tc>
          <w:tcPr>
            <w:tcW w:w="2280" w:type="dxa"/>
            <w:vAlign w:val="bottom"/>
          </w:tcPr>
          <w:p>
            <w:pPr>
              <w:ind w:left="180"/>
              <w:spacing w:after="0" w:line="183" w:lineRule="exact"/>
              <w:rPr>
                <w:sz w:val="20"/>
                <w:szCs w:val="20"/>
                <w:color w:val="auto"/>
              </w:rPr>
            </w:pPr>
            <w:r>
              <w:rPr>
                <w:rFonts w:ascii="Arial" w:cs="Arial" w:eastAsia="Arial" w:hAnsi="Arial"/>
                <w:sz w:val="18"/>
                <w:szCs w:val="18"/>
                <w:b w:val="1"/>
                <w:bCs w:val="1"/>
                <w:color w:val="auto"/>
              </w:rPr>
              <w:t>Available for Future</w:t>
            </w:r>
          </w:p>
        </w:tc>
        <w:tc>
          <w:tcPr>
            <w:tcW w:w="0" w:type="dxa"/>
            <w:vAlign w:val="bottom"/>
          </w:tcPr>
          <w:p>
            <w:pPr>
              <w:spacing w:after="0"/>
              <w:rPr>
                <w:sz w:val="1"/>
                <w:szCs w:val="1"/>
                <w:color w:val="auto"/>
              </w:rPr>
            </w:pPr>
          </w:p>
        </w:tc>
      </w:tr>
      <w:tr>
        <w:trPr>
          <w:trHeight w:val="181"/>
        </w:trPr>
        <w:tc>
          <w:tcPr>
            <w:tcW w:w="1720" w:type="dxa"/>
            <w:vAlign w:val="bottom"/>
          </w:tcPr>
          <w:p>
            <w:pPr>
              <w:spacing w:after="0"/>
              <w:rPr>
                <w:sz w:val="15"/>
                <w:szCs w:val="15"/>
                <w:color w:val="auto"/>
              </w:rPr>
            </w:pPr>
          </w:p>
        </w:tc>
        <w:tc>
          <w:tcPr>
            <w:tcW w:w="1940" w:type="dxa"/>
            <w:vAlign w:val="bottom"/>
          </w:tcPr>
          <w:p>
            <w:pPr>
              <w:ind w:left="40"/>
              <w:spacing w:after="0" w:line="181" w:lineRule="exact"/>
              <w:rPr>
                <w:sz w:val="20"/>
                <w:szCs w:val="20"/>
                <w:color w:val="auto"/>
              </w:rPr>
            </w:pPr>
            <w:r>
              <w:rPr>
                <w:rFonts w:ascii="Arial" w:cs="Arial" w:eastAsia="Arial" w:hAnsi="Arial"/>
                <w:sz w:val="18"/>
                <w:szCs w:val="18"/>
                <w:b w:val="1"/>
                <w:bCs w:val="1"/>
                <w:color w:val="auto"/>
              </w:rPr>
              <w:t>Exercise of</w:t>
            </w:r>
          </w:p>
        </w:tc>
        <w:tc>
          <w:tcPr>
            <w:tcW w:w="2080" w:type="dxa"/>
            <w:vAlign w:val="bottom"/>
          </w:tcPr>
          <w:p>
            <w:pPr>
              <w:ind w:left="60"/>
              <w:spacing w:after="0" w:line="181" w:lineRule="exact"/>
              <w:rPr>
                <w:sz w:val="20"/>
                <w:szCs w:val="20"/>
                <w:color w:val="auto"/>
              </w:rPr>
            </w:pPr>
            <w:r>
              <w:rPr>
                <w:rFonts w:ascii="Arial" w:cs="Arial" w:eastAsia="Arial" w:hAnsi="Arial"/>
                <w:sz w:val="18"/>
                <w:szCs w:val="18"/>
                <w:b w:val="1"/>
                <w:bCs w:val="1"/>
                <w:color w:val="auto"/>
              </w:rPr>
              <w:t>Outstanding Options,</w:t>
            </w:r>
          </w:p>
        </w:tc>
        <w:tc>
          <w:tcPr>
            <w:tcW w:w="2280" w:type="dxa"/>
            <w:vAlign w:val="bottom"/>
          </w:tcPr>
          <w:p>
            <w:pPr>
              <w:ind w:left="180"/>
              <w:spacing w:after="0" w:line="181" w:lineRule="exact"/>
              <w:rPr>
                <w:sz w:val="20"/>
                <w:szCs w:val="20"/>
                <w:color w:val="auto"/>
              </w:rPr>
            </w:pPr>
            <w:r>
              <w:rPr>
                <w:rFonts w:ascii="Arial" w:cs="Arial" w:eastAsia="Arial" w:hAnsi="Arial"/>
                <w:sz w:val="18"/>
                <w:szCs w:val="18"/>
                <w:b w:val="1"/>
                <w:bCs w:val="1"/>
                <w:color w:val="auto"/>
              </w:rPr>
              <w:t>Issuance Under Equity</w:t>
            </w:r>
          </w:p>
        </w:tc>
        <w:tc>
          <w:tcPr>
            <w:tcW w:w="0" w:type="dxa"/>
            <w:vAlign w:val="bottom"/>
          </w:tcPr>
          <w:p>
            <w:pPr>
              <w:spacing w:after="0"/>
              <w:rPr>
                <w:sz w:val="1"/>
                <w:szCs w:val="1"/>
                <w:color w:val="auto"/>
              </w:rPr>
            </w:pPr>
          </w:p>
        </w:tc>
      </w:tr>
      <w:tr>
        <w:trPr>
          <w:trHeight w:val="176"/>
        </w:trPr>
        <w:tc>
          <w:tcPr>
            <w:tcW w:w="1720" w:type="dxa"/>
            <w:vAlign w:val="bottom"/>
          </w:tcPr>
          <w:p>
            <w:pPr>
              <w:spacing w:after="0"/>
              <w:rPr>
                <w:sz w:val="15"/>
                <w:szCs w:val="15"/>
                <w:color w:val="auto"/>
              </w:rPr>
            </w:pPr>
          </w:p>
        </w:tc>
        <w:tc>
          <w:tcPr>
            <w:tcW w:w="1940" w:type="dxa"/>
            <w:vAlign w:val="bottom"/>
          </w:tcPr>
          <w:p>
            <w:pPr>
              <w:ind w:left="40"/>
              <w:spacing w:after="0" w:line="176" w:lineRule="exact"/>
              <w:rPr>
                <w:sz w:val="20"/>
                <w:szCs w:val="20"/>
                <w:color w:val="auto"/>
              </w:rPr>
            </w:pPr>
            <w:r>
              <w:rPr>
                <w:rFonts w:ascii="Arial" w:cs="Arial" w:eastAsia="Arial" w:hAnsi="Arial"/>
                <w:sz w:val="18"/>
                <w:szCs w:val="18"/>
                <w:b w:val="1"/>
                <w:bCs w:val="1"/>
                <w:color w:val="auto"/>
              </w:rPr>
              <w:t>Outstanding Options,</w:t>
            </w:r>
          </w:p>
        </w:tc>
        <w:tc>
          <w:tcPr>
            <w:tcW w:w="2080" w:type="dxa"/>
            <w:vAlign w:val="bottom"/>
          </w:tcPr>
          <w:p>
            <w:pPr>
              <w:ind w:left="60"/>
              <w:spacing w:after="0" w:line="176" w:lineRule="exact"/>
              <w:rPr>
                <w:sz w:val="20"/>
                <w:szCs w:val="20"/>
                <w:color w:val="auto"/>
              </w:rPr>
            </w:pPr>
            <w:r>
              <w:rPr>
                <w:rFonts w:ascii="Arial" w:cs="Arial" w:eastAsia="Arial" w:hAnsi="Arial"/>
                <w:sz w:val="18"/>
                <w:szCs w:val="18"/>
                <w:b w:val="1"/>
                <w:bCs w:val="1"/>
                <w:color w:val="auto"/>
              </w:rPr>
              <w:t>Warrants, and Rights</w:t>
            </w:r>
          </w:p>
        </w:tc>
        <w:tc>
          <w:tcPr>
            <w:tcW w:w="2280" w:type="dxa"/>
            <w:vAlign w:val="bottom"/>
          </w:tcPr>
          <w:p>
            <w:pPr>
              <w:ind w:left="180"/>
              <w:spacing w:after="0" w:line="176" w:lineRule="exact"/>
              <w:rPr>
                <w:sz w:val="20"/>
                <w:szCs w:val="20"/>
                <w:color w:val="auto"/>
              </w:rPr>
            </w:pPr>
            <w:r>
              <w:rPr>
                <w:rFonts w:ascii="Arial" w:cs="Arial" w:eastAsia="Arial" w:hAnsi="Arial"/>
                <w:sz w:val="18"/>
                <w:szCs w:val="18"/>
                <w:b w:val="1"/>
                <w:bCs w:val="1"/>
                <w:color w:val="auto"/>
              </w:rPr>
              <w:t>Compensation Plans</w:t>
            </w: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5"/>
                <w:szCs w:val="15"/>
                <w:color w:val="auto"/>
              </w:rPr>
            </w:pPr>
          </w:p>
        </w:tc>
        <w:tc>
          <w:tcPr>
            <w:tcW w:w="1940" w:type="dxa"/>
            <w:vAlign w:val="bottom"/>
          </w:tcPr>
          <w:p>
            <w:pPr>
              <w:ind w:left="40"/>
              <w:spacing w:after="0" w:line="183" w:lineRule="exact"/>
              <w:rPr>
                <w:sz w:val="20"/>
                <w:szCs w:val="20"/>
                <w:color w:val="auto"/>
              </w:rPr>
            </w:pPr>
            <w:r>
              <w:rPr>
                <w:rFonts w:ascii="Arial" w:cs="Arial" w:eastAsia="Arial" w:hAnsi="Arial"/>
                <w:sz w:val="18"/>
                <w:szCs w:val="18"/>
                <w:b w:val="1"/>
                <w:bCs w:val="1"/>
                <w:color w:val="auto"/>
              </w:rPr>
              <w:t>Warrants, and Rights</w:t>
            </w:r>
          </w:p>
        </w:tc>
        <w:tc>
          <w:tcPr>
            <w:tcW w:w="2080" w:type="dxa"/>
            <w:vAlign w:val="bottom"/>
          </w:tcPr>
          <w:p>
            <w:pPr>
              <w:spacing w:after="0"/>
              <w:rPr>
                <w:sz w:val="15"/>
                <w:szCs w:val="15"/>
                <w:color w:val="auto"/>
              </w:rPr>
            </w:pPr>
          </w:p>
        </w:tc>
        <w:tc>
          <w:tcPr>
            <w:tcW w:w="2280" w:type="dxa"/>
            <w:vAlign w:val="bottom"/>
          </w:tcPr>
          <w:p>
            <w:pPr>
              <w:ind w:left="180"/>
              <w:spacing w:after="0" w:line="183" w:lineRule="exact"/>
              <w:rPr>
                <w:sz w:val="20"/>
                <w:szCs w:val="20"/>
                <w:color w:val="auto"/>
              </w:rPr>
            </w:pPr>
            <w:r>
              <w:rPr>
                <w:rFonts w:ascii="Arial" w:cs="Arial" w:eastAsia="Arial" w:hAnsi="Arial"/>
                <w:sz w:val="18"/>
                <w:szCs w:val="18"/>
                <w:b w:val="1"/>
                <w:bCs w:val="1"/>
                <w:color w:val="auto"/>
              </w:rPr>
              <w:t>(excludes securities</w:t>
            </w:r>
          </w:p>
        </w:tc>
        <w:tc>
          <w:tcPr>
            <w:tcW w:w="0" w:type="dxa"/>
            <w:vAlign w:val="bottom"/>
          </w:tcPr>
          <w:p>
            <w:pPr>
              <w:spacing w:after="0"/>
              <w:rPr>
                <w:sz w:val="1"/>
                <w:szCs w:val="1"/>
                <w:color w:val="auto"/>
              </w:rPr>
            </w:pPr>
          </w:p>
        </w:tc>
      </w:tr>
      <w:tr>
        <w:trPr>
          <w:trHeight w:val="247"/>
        </w:trPr>
        <w:tc>
          <w:tcPr>
            <w:tcW w:w="17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80" w:type="dxa"/>
            <w:vAlign w:val="bottom"/>
          </w:tcPr>
          <w:p>
            <w:pPr>
              <w:ind w:left="180"/>
              <w:spacing w:after="0"/>
              <w:rPr>
                <w:sz w:val="20"/>
                <w:szCs w:val="20"/>
                <w:color w:val="auto"/>
              </w:rPr>
            </w:pPr>
            <w:r>
              <w:rPr>
                <w:rFonts w:ascii="Arial" w:cs="Arial" w:eastAsia="Arial" w:hAnsi="Arial"/>
                <w:sz w:val="18"/>
                <w:szCs w:val="18"/>
                <w:b w:val="1"/>
                <w:bCs w:val="1"/>
                <w:color w:val="auto"/>
                <w:w w:val="99"/>
              </w:rPr>
              <w:t>reflected in first column)</w:t>
            </w:r>
          </w:p>
        </w:tc>
        <w:tc>
          <w:tcPr>
            <w:tcW w:w="0" w:type="dxa"/>
            <w:vAlign w:val="bottom"/>
          </w:tcPr>
          <w:p>
            <w:pPr>
              <w:spacing w:after="0"/>
              <w:rPr>
                <w:sz w:val="1"/>
                <w:szCs w:val="1"/>
                <w:color w:val="auto"/>
              </w:rPr>
            </w:pPr>
          </w:p>
        </w:tc>
      </w:tr>
      <w:tr>
        <w:trPr>
          <w:trHeight w:val="752"/>
        </w:trPr>
        <w:tc>
          <w:tcPr>
            <w:tcW w:w="1720" w:type="dxa"/>
            <w:vAlign w:val="bottom"/>
          </w:tcPr>
          <w:p>
            <w:pPr>
              <w:spacing w:after="0"/>
              <w:rPr>
                <w:sz w:val="20"/>
                <w:szCs w:val="20"/>
                <w:color w:val="auto"/>
              </w:rPr>
            </w:pPr>
            <w:r>
              <w:rPr>
                <w:rFonts w:ascii="Arial" w:cs="Arial" w:eastAsia="Arial" w:hAnsi="Arial"/>
                <w:sz w:val="18"/>
                <w:szCs w:val="18"/>
                <w:b w:val="1"/>
                <w:bCs w:val="1"/>
                <w:color w:val="auto"/>
              </w:rPr>
              <w:t>Plan Category:</w:t>
            </w:r>
          </w:p>
        </w:tc>
        <w:tc>
          <w:tcPr>
            <w:tcW w:w="19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280" w:type="dxa"/>
            <w:vAlign w:val="bottom"/>
            <w:vMerge w:val="restart"/>
          </w:tcPr>
          <w:p>
            <w:pPr>
              <w:ind w:left="900"/>
              <w:spacing w:after="0"/>
              <w:rPr>
                <w:sz w:val="20"/>
                <w:szCs w:val="20"/>
                <w:color w:val="auto"/>
              </w:rPr>
            </w:pPr>
            <w:r>
              <w:rPr>
                <w:rFonts w:ascii="Arial" w:cs="Arial" w:eastAsia="Arial" w:hAnsi="Arial"/>
                <w:sz w:val="18"/>
                <w:szCs w:val="18"/>
                <w:color w:val="auto"/>
              </w:rPr>
              <w:t>5,913,392</w:t>
            </w:r>
            <w:r>
              <w:rPr>
                <w:rFonts w:ascii="Arial" w:cs="Arial" w:eastAsia="Arial" w:hAnsi="Arial"/>
                <w:sz w:val="23"/>
                <w:szCs w:val="23"/>
                <w:color w:val="auto"/>
                <w:vertAlign w:val="superscript"/>
              </w:rPr>
              <w:t>(2)</w:t>
            </w:r>
          </w:p>
        </w:tc>
        <w:tc>
          <w:tcPr>
            <w:tcW w:w="0" w:type="dxa"/>
            <w:vAlign w:val="bottom"/>
          </w:tcPr>
          <w:p>
            <w:pPr>
              <w:spacing w:after="0"/>
              <w:rPr>
                <w:sz w:val="1"/>
                <w:szCs w:val="1"/>
                <w:color w:val="auto"/>
              </w:rPr>
            </w:pPr>
          </w:p>
        </w:tc>
      </w:tr>
      <w:tr>
        <w:trPr>
          <w:trHeight w:val="181"/>
        </w:trPr>
        <w:tc>
          <w:tcPr>
            <w:tcW w:w="1720" w:type="dxa"/>
            <w:vAlign w:val="bottom"/>
          </w:tcPr>
          <w:p>
            <w:pPr>
              <w:spacing w:after="0" w:line="181" w:lineRule="exact"/>
              <w:rPr>
                <w:sz w:val="20"/>
                <w:szCs w:val="20"/>
                <w:color w:val="auto"/>
              </w:rPr>
            </w:pPr>
            <w:r>
              <w:rPr>
                <w:rFonts w:ascii="Arial" w:cs="Arial" w:eastAsia="Arial" w:hAnsi="Arial"/>
                <w:sz w:val="18"/>
                <w:szCs w:val="18"/>
                <w:b w:val="1"/>
                <w:bCs w:val="1"/>
                <w:color w:val="auto"/>
              </w:rPr>
              <w:t>Equity</w:t>
            </w: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line="183" w:lineRule="exact"/>
              <w:rPr>
                <w:sz w:val="20"/>
                <w:szCs w:val="20"/>
                <w:color w:val="auto"/>
              </w:rPr>
            </w:pPr>
            <w:r>
              <w:rPr>
                <w:rFonts w:ascii="Arial" w:cs="Arial" w:eastAsia="Arial" w:hAnsi="Arial"/>
                <w:sz w:val="18"/>
                <w:szCs w:val="18"/>
                <w:b w:val="1"/>
                <w:bCs w:val="1"/>
                <w:color w:val="auto"/>
              </w:rPr>
              <w:t>compensation</w:t>
            </w: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line="181" w:lineRule="exact"/>
              <w:rPr>
                <w:sz w:val="20"/>
                <w:szCs w:val="20"/>
                <w:color w:val="auto"/>
              </w:rPr>
            </w:pPr>
            <w:r>
              <w:rPr>
                <w:rFonts w:ascii="Arial" w:cs="Arial" w:eastAsia="Arial" w:hAnsi="Arial"/>
                <w:sz w:val="18"/>
                <w:szCs w:val="18"/>
                <w:b w:val="1"/>
                <w:bCs w:val="1"/>
                <w:color w:val="auto"/>
              </w:rPr>
              <w:t>plans approved by</w:t>
            </w: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line="224" w:lineRule="exact"/>
              <w:rPr>
                <w:sz w:val="20"/>
                <w:szCs w:val="20"/>
                <w:color w:val="auto"/>
              </w:rPr>
            </w:pPr>
            <w:r>
              <w:rPr>
                <w:rFonts w:ascii="Arial" w:cs="Arial" w:eastAsia="Arial" w:hAnsi="Arial"/>
                <w:sz w:val="18"/>
                <w:szCs w:val="18"/>
                <w:b w:val="1"/>
                <w:bCs w:val="1"/>
                <w:color w:val="auto"/>
              </w:rPr>
              <w:t>security holders:</w:t>
            </w:r>
            <w:r>
              <w:rPr>
                <w:rFonts w:ascii="Arial" w:cs="Arial" w:eastAsia="Arial" w:hAnsi="Arial"/>
                <w:sz w:val="23"/>
                <w:szCs w:val="23"/>
                <w:b w:val="1"/>
                <w:bCs w:val="1"/>
                <w:color w:val="auto"/>
                <w:vertAlign w:val="superscript"/>
              </w:rPr>
              <w:t>(1)</w:t>
            </w:r>
          </w:p>
        </w:tc>
        <w:tc>
          <w:tcPr>
            <w:tcW w:w="1940" w:type="dxa"/>
            <w:vAlign w:val="bottom"/>
            <w:vMerge w:val="restart"/>
          </w:tcPr>
          <w:p>
            <w:pPr>
              <w:jc w:val="center"/>
              <w:ind w:right="370"/>
              <w:spacing w:after="0"/>
              <w:rPr>
                <w:sz w:val="20"/>
                <w:szCs w:val="20"/>
                <w:color w:val="auto"/>
              </w:rPr>
            </w:pPr>
            <w:r>
              <w:rPr>
                <w:rFonts w:ascii="Arial" w:cs="Arial" w:eastAsia="Arial" w:hAnsi="Arial"/>
                <w:sz w:val="18"/>
                <w:szCs w:val="18"/>
                <w:color w:val="auto"/>
              </w:rPr>
              <w:t>3,611,467</w:t>
            </w:r>
            <w:r>
              <w:rPr>
                <w:rFonts w:ascii="Arial" w:cs="Arial" w:eastAsia="Arial" w:hAnsi="Arial"/>
                <w:sz w:val="23"/>
                <w:szCs w:val="23"/>
                <w:color w:val="auto"/>
                <w:vertAlign w:val="superscript"/>
              </w:rPr>
              <w:t>(3)</w:t>
            </w:r>
          </w:p>
        </w:tc>
        <w:tc>
          <w:tcPr>
            <w:tcW w:w="2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line="181" w:lineRule="exact"/>
              <w:rPr>
                <w:sz w:val="20"/>
                <w:szCs w:val="20"/>
                <w:color w:val="auto"/>
              </w:rPr>
            </w:pPr>
            <w:r>
              <w:rPr>
                <w:rFonts w:ascii="Arial" w:cs="Arial" w:eastAsia="Arial" w:hAnsi="Arial"/>
                <w:sz w:val="18"/>
                <w:szCs w:val="18"/>
                <w:color w:val="auto"/>
              </w:rPr>
              <w:t>Restricted Stock</w:t>
            </w:r>
          </w:p>
        </w:tc>
        <w:tc>
          <w:tcPr>
            <w:tcW w:w="1940" w:type="dxa"/>
            <w:vAlign w:val="bottom"/>
            <w:vMerge w:val="continue"/>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line="183" w:lineRule="exact"/>
              <w:rPr>
                <w:sz w:val="20"/>
                <w:szCs w:val="20"/>
                <w:color w:val="auto"/>
              </w:rPr>
            </w:pPr>
            <w:r>
              <w:rPr>
                <w:rFonts w:ascii="Arial" w:cs="Arial" w:eastAsia="Arial" w:hAnsi="Arial"/>
                <w:sz w:val="18"/>
                <w:szCs w:val="18"/>
                <w:color w:val="auto"/>
              </w:rPr>
              <w:t>Units (Class A</w:t>
            </w: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Common Stock)</w:t>
            </w:r>
          </w:p>
        </w:tc>
        <w:tc>
          <w:tcPr>
            <w:tcW w:w="1940" w:type="dxa"/>
            <w:vAlign w:val="bottom"/>
            <w:vMerge w:val="restart"/>
          </w:tcPr>
          <w:p>
            <w:pPr>
              <w:jc w:val="center"/>
              <w:ind w:right="430"/>
              <w:spacing w:after="0"/>
              <w:rPr>
                <w:sz w:val="20"/>
                <w:szCs w:val="20"/>
                <w:color w:val="auto"/>
              </w:rPr>
            </w:pPr>
            <w:r>
              <w:rPr>
                <w:rFonts w:ascii="Arial" w:cs="Arial" w:eastAsia="Arial" w:hAnsi="Arial"/>
                <w:sz w:val="18"/>
                <w:szCs w:val="18"/>
                <w:color w:val="auto"/>
              </w:rPr>
              <w:t>656,821</w:t>
            </w:r>
            <w:r>
              <w:rPr>
                <w:rFonts w:ascii="Arial" w:cs="Arial" w:eastAsia="Arial" w:hAnsi="Arial"/>
                <w:sz w:val="23"/>
                <w:szCs w:val="23"/>
                <w:color w:val="auto"/>
                <w:vertAlign w:val="superscript"/>
              </w:rPr>
              <w:t>(4)</w:t>
            </w:r>
          </w:p>
        </w:tc>
        <w:tc>
          <w:tcPr>
            <w:tcW w:w="2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line="181" w:lineRule="exact"/>
              <w:rPr>
                <w:sz w:val="20"/>
                <w:szCs w:val="20"/>
                <w:color w:val="auto"/>
              </w:rPr>
            </w:pPr>
            <w:r>
              <w:rPr>
                <w:rFonts w:ascii="Arial" w:cs="Arial" w:eastAsia="Arial" w:hAnsi="Arial"/>
                <w:sz w:val="18"/>
                <w:szCs w:val="18"/>
                <w:color w:val="auto"/>
              </w:rPr>
              <w:t>Options to Purchase</w:t>
            </w:r>
          </w:p>
        </w:tc>
        <w:tc>
          <w:tcPr>
            <w:tcW w:w="1940" w:type="dxa"/>
            <w:vAlign w:val="bottom"/>
            <w:vMerge w:val="continue"/>
          </w:tcPr>
          <w:p>
            <w:pPr>
              <w:spacing w:after="0"/>
              <w:rPr>
                <w:sz w:val="15"/>
                <w:szCs w:val="15"/>
                <w:color w:val="auto"/>
              </w:rPr>
            </w:pPr>
          </w:p>
        </w:tc>
        <w:tc>
          <w:tcPr>
            <w:tcW w:w="2080" w:type="dxa"/>
            <w:vAlign w:val="bottom"/>
          </w:tcPr>
          <w:p>
            <w:pPr>
              <w:ind w:left="860"/>
              <w:spacing w:after="0" w:line="181" w:lineRule="exact"/>
              <w:rPr>
                <w:sz w:val="20"/>
                <w:szCs w:val="20"/>
                <w:color w:val="auto"/>
              </w:rPr>
            </w:pPr>
            <w:r>
              <w:rPr>
                <w:rFonts w:ascii="Arial" w:cs="Arial" w:eastAsia="Arial" w:hAnsi="Arial"/>
                <w:sz w:val="18"/>
                <w:szCs w:val="18"/>
                <w:color w:val="auto"/>
              </w:rPr>
              <w:t>$12.00</w:t>
            </w: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line="183" w:lineRule="exact"/>
              <w:rPr>
                <w:sz w:val="20"/>
                <w:szCs w:val="20"/>
                <w:color w:val="auto"/>
              </w:rPr>
            </w:pPr>
            <w:r>
              <w:rPr>
                <w:rFonts w:ascii="Arial" w:cs="Arial" w:eastAsia="Arial" w:hAnsi="Arial"/>
                <w:sz w:val="18"/>
                <w:szCs w:val="18"/>
                <w:color w:val="auto"/>
              </w:rPr>
              <w:t>Class A Common</w:t>
            </w: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r>
              <w:rPr>
                <w:rFonts w:ascii="Arial" w:cs="Arial" w:eastAsia="Arial" w:hAnsi="Arial"/>
                <w:sz w:val="18"/>
                <w:szCs w:val="18"/>
                <w:color w:val="auto"/>
              </w:rPr>
              <w:t>Stock</w:t>
            </w:r>
          </w:p>
        </w:tc>
        <w:tc>
          <w:tcPr>
            <w:tcW w:w="194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line="181" w:lineRule="exact"/>
              <w:rPr>
                <w:sz w:val="20"/>
                <w:szCs w:val="20"/>
                <w:color w:val="auto"/>
              </w:rPr>
            </w:pPr>
            <w:r>
              <w:rPr>
                <w:rFonts w:ascii="Arial" w:cs="Arial" w:eastAsia="Arial" w:hAnsi="Arial"/>
                <w:sz w:val="18"/>
                <w:szCs w:val="18"/>
                <w:b w:val="1"/>
                <w:bCs w:val="1"/>
                <w:color w:val="auto"/>
              </w:rPr>
              <w:t>Equity</w:t>
            </w:r>
          </w:p>
        </w:tc>
        <w:tc>
          <w:tcPr>
            <w:tcW w:w="1940" w:type="dxa"/>
            <w:vAlign w:val="bottom"/>
          </w:tcPr>
          <w:p>
            <w:pPr>
              <w:ind w:left="40"/>
              <w:spacing w:after="0" w:line="181" w:lineRule="exact"/>
              <w:rPr>
                <w:sz w:val="20"/>
                <w:szCs w:val="20"/>
                <w:color w:val="auto"/>
              </w:rPr>
            </w:pPr>
            <w:r>
              <w:rPr>
                <w:rFonts w:ascii="Arial" w:cs="Arial" w:eastAsia="Arial" w:hAnsi="Arial"/>
                <w:sz w:val="18"/>
                <w:szCs w:val="18"/>
                <w:color w:val="auto"/>
              </w:rPr>
              <w:t>__</w:t>
            </w:r>
          </w:p>
        </w:tc>
        <w:tc>
          <w:tcPr>
            <w:tcW w:w="2080" w:type="dxa"/>
            <w:vAlign w:val="bottom"/>
          </w:tcPr>
          <w:p>
            <w:pPr>
              <w:ind w:left="60"/>
              <w:spacing w:after="0" w:line="181" w:lineRule="exact"/>
              <w:rPr>
                <w:sz w:val="20"/>
                <w:szCs w:val="20"/>
                <w:color w:val="auto"/>
              </w:rPr>
            </w:pPr>
            <w:r>
              <w:rPr>
                <w:rFonts w:ascii="Arial" w:cs="Arial" w:eastAsia="Arial" w:hAnsi="Arial"/>
                <w:sz w:val="18"/>
                <w:szCs w:val="18"/>
                <w:color w:val="auto"/>
              </w:rPr>
              <w:t>__</w:t>
            </w:r>
          </w:p>
        </w:tc>
        <w:tc>
          <w:tcPr>
            <w:tcW w:w="2280" w:type="dxa"/>
            <w:vAlign w:val="bottom"/>
          </w:tcPr>
          <w:p>
            <w:pPr>
              <w:ind w:left="180"/>
              <w:spacing w:after="0" w:line="181" w:lineRule="exact"/>
              <w:rPr>
                <w:sz w:val="20"/>
                <w:szCs w:val="20"/>
                <w:color w:val="auto"/>
              </w:rPr>
            </w:pPr>
            <w:r>
              <w:rPr>
                <w:rFonts w:ascii="Arial" w:cs="Arial" w:eastAsia="Arial" w:hAnsi="Arial"/>
                <w:sz w:val="18"/>
                <w:szCs w:val="18"/>
                <w:color w:val="auto"/>
              </w:rPr>
              <w:t>__</w:t>
            </w:r>
          </w:p>
        </w:tc>
        <w:tc>
          <w:tcPr>
            <w:tcW w:w="0" w:type="dxa"/>
            <w:vAlign w:val="bottom"/>
          </w:tcPr>
          <w:p>
            <w:pPr>
              <w:spacing w:after="0"/>
              <w:rPr>
                <w:sz w:val="1"/>
                <w:szCs w:val="1"/>
                <w:color w:val="auto"/>
              </w:rPr>
            </w:pPr>
          </w:p>
        </w:tc>
      </w:tr>
      <w:tr>
        <w:trPr>
          <w:trHeight w:val="184"/>
        </w:trPr>
        <w:tc>
          <w:tcPr>
            <w:tcW w:w="1720" w:type="dxa"/>
            <w:vAlign w:val="bottom"/>
          </w:tcPr>
          <w:p>
            <w:pPr>
              <w:spacing w:after="0" w:line="183" w:lineRule="exact"/>
              <w:rPr>
                <w:sz w:val="20"/>
                <w:szCs w:val="20"/>
                <w:color w:val="auto"/>
              </w:rPr>
            </w:pPr>
            <w:r>
              <w:rPr>
                <w:rFonts w:ascii="Arial" w:cs="Arial" w:eastAsia="Arial" w:hAnsi="Arial"/>
                <w:sz w:val="18"/>
                <w:szCs w:val="18"/>
                <w:b w:val="1"/>
                <w:bCs w:val="1"/>
                <w:color w:val="auto"/>
              </w:rPr>
              <w:t>compensation</w:t>
            </w: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1720" w:type="dxa"/>
            <w:vAlign w:val="bottom"/>
          </w:tcPr>
          <w:p>
            <w:pPr>
              <w:spacing w:after="0" w:line="181" w:lineRule="exact"/>
              <w:rPr>
                <w:sz w:val="20"/>
                <w:szCs w:val="20"/>
                <w:color w:val="auto"/>
              </w:rPr>
            </w:pPr>
            <w:r>
              <w:rPr>
                <w:rFonts w:ascii="Arial" w:cs="Arial" w:eastAsia="Arial" w:hAnsi="Arial"/>
                <w:sz w:val="18"/>
                <w:szCs w:val="18"/>
                <w:b w:val="1"/>
                <w:bCs w:val="1"/>
                <w:color w:val="auto"/>
              </w:rPr>
              <w:t>plans not approved</w:t>
            </w:r>
          </w:p>
        </w:tc>
        <w:tc>
          <w:tcPr>
            <w:tcW w:w="19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7"/>
        </w:trPr>
        <w:tc>
          <w:tcPr>
            <w:tcW w:w="1720" w:type="dxa"/>
            <w:vAlign w:val="bottom"/>
          </w:tcPr>
          <w:p>
            <w:pPr>
              <w:spacing w:after="0"/>
              <w:rPr>
                <w:sz w:val="20"/>
                <w:szCs w:val="20"/>
                <w:color w:val="auto"/>
              </w:rPr>
            </w:pPr>
            <w:r>
              <w:rPr>
                <w:rFonts w:ascii="Arial" w:cs="Arial" w:eastAsia="Arial" w:hAnsi="Arial"/>
                <w:sz w:val="18"/>
                <w:szCs w:val="18"/>
                <w:b w:val="1"/>
                <w:bCs w:val="1"/>
                <w:color w:val="auto"/>
              </w:rPr>
              <w:t>by security holders</w:t>
            </w:r>
          </w:p>
        </w:tc>
        <w:tc>
          <w:tcPr>
            <w:tcW w:w="194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2" w:lineRule="exact"/>
        <w:rPr>
          <w:sz w:val="20"/>
          <w:szCs w:val="20"/>
          <w:color w:val="auto"/>
        </w:rPr>
      </w:pPr>
    </w:p>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Consists of the the Company’s 2021 Incentive Awards Plan (the “2021 Plan”) and the Company’s 2021 Employee Stock Purchase Plan (the “ESPP”).</w:t>
      </w:r>
    </w:p>
    <w:p>
      <w:pPr>
        <w:spacing w:after="0" w:line="43" w:lineRule="exact"/>
        <w:rPr>
          <w:sz w:val="20"/>
          <w:szCs w:val="20"/>
          <w:color w:val="auto"/>
        </w:rPr>
      </w:pPr>
    </w:p>
    <w:p>
      <w:pPr>
        <w:jc w:val="both"/>
        <w:ind w:right="280"/>
        <w:spacing w:after="0" w:line="242" w:lineRule="auto"/>
        <w:rPr>
          <w:sz w:val="20"/>
          <w:szCs w:val="20"/>
          <w:color w:val="auto"/>
        </w:rPr>
      </w:pPr>
      <w:r>
        <w:rPr>
          <w:rFonts w:ascii="Arial" w:cs="Arial" w:eastAsia="Arial" w:hAnsi="Arial"/>
          <w:sz w:val="18"/>
          <w:szCs w:val="18"/>
          <w:color w:val="auto"/>
          <w:vertAlign w:val="superscript"/>
        </w:rPr>
        <w:t>2</w:t>
      </w:r>
      <w:r>
        <w:rPr>
          <w:rFonts w:ascii="Arial" w:cs="Arial" w:eastAsia="Arial" w:hAnsi="Arial"/>
          <w:sz w:val="14"/>
          <w:szCs w:val="14"/>
          <w:color w:val="auto"/>
        </w:rPr>
        <w:t>The number of shares authorized under our 2021 Plan will increase on the first day of each calendar year beginning on January 1, 2022 and ending on and including January 1, 2031, equal to the lesser of (A) 5% of the shares of Class A common stock outstanding as of the last day of the immediately preceding fiscal year and (B) such lesser number of shares as determined by the Board or the Compensation Committee. The number of shares authorized under the ESPP will increase on the first day of each calendar year beginning on January 1, 2022 and ending on and including January 1, 2031, equal to the lesser of</w:t>
      </w:r>
    </w:p>
    <w:p>
      <w:pPr>
        <w:spacing w:after="0" w:line="3" w:lineRule="exact"/>
        <w:rPr>
          <w:sz w:val="20"/>
          <w:szCs w:val="20"/>
          <w:color w:val="auto"/>
        </w:rPr>
      </w:pPr>
    </w:p>
    <w:p>
      <w:pPr>
        <w:jc w:val="both"/>
        <w:ind w:right="280" w:firstLine="8"/>
        <w:spacing w:after="0" w:line="262" w:lineRule="auto"/>
        <w:tabs>
          <w:tab w:leader="none" w:pos="234" w:val="left"/>
        </w:tabs>
        <w:numPr>
          <w:ilvl w:val="0"/>
          <w:numId w:val="18"/>
        </w:numPr>
        <w:rPr>
          <w:rFonts w:ascii="Arial" w:cs="Arial" w:eastAsia="Arial" w:hAnsi="Arial"/>
          <w:sz w:val="14"/>
          <w:szCs w:val="14"/>
          <w:color w:val="auto"/>
        </w:rPr>
      </w:pPr>
      <w:r>
        <w:rPr>
          <w:rFonts w:ascii="Arial" w:cs="Arial" w:eastAsia="Arial" w:hAnsi="Arial"/>
          <w:sz w:val="14"/>
          <w:szCs w:val="14"/>
          <w:color w:val="auto"/>
        </w:rPr>
        <w:t>1% of the shares of Class A Common Stock outstanding as of the last day of the immediately preceding fiscal year and (B) such lesser number of shares as determined by the Board or the Compensation Committee, provided however, no more than 15,830,883 shares of Class A common stock may be issued under the ESPP.</w:t>
      </w:r>
    </w:p>
    <w:p>
      <w:pPr>
        <w:spacing w:after="0" w:line="50" w:lineRule="exact"/>
        <w:rPr>
          <w:sz w:val="20"/>
          <w:szCs w:val="20"/>
          <w:color w:val="auto"/>
        </w:rPr>
      </w:pPr>
    </w:p>
    <w:p>
      <w:pPr>
        <w:ind w:right="280"/>
        <w:spacing w:after="0" w:line="232" w:lineRule="auto"/>
        <w:rPr>
          <w:sz w:val="20"/>
          <w:szCs w:val="20"/>
          <w:color w:val="auto"/>
        </w:rPr>
      </w:pPr>
      <w:r>
        <w:rPr>
          <w:rFonts w:ascii="Arial" w:cs="Arial" w:eastAsia="Arial" w:hAnsi="Arial"/>
          <w:sz w:val="18"/>
          <w:szCs w:val="18"/>
          <w:color w:val="auto"/>
          <w:vertAlign w:val="superscript"/>
        </w:rPr>
        <w:t>3</w:t>
      </w:r>
      <w:r>
        <w:rPr>
          <w:rFonts w:ascii="Arial" w:cs="Arial" w:eastAsia="Arial" w:hAnsi="Arial"/>
          <w:sz w:val="14"/>
          <w:szCs w:val="14"/>
          <w:color w:val="auto"/>
        </w:rPr>
        <w:t>Consists of outstanding restricted stock units under the 2021 Plan. Each restricted stock unit constitutes the right to be issued one share of Class A common stock after vesting.</w:t>
      </w:r>
    </w:p>
    <w:p>
      <w:pPr>
        <w:spacing w:after="0"/>
        <w:rPr>
          <w:sz w:val="20"/>
          <w:szCs w:val="20"/>
          <w:color w:val="auto"/>
        </w:rPr>
      </w:pPr>
      <w:r>
        <w:rPr>
          <w:rFonts w:ascii="Arial" w:cs="Arial" w:eastAsia="Arial" w:hAnsi="Arial"/>
          <w:sz w:val="18"/>
          <w:szCs w:val="18"/>
          <w:color w:val="auto"/>
          <w:vertAlign w:val="superscript"/>
        </w:rPr>
        <w:t>4</w:t>
      </w:r>
      <w:r>
        <w:rPr>
          <w:rFonts w:ascii="Arial" w:cs="Arial" w:eastAsia="Arial" w:hAnsi="Arial"/>
          <w:sz w:val="14"/>
          <w:szCs w:val="14"/>
          <w:color w:val="auto"/>
        </w:rPr>
        <w:t>Consists of outstanding options to purchase Class A common stock under the 2021 Plan</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320" w:top="1020" w:right="127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0094FF"/>
        </w:rPr>
        <w:t>BOARD COMPENSATION</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 Director Compensation Table</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The following table sets forth information for 2025 regarding the compensation awarded to, earned by or paid to our non-employee directors who served on our board of directors during 2025. Ms. Gerstein who serves as our Chief Executive Officer and Mr. Grossberg who serves as our Executive Chairman do not receive additional compensation for their service as directors, and therefore are not included in the Director Compensation table below. All compensation paid to Ms. Gerstein is reported above in the “Summary Compensation Table.”</w:t>
      </w:r>
    </w:p>
    <w:p>
      <w:pPr>
        <w:spacing w:after="0" w:line="229" w:lineRule="exact"/>
        <w:rPr>
          <w:sz w:val="20"/>
          <w:szCs w:val="20"/>
          <w:color w:val="auto"/>
        </w:rPr>
      </w:pPr>
    </w:p>
    <w:tbl>
      <w:tblPr>
        <w:tblLayout w:type="fixed"/>
        <w:tblInd w:w="670" w:type="dxa"/>
        <w:tblCellMar>
          <w:top w:w="0" w:type="dxa"/>
          <w:left w:w="0" w:type="dxa"/>
          <w:bottom w:w="0" w:type="dxa"/>
          <w:right w:w="0" w:type="dxa"/>
        </w:tblCellMar>
      </w:tblPr>
      <w:tr>
        <w:trPr>
          <w:trHeight w:val="206"/>
        </w:trPr>
        <w:tc>
          <w:tcPr>
            <w:tcW w:w="2040" w:type="dxa"/>
            <w:vAlign w:val="bottom"/>
            <w:tcBorders>
              <w:top w:val="single" w:sz="8" w:color="auto"/>
              <w:left w:val="single" w:sz="8" w:color="auto"/>
            </w:tcBorders>
            <w:shd w:val="clear" w:color="auto" w:fill="CCEEFF"/>
          </w:tcPr>
          <w:p>
            <w:pPr>
              <w:ind w:left="920"/>
              <w:spacing w:after="0" w:line="206" w:lineRule="exact"/>
              <w:rPr>
                <w:sz w:val="20"/>
                <w:szCs w:val="20"/>
                <w:color w:val="auto"/>
              </w:rPr>
            </w:pPr>
            <w:r>
              <w:rPr>
                <w:rFonts w:ascii="Arial" w:cs="Arial" w:eastAsia="Arial" w:hAnsi="Arial"/>
                <w:sz w:val="20"/>
                <w:szCs w:val="20"/>
                <w:b w:val="1"/>
                <w:bCs w:val="1"/>
                <w:color w:val="auto"/>
              </w:rPr>
              <w:t>Name</w:t>
            </w:r>
          </w:p>
        </w:tc>
        <w:tc>
          <w:tcPr>
            <w:tcW w:w="2480" w:type="dxa"/>
            <w:vAlign w:val="bottom"/>
            <w:tcBorders>
              <w:top w:val="single" w:sz="8" w:color="auto"/>
            </w:tcBorders>
            <w:shd w:val="clear" w:color="auto" w:fill="CCEEFF"/>
          </w:tcPr>
          <w:p>
            <w:pPr>
              <w:jc w:val="center"/>
              <w:ind w:left="201"/>
              <w:spacing w:after="0" w:line="206" w:lineRule="exact"/>
              <w:rPr>
                <w:sz w:val="20"/>
                <w:szCs w:val="20"/>
                <w:color w:val="auto"/>
              </w:rPr>
            </w:pPr>
            <w:r>
              <w:rPr>
                <w:rFonts w:ascii="Arial" w:cs="Arial" w:eastAsia="Arial" w:hAnsi="Arial"/>
                <w:sz w:val="20"/>
                <w:szCs w:val="20"/>
                <w:b w:val="1"/>
                <w:bCs w:val="1"/>
                <w:color w:val="auto"/>
                <w:w w:val="98"/>
              </w:rPr>
              <w:t>Fees Earned or Paid</w:t>
            </w:r>
          </w:p>
        </w:tc>
        <w:tc>
          <w:tcPr>
            <w:tcW w:w="2120" w:type="dxa"/>
            <w:vAlign w:val="bottom"/>
            <w:tcBorders>
              <w:top w:val="single" w:sz="8" w:color="auto"/>
            </w:tcBorders>
            <w:shd w:val="clear" w:color="auto" w:fill="CCEEFF"/>
          </w:tcPr>
          <w:p>
            <w:pPr>
              <w:ind w:left="120"/>
              <w:spacing w:after="0" w:line="205" w:lineRule="exact"/>
              <w:rPr>
                <w:sz w:val="20"/>
                <w:szCs w:val="20"/>
                <w:color w:val="auto"/>
              </w:rPr>
            </w:pPr>
            <w:r>
              <w:rPr>
                <w:rFonts w:ascii="Arial" w:cs="Arial" w:eastAsia="Arial" w:hAnsi="Arial"/>
                <w:sz w:val="18"/>
                <w:szCs w:val="18"/>
                <w:b w:val="1"/>
                <w:bCs w:val="1"/>
                <w:color w:val="auto"/>
              </w:rPr>
              <w:t>Stock Awards ($)</w:t>
            </w:r>
            <w:r>
              <w:rPr>
                <w:rFonts w:ascii="Arial" w:cs="Arial" w:eastAsia="Arial" w:hAnsi="Arial"/>
                <w:sz w:val="23"/>
                <w:szCs w:val="23"/>
                <w:b w:val="1"/>
                <w:bCs w:val="1"/>
                <w:color w:val="auto"/>
                <w:vertAlign w:val="superscript"/>
              </w:rPr>
              <w:t>(1)</w:t>
            </w:r>
          </w:p>
        </w:tc>
        <w:tc>
          <w:tcPr>
            <w:tcW w:w="1400" w:type="dxa"/>
            <w:vAlign w:val="bottom"/>
            <w:tcBorders>
              <w:top w:val="single" w:sz="8" w:color="auto"/>
              <w:right w:val="single" w:sz="8" w:color="auto"/>
            </w:tcBorders>
            <w:shd w:val="clear" w:color="auto" w:fill="CCEEFF"/>
          </w:tcPr>
          <w:p>
            <w:pPr>
              <w:ind w:left="260"/>
              <w:spacing w:after="0" w:line="206" w:lineRule="exact"/>
              <w:rPr>
                <w:sz w:val="20"/>
                <w:szCs w:val="20"/>
                <w:color w:val="auto"/>
              </w:rPr>
            </w:pPr>
            <w:r>
              <w:rPr>
                <w:rFonts w:ascii="Arial" w:cs="Arial" w:eastAsia="Arial" w:hAnsi="Arial"/>
                <w:sz w:val="20"/>
                <w:szCs w:val="20"/>
                <w:b w:val="1"/>
                <w:bCs w:val="1"/>
                <w:color w:val="auto"/>
              </w:rPr>
              <w:t>Total ($)</w:t>
            </w:r>
          </w:p>
        </w:tc>
      </w:tr>
      <w:tr>
        <w:trPr>
          <w:trHeight w:val="253"/>
        </w:trPr>
        <w:tc>
          <w:tcPr>
            <w:tcW w:w="2040" w:type="dxa"/>
            <w:vAlign w:val="bottom"/>
            <w:tcBorders>
              <w:left w:val="single" w:sz="8" w:color="auto"/>
            </w:tcBorders>
            <w:shd w:val="clear" w:color="auto" w:fill="CCEEFF"/>
          </w:tcPr>
          <w:p>
            <w:pPr>
              <w:spacing w:after="0"/>
              <w:rPr>
                <w:sz w:val="22"/>
                <w:szCs w:val="22"/>
                <w:color w:val="auto"/>
              </w:rPr>
            </w:pPr>
          </w:p>
        </w:tc>
        <w:tc>
          <w:tcPr>
            <w:tcW w:w="2480" w:type="dxa"/>
            <w:vAlign w:val="bottom"/>
            <w:shd w:val="clear" w:color="auto" w:fill="CCEEFF"/>
          </w:tcPr>
          <w:p>
            <w:pPr>
              <w:jc w:val="center"/>
              <w:ind w:left="221"/>
              <w:spacing w:after="0"/>
              <w:rPr>
                <w:sz w:val="20"/>
                <w:szCs w:val="20"/>
                <w:color w:val="auto"/>
              </w:rPr>
            </w:pPr>
            <w:r>
              <w:rPr>
                <w:rFonts w:ascii="Arial" w:cs="Arial" w:eastAsia="Arial" w:hAnsi="Arial"/>
                <w:sz w:val="20"/>
                <w:szCs w:val="20"/>
                <w:b w:val="1"/>
                <w:bCs w:val="1"/>
                <w:color w:val="auto"/>
                <w:w w:val="99"/>
              </w:rPr>
              <w:t>in Cash</w:t>
            </w:r>
          </w:p>
        </w:tc>
        <w:tc>
          <w:tcPr>
            <w:tcW w:w="2120" w:type="dxa"/>
            <w:vAlign w:val="bottom"/>
            <w:shd w:val="clear" w:color="auto" w:fill="CCEEFF"/>
          </w:tcPr>
          <w:p>
            <w:pPr>
              <w:spacing w:after="0"/>
              <w:rPr>
                <w:sz w:val="22"/>
                <w:szCs w:val="22"/>
                <w:color w:val="auto"/>
              </w:rPr>
            </w:pPr>
          </w:p>
        </w:tc>
        <w:tc>
          <w:tcPr>
            <w:tcW w:w="1400" w:type="dxa"/>
            <w:vAlign w:val="bottom"/>
            <w:tcBorders>
              <w:right w:val="single" w:sz="8" w:color="auto"/>
            </w:tcBorders>
            <w:shd w:val="clear" w:color="auto" w:fill="CCEEFF"/>
          </w:tcPr>
          <w:p>
            <w:pPr>
              <w:spacing w:after="0"/>
              <w:rPr>
                <w:sz w:val="22"/>
                <w:szCs w:val="22"/>
                <w:color w:val="auto"/>
              </w:rPr>
            </w:pPr>
          </w:p>
        </w:tc>
      </w:tr>
      <w:tr>
        <w:trPr>
          <w:trHeight w:val="257"/>
        </w:trPr>
        <w:tc>
          <w:tcPr>
            <w:tcW w:w="2040" w:type="dxa"/>
            <w:vAlign w:val="bottom"/>
            <w:tcBorders>
              <w:left w:val="single" w:sz="8" w:color="auto"/>
            </w:tcBorders>
          </w:tcPr>
          <w:p>
            <w:pPr>
              <w:ind w:left="20"/>
              <w:spacing w:after="0" w:line="257" w:lineRule="exact"/>
              <w:rPr>
                <w:sz w:val="20"/>
                <w:szCs w:val="20"/>
                <w:color w:val="auto"/>
              </w:rPr>
            </w:pPr>
            <w:r>
              <w:rPr>
                <w:rFonts w:ascii="Arial" w:cs="Arial" w:eastAsia="Arial" w:hAnsi="Arial"/>
                <w:sz w:val="20"/>
                <w:szCs w:val="20"/>
                <w:color w:val="auto"/>
              </w:rPr>
              <w:t>Ian M. Bickley</w:t>
            </w:r>
            <w:r>
              <w:rPr>
                <w:rFonts w:ascii="Arial" w:cs="Arial" w:eastAsia="Arial" w:hAnsi="Arial"/>
                <w:sz w:val="25"/>
                <w:szCs w:val="25"/>
                <w:color w:val="auto"/>
                <w:vertAlign w:val="superscript"/>
              </w:rPr>
              <w:t>(2)</w:t>
            </w:r>
          </w:p>
        </w:tc>
        <w:tc>
          <w:tcPr>
            <w:tcW w:w="2480" w:type="dxa"/>
            <w:vAlign w:val="bottom"/>
          </w:tcPr>
          <w:p>
            <w:pPr>
              <w:jc w:val="center"/>
              <w:ind w:left="221"/>
              <w:spacing w:after="0"/>
              <w:rPr>
                <w:sz w:val="20"/>
                <w:szCs w:val="20"/>
                <w:color w:val="auto"/>
              </w:rPr>
            </w:pPr>
            <w:r>
              <w:rPr>
                <w:rFonts w:ascii="Arial" w:cs="Arial" w:eastAsia="Arial" w:hAnsi="Arial"/>
                <w:sz w:val="20"/>
                <w:szCs w:val="20"/>
                <w:color w:val="auto"/>
                <w:w w:val="99"/>
              </w:rPr>
              <w:t>$58,000</w:t>
            </w:r>
          </w:p>
        </w:tc>
        <w:tc>
          <w:tcPr>
            <w:tcW w:w="2120" w:type="dxa"/>
            <w:vAlign w:val="bottom"/>
          </w:tcPr>
          <w:p>
            <w:pPr>
              <w:jc w:val="center"/>
              <w:ind w:right="2"/>
              <w:spacing w:after="0"/>
              <w:rPr>
                <w:sz w:val="20"/>
                <w:szCs w:val="20"/>
                <w:color w:val="auto"/>
              </w:rPr>
            </w:pPr>
            <w:r>
              <w:rPr>
                <w:rFonts w:ascii="Arial" w:cs="Arial" w:eastAsia="Arial" w:hAnsi="Arial"/>
                <w:sz w:val="20"/>
                <w:szCs w:val="20"/>
                <w:color w:val="auto"/>
                <w:w w:val="98"/>
              </w:rPr>
              <w:t>$130,410</w:t>
            </w:r>
          </w:p>
        </w:tc>
        <w:tc>
          <w:tcPr>
            <w:tcW w:w="140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color w:val="auto"/>
                <w:w w:val="98"/>
              </w:rPr>
              <w:t>$188,410</w:t>
            </w:r>
          </w:p>
        </w:tc>
      </w:tr>
      <w:tr>
        <w:trPr>
          <w:trHeight w:val="256"/>
        </w:trPr>
        <w:tc>
          <w:tcPr>
            <w:tcW w:w="20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Jennifer N. Harris</w:t>
            </w:r>
          </w:p>
        </w:tc>
        <w:tc>
          <w:tcPr>
            <w:tcW w:w="2480" w:type="dxa"/>
            <w:vAlign w:val="bottom"/>
            <w:shd w:val="clear" w:color="auto" w:fill="CCEEFF"/>
          </w:tcPr>
          <w:p>
            <w:pPr>
              <w:jc w:val="center"/>
              <w:ind w:left="221"/>
              <w:spacing w:after="0"/>
              <w:rPr>
                <w:sz w:val="20"/>
                <w:szCs w:val="20"/>
                <w:color w:val="auto"/>
              </w:rPr>
            </w:pPr>
            <w:r>
              <w:rPr>
                <w:rFonts w:ascii="Arial" w:cs="Arial" w:eastAsia="Arial" w:hAnsi="Arial"/>
                <w:sz w:val="20"/>
                <w:szCs w:val="20"/>
                <w:color w:val="auto"/>
                <w:w w:val="99"/>
              </w:rPr>
              <w:t>$70,000</w:t>
            </w:r>
          </w:p>
        </w:tc>
        <w:tc>
          <w:tcPr>
            <w:tcW w:w="212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w w:val="98"/>
              </w:rPr>
              <w:t>$130,410</w:t>
            </w:r>
          </w:p>
        </w:tc>
        <w:tc>
          <w:tcPr>
            <w:tcW w:w="1400" w:type="dxa"/>
            <w:vAlign w:val="bottom"/>
            <w:tcBorders>
              <w:right w:val="single" w:sz="8" w:color="auto"/>
            </w:tcBorders>
            <w:shd w:val="clear" w:color="auto" w:fill="CCEEFF"/>
          </w:tcPr>
          <w:p>
            <w:pPr>
              <w:jc w:val="center"/>
              <w:ind w:right="1"/>
              <w:spacing w:after="0"/>
              <w:rPr>
                <w:sz w:val="20"/>
                <w:szCs w:val="20"/>
                <w:color w:val="auto"/>
              </w:rPr>
            </w:pPr>
            <w:r>
              <w:rPr>
                <w:rFonts w:ascii="Arial" w:cs="Arial" w:eastAsia="Arial" w:hAnsi="Arial"/>
                <w:sz w:val="20"/>
                <w:szCs w:val="20"/>
                <w:color w:val="auto"/>
                <w:w w:val="98"/>
              </w:rPr>
              <w:t>$200,410</w:t>
            </w:r>
          </w:p>
        </w:tc>
      </w:tr>
      <w:tr>
        <w:trPr>
          <w:trHeight w:val="257"/>
        </w:trPr>
        <w:tc>
          <w:tcPr>
            <w:tcW w:w="2040" w:type="dxa"/>
            <w:vAlign w:val="bottom"/>
            <w:tcBorders>
              <w:left w:val="single" w:sz="8" w:color="auto"/>
            </w:tcBorders>
          </w:tcPr>
          <w:p>
            <w:pPr>
              <w:ind w:left="20"/>
              <w:spacing w:after="0"/>
              <w:rPr>
                <w:sz w:val="20"/>
                <w:szCs w:val="20"/>
                <w:color w:val="auto"/>
              </w:rPr>
            </w:pPr>
            <w:r>
              <w:rPr>
                <w:rFonts w:ascii="Arial" w:cs="Arial" w:eastAsia="Arial" w:hAnsi="Arial"/>
                <w:sz w:val="20"/>
                <w:szCs w:val="20"/>
                <w:color w:val="auto"/>
              </w:rPr>
              <w:t>Attica A. Jaques</w:t>
            </w:r>
          </w:p>
        </w:tc>
        <w:tc>
          <w:tcPr>
            <w:tcW w:w="2480" w:type="dxa"/>
            <w:vAlign w:val="bottom"/>
          </w:tcPr>
          <w:p>
            <w:pPr>
              <w:jc w:val="center"/>
              <w:ind w:left="221"/>
              <w:spacing w:after="0"/>
              <w:rPr>
                <w:sz w:val="20"/>
                <w:szCs w:val="20"/>
                <w:color w:val="auto"/>
              </w:rPr>
            </w:pPr>
            <w:r>
              <w:rPr>
                <w:rFonts w:ascii="Arial" w:cs="Arial" w:eastAsia="Arial" w:hAnsi="Arial"/>
                <w:sz w:val="20"/>
                <w:szCs w:val="20"/>
                <w:color w:val="auto"/>
                <w:w w:val="99"/>
              </w:rPr>
              <w:t>$50,000</w:t>
            </w:r>
          </w:p>
        </w:tc>
        <w:tc>
          <w:tcPr>
            <w:tcW w:w="2120" w:type="dxa"/>
            <w:vAlign w:val="bottom"/>
          </w:tcPr>
          <w:p>
            <w:pPr>
              <w:jc w:val="center"/>
              <w:ind w:right="2"/>
              <w:spacing w:after="0"/>
              <w:rPr>
                <w:sz w:val="20"/>
                <w:szCs w:val="20"/>
                <w:color w:val="auto"/>
              </w:rPr>
            </w:pPr>
            <w:r>
              <w:rPr>
                <w:rFonts w:ascii="Arial" w:cs="Arial" w:eastAsia="Arial" w:hAnsi="Arial"/>
                <w:sz w:val="20"/>
                <w:szCs w:val="20"/>
                <w:color w:val="auto"/>
                <w:w w:val="98"/>
              </w:rPr>
              <w:t>$130,410</w:t>
            </w:r>
          </w:p>
        </w:tc>
        <w:tc>
          <w:tcPr>
            <w:tcW w:w="1400" w:type="dxa"/>
            <w:vAlign w:val="bottom"/>
            <w:tcBorders>
              <w:right w:val="single" w:sz="8" w:color="auto"/>
            </w:tcBorders>
          </w:tcPr>
          <w:p>
            <w:pPr>
              <w:jc w:val="center"/>
              <w:ind w:right="1"/>
              <w:spacing w:after="0"/>
              <w:rPr>
                <w:sz w:val="20"/>
                <w:szCs w:val="20"/>
                <w:color w:val="auto"/>
              </w:rPr>
            </w:pPr>
            <w:r>
              <w:rPr>
                <w:rFonts w:ascii="Arial" w:cs="Arial" w:eastAsia="Arial" w:hAnsi="Arial"/>
                <w:sz w:val="20"/>
                <w:szCs w:val="20"/>
                <w:color w:val="auto"/>
                <w:w w:val="98"/>
              </w:rPr>
              <w:t>$180,410</w:t>
            </w:r>
          </w:p>
        </w:tc>
      </w:tr>
      <w:tr>
        <w:trPr>
          <w:trHeight w:val="257"/>
        </w:trPr>
        <w:tc>
          <w:tcPr>
            <w:tcW w:w="2040" w:type="dxa"/>
            <w:vAlign w:val="bottom"/>
            <w:tcBorders>
              <w:left w:val="single" w:sz="8" w:color="auto"/>
            </w:tcBorders>
            <w:shd w:val="clear" w:color="auto" w:fill="CCEEFF"/>
          </w:tcPr>
          <w:p>
            <w:pPr>
              <w:ind w:left="20"/>
              <w:spacing w:after="0"/>
              <w:rPr>
                <w:sz w:val="20"/>
                <w:szCs w:val="20"/>
                <w:color w:val="auto"/>
              </w:rPr>
            </w:pPr>
            <w:r>
              <w:rPr>
                <w:rFonts w:ascii="Arial" w:cs="Arial" w:eastAsia="Arial" w:hAnsi="Arial"/>
                <w:sz w:val="20"/>
                <w:szCs w:val="20"/>
                <w:color w:val="auto"/>
              </w:rPr>
              <w:t>Beth J. Kaplan</w:t>
            </w:r>
          </w:p>
        </w:tc>
        <w:tc>
          <w:tcPr>
            <w:tcW w:w="2480" w:type="dxa"/>
            <w:vAlign w:val="bottom"/>
            <w:shd w:val="clear" w:color="auto" w:fill="CCEEFF"/>
          </w:tcPr>
          <w:p>
            <w:pPr>
              <w:jc w:val="center"/>
              <w:ind w:left="221"/>
              <w:spacing w:after="0"/>
              <w:rPr>
                <w:sz w:val="20"/>
                <w:szCs w:val="20"/>
                <w:color w:val="auto"/>
              </w:rPr>
            </w:pPr>
            <w:r>
              <w:rPr>
                <w:rFonts w:ascii="Arial" w:cs="Arial" w:eastAsia="Arial" w:hAnsi="Arial"/>
                <w:sz w:val="20"/>
                <w:szCs w:val="20"/>
                <w:color w:val="auto"/>
                <w:w w:val="99"/>
              </w:rPr>
              <w:t>$64,000</w:t>
            </w:r>
          </w:p>
        </w:tc>
        <w:tc>
          <w:tcPr>
            <w:tcW w:w="2120" w:type="dxa"/>
            <w:vAlign w:val="bottom"/>
            <w:shd w:val="clear" w:color="auto" w:fill="CCEEFF"/>
          </w:tcPr>
          <w:p>
            <w:pPr>
              <w:jc w:val="center"/>
              <w:ind w:right="2"/>
              <w:spacing w:after="0"/>
              <w:rPr>
                <w:sz w:val="20"/>
                <w:szCs w:val="20"/>
                <w:color w:val="auto"/>
              </w:rPr>
            </w:pPr>
            <w:r>
              <w:rPr>
                <w:rFonts w:ascii="Arial" w:cs="Arial" w:eastAsia="Arial" w:hAnsi="Arial"/>
                <w:sz w:val="20"/>
                <w:szCs w:val="20"/>
                <w:color w:val="auto"/>
                <w:w w:val="98"/>
              </w:rPr>
              <w:t>$130,410</w:t>
            </w:r>
          </w:p>
        </w:tc>
        <w:tc>
          <w:tcPr>
            <w:tcW w:w="1400" w:type="dxa"/>
            <w:vAlign w:val="bottom"/>
            <w:tcBorders>
              <w:right w:val="single" w:sz="8" w:color="auto"/>
            </w:tcBorders>
            <w:shd w:val="clear" w:color="auto" w:fill="CCEEFF"/>
          </w:tcPr>
          <w:p>
            <w:pPr>
              <w:jc w:val="center"/>
              <w:ind w:right="1"/>
              <w:spacing w:after="0"/>
              <w:rPr>
                <w:sz w:val="20"/>
                <w:szCs w:val="20"/>
                <w:color w:val="auto"/>
              </w:rPr>
            </w:pPr>
            <w:r>
              <w:rPr>
                <w:rFonts w:ascii="Arial" w:cs="Arial" w:eastAsia="Arial" w:hAnsi="Arial"/>
                <w:sz w:val="20"/>
                <w:szCs w:val="20"/>
                <w:color w:val="auto"/>
                <w:w w:val="98"/>
              </w:rPr>
              <w:t>$194,410</w:t>
            </w:r>
          </w:p>
        </w:tc>
      </w:tr>
      <w:tr>
        <w:trPr>
          <w:trHeight w:val="257"/>
        </w:trPr>
        <w:tc>
          <w:tcPr>
            <w:tcW w:w="2040" w:type="dxa"/>
            <w:vAlign w:val="bottom"/>
            <w:tcBorders>
              <w:left w:val="single" w:sz="8" w:color="auto"/>
              <w:bottom w:val="single" w:sz="8" w:color="auto"/>
            </w:tcBorders>
          </w:tcPr>
          <w:p>
            <w:pPr>
              <w:ind w:left="20"/>
              <w:spacing w:after="0" w:line="257" w:lineRule="exact"/>
              <w:rPr>
                <w:sz w:val="20"/>
                <w:szCs w:val="20"/>
                <w:color w:val="auto"/>
              </w:rPr>
            </w:pPr>
            <w:r>
              <w:rPr>
                <w:rFonts w:ascii="Arial" w:cs="Arial" w:eastAsia="Arial" w:hAnsi="Arial"/>
                <w:sz w:val="20"/>
                <w:szCs w:val="20"/>
                <w:color w:val="auto"/>
              </w:rPr>
              <w:t>Gavin M. Turner</w:t>
            </w:r>
            <w:r>
              <w:rPr>
                <w:rFonts w:ascii="Arial" w:cs="Arial" w:eastAsia="Arial" w:hAnsi="Arial"/>
                <w:sz w:val="25"/>
                <w:szCs w:val="25"/>
                <w:color w:val="auto"/>
                <w:vertAlign w:val="superscript"/>
              </w:rPr>
              <w:t>(3)</w:t>
            </w:r>
          </w:p>
        </w:tc>
        <w:tc>
          <w:tcPr>
            <w:tcW w:w="2480" w:type="dxa"/>
            <w:vAlign w:val="bottom"/>
            <w:tcBorders>
              <w:bottom w:val="single" w:sz="8" w:color="auto"/>
            </w:tcBorders>
          </w:tcPr>
          <w:p>
            <w:pPr>
              <w:jc w:val="center"/>
              <w:ind w:left="201"/>
              <w:spacing w:after="0"/>
              <w:rPr>
                <w:sz w:val="20"/>
                <w:szCs w:val="20"/>
                <w:color w:val="auto"/>
              </w:rPr>
            </w:pPr>
            <w:r>
              <w:rPr>
                <w:rFonts w:ascii="Arial" w:cs="Arial" w:eastAsia="Arial" w:hAnsi="Arial"/>
                <w:sz w:val="20"/>
                <w:szCs w:val="20"/>
                <w:color w:val="auto"/>
                <w:w w:val="98"/>
              </w:rPr>
              <w:t>__</w:t>
            </w:r>
          </w:p>
        </w:tc>
        <w:tc>
          <w:tcPr>
            <w:tcW w:w="2120" w:type="dxa"/>
            <w:vAlign w:val="bottom"/>
            <w:tcBorders>
              <w:bottom w:val="single" w:sz="8" w:color="auto"/>
            </w:tcBorders>
          </w:tcPr>
          <w:p>
            <w:pPr>
              <w:jc w:val="center"/>
              <w:ind w:right="2"/>
              <w:spacing w:after="0"/>
              <w:rPr>
                <w:sz w:val="20"/>
                <w:szCs w:val="20"/>
                <w:color w:val="auto"/>
              </w:rPr>
            </w:pPr>
            <w:r>
              <w:rPr>
                <w:rFonts w:ascii="Arial" w:cs="Arial" w:eastAsia="Arial" w:hAnsi="Arial"/>
                <w:sz w:val="20"/>
                <w:szCs w:val="20"/>
                <w:color w:val="auto"/>
                <w:w w:val="98"/>
              </w:rPr>
              <w:t>__</w:t>
            </w:r>
          </w:p>
        </w:tc>
        <w:tc>
          <w:tcPr>
            <w:tcW w:w="1400" w:type="dxa"/>
            <w:vAlign w:val="bottom"/>
            <w:tcBorders>
              <w:bottom w:val="single" w:sz="8" w:color="auto"/>
              <w:right w:val="single" w:sz="8" w:color="auto"/>
            </w:tcBorders>
          </w:tcPr>
          <w:p>
            <w:pPr>
              <w:jc w:val="center"/>
              <w:ind w:right="1"/>
              <w:spacing w:after="0"/>
              <w:rPr>
                <w:sz w:val="20"/>
                <w:szCs w:val="20"/>
                <w:color w:val="auto"/>
              </w:rPr>
            </w:pPr>
            <w:r>
              <w:rPr>
                <w:rFonts w:ascii="Arial" w:cs="Arial" w:eastAsia="Arial" w:hAnsi="Arial"/>
                <w:sz w:val="20"/>
                <w:szCs w:val="20"/>
                <w:color w:val="auto"/>
                <w:w w:val="98"/>
              </w:rPr>
              <w:t>__</w:t>
            </w:r>
          </w:p>
        </w:tc>
      </w:tr>
    </w:tbl>
    <w:p>
      <w:pPr>
        <w:spacing w:after="0" w:line="117" w:lineRule="exact"/>
        <w:rPr>
          <w:sz w:val="20"/>
          <w:szCs w:val="20"/>
          <w:color w:val="auto"/>
        </w:rPr>
      </w:pPr>
    </w:p>
    <w:p>
      <w:pPr>
        <w:jc w:val="both"/>
        <w:ind w:left="20" w:right="40"/>
        <w:spacing w:after="0" w:line="207" w:lineRule="auto"/>
        <w:rPr>
          <w:sz w:val="20"/>
          <w:szCs w:val="20"/>
          <w:color w:val="auto"/>
        </w:rPr>
      </w:pPr>
      <w:r>
        <w:rPr>
          <w:rFonts w:ascii="Arial" w:cs="Arial" w:eastAsia="Arial" w:hAnsi="Arial"/>
          <w:sz w:val="15"/>
          <w:szCs w:val="15"/>
          <w:color w:val="auto"/>
          <w:vertAlign w:val="superscript"/>
        </w:rPr>
        <w:t>1</w:t>
      </w:r>
      <w:r>
        <w:rPr>
          <w:rFonts w:ascii="Arial" w:cs="Arial" w:eastAsia="Arial" w:hAnsi="Arial"/>
          <w:sz w:val="12"/>
          <w:szCs w:val="12"/>
          <w:color w:val="auto"/>
        </w:rPr>
        <w:t>Amounts reflect the aggregate grant date fair value of restricted stock units granted in 2025, computed in accordance with the provisions of ASC Topic 718, Stock Compensation. These amounts do not reflect the actual economic value that will be realized by the director upon the settlement of restricted stock units. The assumptions that we used to calculate these amounts are discussed in Note</w:t>
      </w:r>
    </w:p>
    <w:p>
      <w:pPr>
        <w:spacing w:after="0" w:line="1" w:lineRule="exact"/>
        <w:rPr>
          <w:sz w:val="20"/>
          <w:szCs w:val="20"/>
          <w:color w:val="auto"/>
        </w:rPr>
      </w:pPr>
    </w:p>
    <w:p>
      <w:pPr>
        <w:jc w:val="both"/>
        <w:ind w:left="20" w:right="40"/>
        <w:spacing w:after="0" w:line="212" w:lineRule="auto"/>
        <w:rPr>
          <w:sz w:val="20"/>
          <w:szCs w:val="20"/>
          <w:color w:val="auto"/>
        </w:rPr>
      </w:pPr>
      <w:r>
        <w:rPr>
          <w:rFonts w:ascii="Arial" w:cs="Arial" w:eastAsia="Arial" w:hAnsi="Arial"/>
          <w:sz w:val="13"/>
          <w:szCs w:val="13"/>
          <w:color w:val="auto"/>
        </w:rPr>
        <w:t>10, Equity-Based Compensation, to our audited consolidated financial statements for the fiscal year ended December 31, 2025 included in our Annual Report on Form 10-K. The table below shows the aggregate number of shares of our Class A common stock subject to outstanding option awards (exercisable and unexercisable), and restricted stock unit awards (unvested) held as of December 31, 2025 by each non- employee director.</w:t>
      </w:r>
    </w:p>
    <w:p>
      <w:pPr>
        <w:spacing w:after="0" w:line="130" w:lineRule="exact"/>
        <w:rPr>
          <w:sz w:val="20"/>
          <w:szCs w:val="20"/>
          <w:color w:val="auto"/>
        </w:rPr>
      </w:pPr>
    </w:p>
    <w:tbl>
      <w:tblPr>
        <w:tblLayout w:type="fixed"/>
        <w:tblInd w:w="670" w:type="dxa"/>
        <w:tblCellMar>
          <w:top w:w="0" w:type="dxa"/>
          <w:left w:w="0" w:type="dxa"/>
          <w:bottom w:w="0" w:type="dxa"/>
          <w:right w:w="0" w:type="dxa"/>
        </w:tblCellMar>
      </w:tblPr>
      <w:tr>
        <w:trPr>
          <w:trHeight w:val="257"/>
        </w:trPr>
        <w:tc>
          <w:tcPr>
            <w:tcW w:w="2360" w:type="dxa"/>
            <w:vAlign w:val="bottom"/>
            <w:tcBorders>
              <w:top w:val="single" w:sz="8" w:color="auto"/>
              <w:left w:val="single" w:sz="8" w:color="auto"/>
              <w:right w:val="single" w:sz="8" w:color="auto"/>
            </w:tcBorders>
            <w:vMerge w:val="restart"/>
            <w:shd w:val="clear" w:color="auto" w:fill="CCEEFF"/>
          </w:tcPr>
          <w:p>
            <w:pPr>
              <w:ind w:left="1000"/>
              <w:spacing w:after="0"/>
              <w:rPr>
                <w:sz w:val="20"/>
                <w:szCs w:val="20"/>
                <w:color w:val="auto"/>
              </w:rPr>
            </w:pPr>
            <w:r>
              <w:rPr>
                <w:rFonts w:ascii="Arial" w:cs="Arial" w:eastAsia="Arial" w:hAnsi="Arial"/>
                <w:sz w:val="13"/>
                <w:szCs w:val="13"/>
                <w:b w:val="1"/>
                <w:bCs w:val="1"/>
                <w:color w:val="auto"/>
              </w:rPr>
              <w:t>Name</w:t>
            </w:r>
          </w:p>
        </w:tc>
        <w:tc>
          <w:tcPr>
            <w:tcW w:w="274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7"/>
              </w:rPr>
              <w:t>Shares of Class A Common Stock</w:t>
            </w:r>
          </w:p>
        </w:tc>
        <w:tc>
          <w:tcPr>
            <w:tcW w:w="2080" w:type="dxa"/>
            <w:vAlign w:val="bottom"/>
            <w:tcBorders>
              <w:top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7"/>
              </w:rPr>
              <w:t>Unvested Restricted Stock Unit</w:t>
            </w:r>
          </w:p>
        </w:tc>
        <w:tc>
          <w:tcPr>
            <w:tcW w:w="0" w:type="dxa"/>
            <w:vAlign w:val="bottom"/>
          </w:tcPr>
          <w:p>
            <w:pPr>
              <w:spacing w:after="0"/>
              <w:rPr>
                <w:sz w:val="1"/>
                <w:szCs w:val="1"/>
                <w:color w:val="auto"/>
              </w:rPr>
            </w:pPr>
          </w:p>
        </w:tc>
      </w:tr>
      <w:tr>
        <w:trPr>
          <w:trHeight w:val="185"/>
        </w:trPr>
        <w:tc>
          <w:tcPr>
            <w:tcW w:w="2360" w:type="dxa"/>
            <w:vAlign w:val="bottom"/>
            <w:tcBorders>
              <w:left w:val="single" w:sz="8" w:color="auto"/>
              <w:bottom w:val="single" w:sz="8" w:color="auto"/>
              <w:right w:val="single" w:sz="8" w:color="auto"/>
            </w:tcBorders>
            <w:vMerge w:val="continue"/>
            <w:shd w:val="clear" w:color="auto" w:fill="CCEEFF"/>
          </w:tcPr>
          <w:p>
            <w:pPr>
              <w:spacing w:after="0"/>
              <w:rPr>
                <w:sz w:val="16"/>
                <w:szCs w:val="16"/>
                <w:color w:val="auto"/>
              </w:rPr>
            </w:pPr>
          </w:p>
        </w:tc>
        <w:tc>
          <w:tcPr>
            <w:tcW w:w="2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Underlying Options Outstanding at Year End</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Awards Outstanding at Year End</w:t>
            </w:r>
          </w:p>
        </w:tc>
        <w:tc>
          <w:tcPr>
            <w:tcW w:w="0" w:type="dxa"/>
            <w:vAlign w:val="bottom"/>
          </w:tcPr>
          <w:p>
            <w:pPr>
              <w:spacing w:after="0"/>
              <w:rPr>
                <w:sz w:val="1"/>
                <w:szCs w:val="1"/>
                <w:color w:val="auto"/>
              </w:rPr>
            </w:pPr>
          </w:p>
        </w:tc>
      </w:tr>
      <w:tr>
        <w:trPr>
          <w:trHeight w:val="173"/>
        </w:trPr>
        <w:tc>
          <w:tcPr>
            <w:tcW w:w="2360" w:type="dxa"/>
            <w:vAlign w:val="bottom"/>
            <w:tcBorders>
              <w:left w:val="single" w:sz="8" w:color="auto"/>
              <w:bottom w:val="single" w:sz="8" w:color="auto"/>
              <w:right w:val="single" w:sz="8" w:color="auto"/>
            </w:tcBorders>
          </w:tcPr>
          <w:p>
            <w:pPr>
              <w:ind w:left="20"/>
              <w:spacing w:after="0" w:line="173" w:lineRule="exact"/>
              <w:rPr>
                <w:sz w:val="20"/>
                <w:szCs w:val="20"/>
                <w:color w:val="auto"/>
              </w:rPr>
            </w:pPr>
            <w:r>
              <w:rPr>
                <w:rFonts w:ascii="Arial" w:cs="Arial" w:eastAsia="Arial" w:hAnsi="Arial"/>
                <w:sz w:val="13"/>
                <w:szCs w:val="13"/>
                <w:color w:val="auto"/>
              </w:rPr>
              <w:t>Ian M. Bickley</w:t>
            </w:r>
            <w:r>
              <w:rPr>
                <w:rFonts w:ascii="Arial" w:cs="Arial" w:eastAsia="Arial" w:hAnsi="Arial"/>
                <w:sz w:val="16"/>
                <w:szCs w:val="16"/>
                <w:color w:val="auto"/>
                <w:vertAlign w:val="superscript"/>
              </w:rPr>
              <w:t>(2)</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60,711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95,890</w:t>
            </w:r>
          </w:p>
        </w:tc>
        <w:tc>
          <w:tcPr>
            <w:tcW w:w="0" w:type="dxa"/>
            <w:vAlign w:val="bottom"/>
          </w:tcPr>
          <w:p>
            <w:pPr>
              <w:spacing w:after="0"/>
              <w:rPr>
                <w:sz w:val="1"/>
                <w:szCs w:val="1"/>
                <w:color w:val="auto"/>
              </w:rPr>
            </w:pPr>
          </w:p>
        </w:tc>
      </w:tr>
      <w:tr>
        <w:trPr>
          <w:trHeight w:val="164"/>
        </w:trPr>
        <w:tc>
          <w:tcPr>
            <w:tcW w:w="23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Jennifer N. Harris</w:t>
            </w:r>
          </w:p>
        </w:tc>
        <w:tc>
          <w:tcPr>
            <w:tcW w:w="2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46,878</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95,890</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3"/>
                <w:szCs w:val="13"/>
                <w:color w:val="auto"/>
              </w:rPr>
              <w:t>Attica A. Jaques</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5"/>
              </w:rPr>
              <w:t>60,711</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rPr>
              <w:t>95,890</w:t>
            </w:r>
          </w:p>
        </w:tc>
        <w:tc>
          <w:tcPr>
            <w:tcW w:w="0" w:type="dxa"/>
            <w:vAlign w:val="bottom"/>
          </w:tcPr>
          <w:p>
            <w:pPr>
              <w:spacing w:after="0"/>
              <w:rPr>
                <w:sz w:val="1"/>
                <w:szCs w:val="1"/>
                <w:color w:val="auto"/>
              </w:rPr>
            </w:pPr>
          </w:p>
        </w:tc>
      </w:tr>
      <w:tr>
        <w:trPr>
          <w:trHeight w:val="169"/>
        </w:trPr>
        <w:tc>
          <w:tcPr>
            <w:tcW w:w="2360" w:type="dxa"/>
            <w:vAlign w:val="bottom"/>
            <w:tcBorders>
              <w:left w:val="single" w:sz="8" w:color="auto"/>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Beth J. Kaplan</w:t>
            </w:r>
          </w:p>
        </w:tc>
        <w:tc>
          <w:tcPr>
            <w:tcW w:w="27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w w:val="95"/>
              </w:rPr>
              <w:t>42,306</w:t>
            </w:r>
          </w:p>
        </w:tc>
        <w:tc>
          <w:tcPr>
            <w:tcW w:w="20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3"/>
                <w:szCs w:val="13"/>
                <w:color w:val="auto"/>
              </w:rPr>
              <w:t>95,890</w:t>
            </w:r>
          </w:p>
        </w:tc>
        <w:tc>
          <w:tcPr>
            <w:tcW w:w="0" w:type="dxa"/>
            <w:vAlign w:val="bottom"/>
          </w:tcPr>
          <w:p>
            <w:pPr>
              <w:spacing w:after="0"/>
              <w:rPr>
                <w:sz w:val="1"/>
                <w:szCs w:val="1"/>
                <w:color w:val="auto"/>
              </w:rPr>
            </w:pPr>
          </w:p>
        </w:tc>
      </w:tr>
      <w:tr>
        <w:trPr>
          <w:trHeight w:val="174"/>
        </w:trPr>
        <w:tc>
          <w:tcPr>
            <w:tcW w:w="2360" w:type="dxa"/>
            <w:vAlign w:val="bottom"/>
            <w:tcBorders>
              <w:left w:val="single" w:sz="8" w:color="auto"/>
              <w:bottom w:val="single" w:sz="8" w:color="auto"/>
              <w:right w:val="single" w:sz="8" w:color="auto"/>
            </w:tcBorders>
          </w:tcPr>
          <w:p>
            <w:pPr>
              <w:ind w:left="20"/>
              <w:spacing w:after="0" w:line="174" w:lineRule="exact"/>
              <w:rPr>
                <w:sz w:val="20"/>
                <w:szCs w:val="20"/>
                <w:color w:val="auto"/>
              </w:rPr>
            </w:pPr>
            <w:r>
              <w:rPr>
                <w:rFonts w:ascii="Arial" w:cs="Arial" w:eastAsia="Arial" w:hAnsi="Arial"/>
                <w:sz w:val="13"/>
                <w:szCs w:val="13"/>
                <w:color w:val="auto"/>
              </w:rPr>
              <w:t>Gavin M. Turner</w:t>
            </w:r>
            <w:r>
              <w:rPr>
                <w:rFonts w:ascii="Arial" w:cs="Arial" w:eastAsia="Arial" w:hAnsi="Arial"/>
                <w:sz w:val="16"/>
                <w:szCs w:val="16"/>
                <w:color w:val="auto"/>
                <w:vertAlign w:val="superscript"/>
              </w:rPr>
              <w:t>(3)</w:t>
            </w:r>
          </w:p>
        </w:tc>
        <w:tc>
          <w:tcPr>
            <w:tcW w:w="2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__</w:t>
            </w:r>
          </w:p>
        </w:tc>
        <w:tc>
          <w:tcPr>
            <w:tcW w:w="2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color w:val="auto"/>
                <w:w w:val="96"/>
              </w:rPr>
              <w:t>__</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80" w:hanging="72"/>
        <w:spacing w:after="0"/>
        <w:tabs>
          <w:tab w:leader="none" w:pos="80" w:val="left"/>
        </w:tabs>
        <w:numPr>
          <w:ilvl w:val="0"/>
          <w:numId w:val="19"/>
        </w:numPr>
        <w:rPr>
          <w:rFonts w:ascii="Arial" w:cs="Arial" w:eastAsia="Arial" w:hAnsi="Arial"/>
          <w:sz w:val="16"/>
          <w:szCs w:val="16"/>
          <w:color w:val="auto"/>
          <w:vertAlign w:val="superscript"/>
        </w:rPr>
      </w:pPr>
      <w:r>
        <w:rPr>
          <w:rFonts w:ascii="Arial" w:cs="Arial" w:eastAsia="Arial" w:hAnsi="Arial"/>
          <w:sz w:val="13"/>
          <w:szCs w:val="13"/>
          <w:color w:val="auto"/>
        </w:rPr>
        <w:t>Mr. Bickley resigned from the Board effective March 31, 2026.</w:t>
      </w:r>
    </w:p>
    <w:p>
      <w:pPr>
        <w:ind w:left="80" w:hanging="72"/>
        <w:spacing w:after="0" w:line="201" w:lineRule="auto"/>
        <w:tabs>
          <w:tab w:leader="none" w:pos="80" w:val="left"/>
        </w:tabs>
        <w:numPr>
          <w:ilvl w:val="0"/>
          <w:numId w:val="20"/>
        </w:numPr>
        <w:rPr>
          <w:rFonts w:ascii="Arial" w:cs="Arial" w:eastAsia="Arial" w:hAnsi="Arial"/>
          <w:sz w:val="16"/>
          <w:szCs w:val="16"/>
          <w:color w:val="auto"/>
          <w:vertAlign w:val="superscript"/>
        </w:rPr>
      </w:pPr>
      <w:r>
        <w:rPr>
          <w:rFonts w:ascii="Arial" w:cs="Arial" w:eastAsia="Arial" w:hAnsi="Arial"/>
          <w:sz w:val="13"/>
          <w:szCs w:val="13"/>
          <w:color w:val="auto"/>
        </w:rPr>
        <w:t>As a partner in one of our principal investors, Mr. Turner does not receive any compensation for his service on our Board.</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 Program</w:t>
      </w:r>
    </w:p>
    <w:p>
      <w:pPr>
        <w:spacing w:after="0" w:line="20" w:lineRule="exact"/>
        <w:rPr>
          <w:sz w:val="20"/>
          <w:szCs w:val="20"/>
          <w:color w:val="auto"/>
        </w:rPr>
      </w:pPr>
    </w:p>
    <w:p>
      <w:pPr>
        <w:jc w:val="both"/>
        <w:ind w:right="20"/>
        <w:spacing w:after="0" w:line="266" w:lineRule="auto"/>
        <w:rPr>
          <w:sz w:val="20"/>
          <w:szCs w:val="20"/>
          <w:color w:val="auto"/>
        </w:rPr>
      </w:pPr>
      <w:r>
        <w:rPr>
          <w:rFonts w:ascii="Arial" w:cs="Arial" w:eastAsia="Arial" w:hAnsi="Arial"/>
          <w:sz w:val="19"/>
          <w:szCs w:val="19"/>
          <w:color w:val="auto"/>
        </w:rPr>
        <w:t>In connection with our IPO, the Board adopted a nonemployee director compensation program (the “Director Compensation Program”). Pursuant to the Director Compensation Program, our non-employee directors receive cash compensation as follows:</w:t>
      </w:r>
    </w:p>
    <w:p>
      <w:pPr>
        <w:spacing w:after="0" w:line="1" w:lineRule="exact"/>
        <w:rPr>
          <w:sz w:val="20"/>
          <w:szCs w:val="20"/>
          <w:color w:val="auto"/>
        </w:rPr>
      </w:pPr>
    </w:p>
    <w:p>
      <w:pPr>
        <w:ind w:left="640" w:hanging="308"/>
        <w:spacing w:after="0"/>
        <w:tabs>
          <w:tab w:leader="none" w:pos="6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Each non-employee director receives an annual cash retainer in the amount of $50,000 per year.</w:t>
      </w:r>
    </w:p>
    <w:p>
      <w:pPr>
        <w:ind w:left="660" w:right="340" w:hanging="328"/>
        <w:spacing w:after="0" w:line="246"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chairperson of the audit committee receives an additional annual cash retainer in the amount of $20,000 per year for such chairperson’s service on the audit committee.</w:t>
      </w:r>
    </w:p>
    <w:p>
      <w:pPr>
        <w:spacing w:after="0" w:line="1" w:lineRule="exact"/>
        <w:rPr>
          <w:rFonts w:ascii="Arial" w:cs="Arial" w:eastAsia="Arial" w:hAnsi="Arial"/>
          <w:sz w:val="20"/>
          <w:szCs w:val="20"/>
          <w:color w:val="auto"/>
        </w:rPr>
      </w:pPr>
    </w:p>
    <w:p>
      <w:pPr>
        <w:ind w:left="660" w:right="320" w:hanging="328"/>
        <w:spacing w:after="0" w:line="253" w:lineRule="auto"/>
        <w:tabs>
          <w:tab w:leader="none" w:pos="648"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chairperson of the compensation committee receives an additional annual cash retainer in the amount of $14,000 per year for such chairperson’s service on the compensation committee.</w:t>
      </w:r>
    </w:p>
    <w:p>
      <w:pPr>
        <w:spacing w:after="0" w:line="1" w:lineRule="exact"/>
        <w:rPr>
          <w:rFonts w:ascii="Arial" w:cs="Arial" w:eastAsia="Arial" w:hAnsi="Arial"/>
          <w:sz w:val="20"/>
          <w:szCs w:val="20"/>
          <w:color w:val="auto"/>
        </w:rPr>
      </w:pPr>
    </w:p>
    <w:p>
      <w:pPr>
        <w:jc w:val="both"/>
        <w:ind w:left="660" w:right="340" w:hanging="328"/>
        <w:spacing w:after="0" w:line="253" w:lineRule="auto"/>
        <w:tabs>
          <w:tab w:leader="none" w:pos="740" w:val="left"/>
        </w:tabs>
        <w:numPr>
          <w:ilvl w:val="0"/>
          <w:numId w:val="21"/>
        </w:numPr>
        <w:rPr>
          <w:rFonts w:ascii="Arial" w:cs="Arial" w:eastAsia="Arial" w:hAnsi="Arial"/>
          <w:sz w:val="20"/>
          <w:szCs w:val="20"/>
          <w:color w:val="auto"/>
        </w:rPr>
      </w:pPr>
      <w:r>
        <w:rPr>
          <w:rFonts w:ascii="Arial" w:cs="Arial" w:eastAsia="Arial" w:hAnsi="Arial"/>
          <w:sz w:val="20"/>
          <w:szCs w:val="20"/>
          <w:color w:val="auto"/>
        </w:rPr>
        <w:t>The chairperson of the nominating and corporate governance committee will receive an additional annual cash retainer in the amount of $8,000 per year for such chairperson’s service on the nominating and governance committee.</w:t>
      </w:r>
    </w:p>
    <w:p>
      <w:pPr>
        <w:spacing w:after="0" w:line="200"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Under the Director Compensation Program, non-employee directors may elect to receive restricted stock units in lieu of all or a portion of their annual retainers. In such case, the grant of restricted stock units, referred to as the Retainer RSU Grant, will be made automatically on the date of our annual stockholder’s meeting. The Retainer RSU Grant comprises the number of shares of our Class A common stock calculated by dividing (a) the amount of the annual retainer that is expected to be paid</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35" w:name="page36"/>
    <w:bookmarkEnd w:id="35"/>
    <w:p>
      <w:pPr>
        <w:jc w:val="both"/>
        <w:spacing w:after="0" w:line="264" w:lineRule="auto"/>
        <w:rPr>
          <w:sz w:val="20"/>
          <w:szCs w:val="20"/>
          <w:color w:val="auto"/>
        </w:rPr>
      </w:pPr>
      <w:r>
        <w:rPr>
          <w:rFonts w:ascii="Arial" w:cs="Arial" w:eastAsia="Arial" w:hAnsi="Arial"/>
          <w:sz w:val="19"/>
          <w:szCs w:val="19"/>
          <w:color w:val="auto"/>
        </w:rPr>
        <w:t>to such director from the grant date through the next annual stockholder’s meeting by (b) the average closing trading price of our common stock over the most recently completed month as of the grant date. Retainer RSU Grants vest on the earlier of the first anniversary of the date of grant or the date of the annual stockholder’s meeting immediately following the date of grant. In order to receive a Retainer RSU Grant, the electing non-employee director must make an election in the time and manner specified in accordance with the Director Compensation Program or will otherwise receive the retainer in cash. Generally, this requires that</w:t>
      </w:r>
    </w:p>
    <w:p>
      <w:pPr>
        <w:spacing w:after="0" w:line="4" w:lineRule="exact"/>
        <w:rPr>
          <w:sz w:val="20"/>
          <w:szCs w:val="20"/>
          <w:color w:val="auto"/>
        </w:rPr>
      </w:pPr>
    </w:p>
    <w:p>
      <w:pPr>
        <w:jc w:val="both"/>
        <w:ind w:firstLine="8"/>
        <w:spacing w:after="0" w:line="253" w:lineRule="auto"/>
        <w:tabs>
          <w:tab w:leader="none" w:pos="239" w:val="left"/>
        </w:tabs>
        <w:numPr>
          <w:ilvl w:val="0"/>
          <w:numId w:val="22"/>
        </w:numPr>
        <w:rPr>
          <w:rFonts w:ascii="Arial" w:cs="Arial" w:eastAsia="Arial" w:hAnsi="Arial"/>
          <w:sz w:val="20"/>
          <w:szCs w:val="20"/>
          <w:color w:val="auto"/>
        </w:rPr>
      </w:pPr>
      <w:r>
        <w:rPr>
          <w:rFonts w:ascii="Arial" w:cs="Arial" w:eastAsia="Arial" w:hAnsi="Arial"/>
          <w:sz w:val="20"/>
          <w:szCs w:val="20"/>
          <w:color w:val="auto"/>
        </w:rPr>
        <w:t>non-employee directors who are initially elected to our Board make their election prior to the date such individual first begins service, (ii) for all other directors within 30 days of the date on which the Compensation Committee adopted the program, or (iii) for all other non- employee directors, annual elections must be made no later than December 31, or such earlier date determined by the Board or the Compensation Committee, in the year prior to the year of service for which the annual retainer relates.</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Director Compensation Program, each non-employee director is, in addition to the annual retainers, eligible to receive initial and annual awards of Class A common stock restricted stock units. Specifically, each non-employee director who is initially appointed or elected to our Board after our IPO, will automatically be granted, on the date on which the director commences services, a number of restricted stock units calculated by dividing (a) $140,000 by (b) the average closing trading price of our Class A common stock over the most recent completed month as of the grant date, rounded down to the nearest whole restricted stock unit, referred to as the Initial Grant. Additionally, each non-employee director who continues to serve on our Board as of immediately following the date of each annual stockholder’s meeting, will be granted a number of restricted stock units calculated by dividing (a) $140,000 by (b) the average closing trading price of our Class A common stock over the most recent completed month as of the grant date, rounded down to the nearest whole restricted stock unit, automatically on the date of each annual stockholder’s meeting thereafter, referred to as the Annual Grant. The Initial Grant will vest on the first anniversary of the applicable date of grant, subject to continued service through the applicable vesting date. The Annual Grant will vest on the earlier of the first anniversary of the applicable date of grant or the date of our annual stockholder’s meeting immediately following the date of grant, subject to continued service through each applicable vesting date.</w:t>
      </w:r>
    </w:p>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the event of a change in control, each Initial Grant and Annual Grant, along with any stock options or other equity-based awards held by any non-employee director, will vest and, to the extent applicable, become exercisable immediately prior to such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20"/>
          <w:szCs w:val="20"/>
          <w:b w:val="1"/>
          <w:bCs w:val="1"/>
          <w:color w:val="0094FF"/>
        </w:rPr>
        <w:t>SECURITY OWNERSHIP OF CERTAIN BENEFICIAL OWNERS AND MANAGEMENT</w:t>
      </w:r>
    </w:p>
    <w:p>
      <w:pPr>
        <w:spacing w:after="0" w:line="258" w:lineRule="exact"/>
        <w:rPr>
          <w:sz w:val="20"/>
          <w:szCs w:val="20"/>
          <w:color w:val="auto"/>
        </w:rPr>
      </w:pPr>
    </w:p>
    <w:p>
      <w:pPr>
        <w:spacing w:after="0" w:line="271" w:lineRule="auto"/>
        <w:rPr>
          <w:sz w:val="20"/>
          <w:szCs w:val="20"/>
          <w:color w:val="auto"/>
        </w:rPr>
      </w:pPr>
      <w:r>
        <w:rPr>
          <w:rFonts w:ascii="Arial" w:cs="Arial" w:eastAsia="Arial" w:hAnsi="Arial"/>
          <w:sz w:val="20"/>
          <w:szCs w:val="20"/>
          <w:color w:val="auto"/>
        </w:rPr>
        <w:t>The following table sets forth information with respect to the beneficial ownership of our outstanding Common Stock, as of April 22, 2026, by:</w:t>
      </w:r>
    </w:p>
    <w:p>
      <w:pPr>
        <w:spacing w:after="0" w:line="196" w:lineRule="exact"/>
        <w:rPr>
          <w:sz w:val="20"/>
          <w:szCs w:val="20"/>
          <w:color w:val="auto"/>
        </w:rPr>
      </w:pPr>
    </w:p>
    <w:p>
      <w:pPr>
        <w:ind w:left="1000" w:hanging="317"/>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each person or group of affiliated persons known by us to beneficially own more than 5% of our Common Stock;</w:t>
      </w:r>
    </w:p>
    <w:p>
      <w:pPr>
        <w:spacing w:after="0" w:line="256" w:lineRule="exact"/>
        <w:rPr>
          <w:rFonts w:ascii="Arial" w:cs="Arial" w:eastAsia="Arial" w:hAnsi="Arial"/>
          <w:sz w:val="20"/>
          <w:szCs w:val="20"/>
          <w:color w:val="auto"/>
        </w:rPr>
      </w:pPr>
    </w:p>
    <w:p>
      <w:pPr>
        <w:ind w:left="1000" w:hanging="317"/>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each of our directors and director nominees;</w:t>
      </w:r>
    </w:p>
    <w:p>
      <w:pPr>
        <w:spacing w:after="0" w:line="242" w:lineRule="exact"/>
        <w:rPr>
          <w:rFonts w:ascii="Arial" w:cs="Arial" w:eastAsia="Arial" w:hAnsi="Arial"/>
          <w:sz w:val="20"/>
          <w:szCs w:val="20"/>
          <w:color w:val="auto"/>
        </w:rPr>
      </w:pPr>
    </w:p>
    <w:p>
      <w:pPr>
        <w:ind w:left="1000" w:hanging="317"/>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each of our named executive officers; and</w:t>
      </w:r>
    </w:p>
    <w:p>
      <w:pPr>
        <w:spacing w:after="0" w:line="256" w:lineRule="exact"/>
        <w:rPr>
          <w:rFonts w:ascii="Arial" w:cs="Arial" w:eastAsia="Arial" w:hAnsi="Arial"/>
          <w:sz w:val="20"/>
          <w:szCs w:val="20"/>
          <w:color w:val="auto"/>
        </w:rPr>
      </w:pPr>
    </w:p>
    <w:p>
      <w:pPr>
        <w:ind w:left="1000" w:hanging="317"/>
        <w:spacing w:after="0"/>
        <w:tabs>
          <w:tab w:leader="none" w:pos="1000" w:val="left"/>
        </w:tabs>
        <w:numPr>
          <w:ilvl w:val="0"/>
          <w:numId w:val="23"/>
        </w:numPr>
        <w:rPr>
          <w:rFonts w:ascii="Arial" w:cs="Arial" w:eastAsia="Arial" w:hAnsi="Arial"/>
          <w:sz w:val="20"/>
          <w:szCs w:val="20"/>
          <w:color w:val="auto"/>
        </w:rPr>
      </w:pPr>
      <w:r>
        <w:rPr>
          <w:rFonts w:ascii="Arial" w:cs="Arial" w:eastAsia="Arial" w:hAnsi="Arial"/>
          <w:sz w:val="20"/>
          <w:szCs w:val="20"/>
          <w:color w:val="auto"/>
        </w:rPr>
        <w:t>all of our executive officers and directors as a group.</w:t>
      </w:r>
    </w:p>
    <w:p>
      <w:pPr>
        <w:spacing w:after="0" w:line="243"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The number of shares beneficially owned by each stockholder as described in this proxy statement is determined under rules issued by the SEC. Under these rules, beneficial ownership includes any shares as to which the individual or entity has sole or shared voting power or investment power. Applicable percentage ownership is based on 16,258,882 shares of Class A common stock, 35,822,342 shares of Class B common stock, and 49,119,976 shares of Class C common stock outstanding as of April 22, 2026. In computing the number of shares beneficially owned by an individual or entity and the percentage ownership of that person, shares of Common Stock subject to options, or other rights held by such person that are currently vested or exercisable or will become vested or exercisable within 60 days of April 22, 2026, are considered outstanding, although these shares are not considered outstanding for purposes of computing the percentage ownership of any other person.</w:t>
      </w:r>
    </w:p>
    <w:p>
      <w:pPr>
        <w:spacing w:after="0" w:line="187" w:lineRule="exact"/>
        <w:rPr>
          <w:sz w:val="20"/>
          <w:szCs w:val="20"/>
          <w:color w:val="auto"/>
        </w:rPr>
      </w:pPr>
    </w:p>
    <w:p>
      <w:pPr>
        <w:jc w:val="both"/>
        <w:spacing w:after="0" w:line="239" w:lineRule="auto"/>
        <w:rPr>
          <w:sz w:val="20"/>
          <w:szCs w:val="20"/>
          <w:color w:val="auto"/>
        </w:rPr>
      </w:pPr>
      <w:r>
        <w:rPr>
          <w:rFonts w:ascii="Arial" w:cs="Arial" w:eastAsia="Arial" w:hAnsi="Arial"/>
          <w:sz w:val="20"/>
          <w:szCs w:val="20"/>
          <w:color w:val="auto"/>
        </w:rPr>
        <w:t>Shares of Class B common stock and Class C common stock have no independent conversion rights. Each Continuing Equity Owner may, from time to time at such holder's option, exchange LLC Interests (along with a corresponding number of shares of Class B common stock or Class C common stock, which shares shall be immediately cancelled) for, at our election, cash or newly-issued shares of our Class A common stock or Class D common stock, as applicable, as more fully described under “Certain Relationships and Related Person Transactions — Registration Rights Agreement” elsewhere in this Proxy Statement. In addition, a holder of Class B common stock and Class C common stock may transfer shares of Class B common stock or Class C common stock only to a permitted transferee of such holder as described in our Articles of Incorporation. If a holder of Class D common stock transfers shares of Class D common stock to any person that is not a permitted transferee of such holder, such shares shall automatically convert into shares of Class A common stock, on a one-for-one basis, upon consummation of such transfer. Each share of Class C common stock will also automatically convert into one share of Class B common stock upon the earlier of (1) the 10-year anniversary of the closing of our IPO and (2) the date on which the aggregate number of shares of Class C common stock and Class D common stock then outstanding is less than 8% of the aggregate number of shares of all classes of common stock then outstanding, assuming exchange of all LLC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37" w:name="page38"/>
    <w:bookmarkEnd w:id="37"/>
    <w:p>
      <w:pPr>
        <w:jc w:val="both"/>
        <w:spacing w:after="0" w:line="262" w:lineRule="auto"/>
        <w:rPr>
          <w:sz w:val="20"/>
          <w:szCs w:val="20"/>
          <w:color w:val="auto"/>
        </w:rPr>
      </w:pPr>
      <w:r>
        <w:rPr>
          <w:rFonts w:ascii="Arial" w:cs="Arial" w:eastAsia="Arial" w:hAnsi="Arial"/>
          <w:sz w:val="20"/>
          <w:szCs w:val="20"/>
          <w:color w:val="auto"/>
        </w:rPr>
        <w:t>Unless otherwise indicated, the address of all listed stockholders is 300 Grant Avenue, Third Floor, San Francisco, CA 94108. Each of the stockholders listed has sole voting and investment power with respect to the shares beneficially owned by the stockholder unless noted otherwise, subject to community property laws where applicable.</w:t>
      </w:r>
    </w:p>
    <w:p>
      <w:pPr>
        <w:sectPr>
          <w:pgSz w:w="11900" w:h="16838" w:orient="portrait"/>
          <w:cols w:equalWidth="0" w:num="1">
            <w:col w:w="11240"/>
          </w:cols>
          <w:pgMar w:left="320" w:top="1238"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ind w:left="3100"/>
        <w:spacing w:after="0"/>
        <w:rPr>
          <w:sz w:val="20"/>
          <w:szCs w:val="20"/>
          <w:color w:val="auto"/>
        </w:rPr>
      </w:pPr>
      <w:r>
        <w:rPr>
          <w:rFonts w:ascii="Arial" w:cs="Arial" w:eastAsia="Arial" w:hAnsi="Arial"/>
          <w:sz w:val="14"/>
          <w:szCs w:val="14"/>
          <w:b w:val="1"/>
          <w:bCs w:val="1"/>
          <w:color w:val="auto"/>
        </w:rPr>
        <w:t>Class A Common</w:t>
      </w:r>
    </w:p>
    <w:p>
      <w:pPr>
        <w:spacing w:after="0" w:line="15" w:lineRule="exact"/>
        <w:rPr>
          <w:sz w:val="20"/>
          <w:szCs w:val="20"/>
          <w:color w:val="auto"/>
        </w:rPr>
      </w:pPr>
    </w:p>
    <w:tbl>
      <w:tblPr>
        <w:tblLayout w:type="fixed"/>
        <w:tblInd w:w="80" w:type="dxa"/>
        <w:tblCellMar>
          <w:top w:w="0" w:type="dxa"/>
          <w:left w:w="0" w:type="dxa"/>
          <w:bottom w:w="0" w:type="dxa"/>
          <w:right w:w="0" w:type="dxa"/>
        </w:tblCellMar>
      </w:tblPr>
      <w:tr>
        <w:trPr>
          <w:trHeight w:val="196"/>
        </w:trPr>
        <w:tc>
          <w:tcPr>
            <w:tcW w:w="23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of Beneficial Owner</w:t>
            </w:r>
          </w:p>
        </w:tc>
        <w:tc>
          <w:tcPr>
            <w:tcW w:w="1900" w:type="dxa"/>
            <w:vAlign w:val="bottom"/>
            <w:gridSpan w:val="2"/>
          </w:tcPr>
          <w:p>
            <w:pPr>
              <w:jc w:val="right"/>
              <w:ind w:right="428"/>
              <w:spacing w:after="0"/>
              <w:rPr>
                <w:sz w:val="20"/>
                <w:szCs w:val="20"/>
                <w:color w:val="auto"/>
              </w:rPr>
            </w:pPr>
            <w:r>
              <w:rPr>
                <w:rFonts w:ascii="Arial" w:cs="Arial" w:eastAsia="Arial" w:hAnsi="Arial"/>
                <w:sz w:val="14"/>
                <w:szCs w:val="14"/>
                <w:b w:val="1"/>
                <w:bCs w:val="1"/>
                <w:color w:val="auto"/>
              </w:rPr>
              <w:t>Stock</w:t>
            </w:r>
            <w:r>
              <w:rPr>
                <w:rFonts w:ascii="Arial" w:cs="Arial" w:eastAsia="Arial" w:hAnsi="Arial"/>
                <w:sz w:val="9"/>
                <w:szCs w:val="9"/>
                <w:b w:val="1"/>
                <w:bCs w:val="1"/>
                <w:color w:val="auto"/>
              </w:rPr>
              <w:t>(1)</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300" w:type="dxa"/>
            <w:vAlign w:val="bottom"/>
            <w:vMerge w:val="continue"/>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Percentage</w:t>
            </w:r>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3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5% Stockholders</w:t>
            </w: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4"/>
                <w:szCs w:val="14"/>
                <w:color w:val="auto"/>
              </w:rPr>
              <w:t>Just Rocks, Inc.</w:t>
            </w:r>
            <w:r>
              <w:rPr>
                <w:rFonts w:ascii="Arial" w:cs="Arial" w:eastAsia="Arial" w:hAnsi="Arial"/>
                <w:sz w:val="18"/>
                <w:szCs w:val="18"/>
                <w:color w:val="auto"/>
                <w:vertAlign w:val="superscript"/>
              </w:rPr>
              <w:t>(3)</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4"/>
                <w:szCs w:val="14"/>
                <w:color w:val="auto"/>
              </w:rPr>
              <w:t>Mainsail GP III, LLC</w:t>
            </w:r>
            <w:r>
              <w:rPr>
                <w:rFonts w:ascii="Arial" w:cs="Arial" w:eastAsia="Arial" w:hAnsi="Arial"/>
                <w:sz w:val="18"/>
                <w:szCs w:val="18"/>
                <w:color w:val="auto"/>
                <w:vertAlign w:val="superscript"/>
              </w:rPr>
              <w:t>(4)</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708"/>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300" w:type="dxa"/>
            <w:vAlign w:val="bottom"/>
          </w:tcPr>
          <w:p>
            <w:pPr>
              <w:ind w:left="40"/>
              <w:spacing w:after="0"/>
              <w:rPr>
                <w:sz w:val="20"/>
                <w:szCs w:val="20"/>
                <w:color w:val="auto"/>
              </w:rPr>
            </w:pPr>
            <w:r>
              <w:rPr>
                <w:rFonts w:ascii="Arial" w:cs="Arial" w:eastAsia="Arial" w:hAnsi="Arial"/>
                <w:sz w:val="14"/>
                <w:szCs w:val="14"/>
                <w:color w:val="auto"/>
              </w:rPr>
              <w:t>Capital World Investors</w:t>
            </w:r>
            <w:r>
              <w:rPr>
                <w:rFonts w:ascii="Arial" w:cs="Arial" w:eastAsia="Arial" w:hAnsi="Arial"/>
                <w:sz w:val="18"/>
                <w:szCs w:val="18"/>
                <w:color w:val="auto"/>
                <w:vertAlign w:val="superscript"/>
              </w:rPr>
              <w:t>(5)</w:t>
            </w:r>
          </w:p>
        </w:tc>
        <w:tc>
          <w:tcPr>
            <w:tcW w:w="940" w:type="dxa"/>
            <w:vAlign w:val="bottom"/>
          </w:tcPr>
          <w:p>
            <w:pPr>
              <w:jc w:val="right"/>
              <w:ind w:right="48"/>
              <w:spacing w:after="0"/>
              <w:rPr>
                <w:sz w:val="20"/>
                <w:szCs w:val="20"/>
                <w:color w:val="auto"/>
              </w:rPr>
            </w:pPr>
            <w:r>
              <w:rPr>
                <w:rFonts w:ascii="Arial" w:cs="Arial" w:eastAsia="Arial" w:hAnsi="Arial"/>
                <w:sz w:val="14"/>
                <w:szCs w:val="14"/>
                <w:color w:val="auto"/>
              </w:rPr>
              <w:t>929,849</w:t>
            </w:r>
          </w:p>
        </w:tc>
        <w:tc>
          <w:tcPr>
            <w:tcW w:w="9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94"/>
        </w:trPr>
        <w:tc>
          <w:tcPr>
            <w:tcW w:w="3240" w:type="dxa"/>
            <w:vAlign w:val="bottom"/>
            <w:gridSpan w:val="2"/>
          </w:tcPr>
          <w:p>
            <w:pPr>
              <w:ind w:left="40"/>
              <w:spacing w:after="0"/>
              <w:rPr>
                <w:sz w:val="20"/>
                <w:szCs w:val="20"/>
                <w:color w:val="auto"/>
              </w:rPr>
            </w:pPr>
            <w:r>
              <w:rPr>
                <w:rFonts w:ascii="Arial" w:cs="Arial" w:eastAsia="Arial" w:hAnsi="Arial"/>
                <w:sz w:val="14"/>
                <w:szCs w:val="14"/>
                <w:b w:val="1"/>
                <w:bCs w:val="1"/>
                <w:i w:val="1"/>
                <w:iCs w:val="1"/>
                <w:color w:val="auto"/>
              </w:rPr>
              <w:t>Named Executive Officers and Directors</w:t>
            </w:r>
          </w:p>
        </w:tc>
        <w:tc>
          <w:tcPr>
            <w:tcW w:w="9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2300" w:type="dxa"/>
            <w:vAlign w:val="bottom"/>
          </w:tcPr>
          <w:p>
            <w:pPr>
              <w:ind w:left="40"/>
              <w:spacing w:after="0"/>
              <w:rPr>
                <w:sz w:val="20"/>
                <w:szCs w:val="20"/>
                <w:color w:val="auto"/>
              </w:rPr>
            </w:pPr>
            <w:r>
              <w:rPr>
                <w:rFonts w:ascii="Arial" w:cs="Arial" w:eastAsia="Arial" w:hAnsi="Arial"/>
                <w:sz w:val="14"/>
                <w:szCs w:val="14"/>
                <w:color w:val="auto"/>
              </w:rPr>
              <w:t>Beth Gerstein</w:t>
            </w:r>
            <w:r>
              <w:rPr>
                <w:rFonts w:ascii="Arial" w:cs="Arial" w:eastAsia="Arial" w:hAnsi="Arial"/>
                <w:sz w:val="18"/>
                <w:szCs w:val="18"/>
                <w:color w:val="auto"/>
                <w:vertAlign w:val="superscript"/>
              </w:rPr>
              <w:t>(6)</w:t>
            </w:r>
          </w:p>
        </w:tc>
        <w:tc>
          <w:tcPr>
            <w:tcW w:w="94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96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4"/>
                <w:szCs w:val="14"/>
                <w:color w:val="auto"/>
              </w:rPr>
              <w:t>Eric Grossberg</w:t>
            </w:r>
            <w:r>
              <w:rPr>
                <w:rFonts w:ascii="Arial" w:cs="Arial" w:eastAsia="Arial" w:hAnsi="Arial"/>
                <w:sz w:val="18"/>
                <w:szCs w:val="18"/>
                <w:color w:val="auto"/>
                <w:vertAlign w:val="superscript"/>
              </w:rPr>
              <w:t>(7)</w:t>
            </w:r>
          </w:p>
        </w:tc>
        <w:tc>
          <w:tcPr>
            <w:tcW w:w="940" w:type="dxa"/>
            <w:vAlign w:val="bottom"/>
          </w:tcPr>
          <w:p>
            <w:pPr>
              <w:jc w:val="center"/>
              <w:ind w:left="448"/>
              <w:spacing w:after="0"/>
              <w:rPr>
                <w:sz w:val="20"/>
                <w:szCs w:val="20"/>
                <w:color w:val="auto"/>
              </w:rPr>
            </w:pPr>
            <w:r>
              <w:rPr>
                <w:rFonts w:ascii="Arial" w:cs="Arial" w:eastAsia="Arial" w:hAnsi="Arial"/>
                <w:sz w:val="14"/>
                <w:szCs w:val="14"/>
                <w:color w:val="auto"/>
                <w:w w:val="99"/>
              </w:rPr>
              <w:t>—</w:t>
            </w:r>
          </w:p>
        </w:tc>
        <w:tc>
          <w:tcPr>
            <w:tcW w:w="96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4"/>
                <w:szCs w:val="14"/>
                <w:color w:val="auto"/>
              </w:rPr>
              <w:t>Jennifer N. Harris</w:t>
            </w:r>
            <w:r>
              <w:rPr>
                <w:rFonts w:ascii="Arial" w:cs="Arial" w:eastAsia="Arial" w:hAnsi="Arial"/>
                <w:sz w:val="18"/>
                <w:szCs w:val="18"/>
                <w:color w:val="auto"/>
                <w:vertAlign w:val="superscript"/>
              </w:rPr>
              <w:t>(8)</w:t>
            </w:r>
          </w:p>
        </w:tc>
        <w:tc>
          <w:tcPr>
            <w:tcW w:w="1900" w:type="dxa"/>
            <w:vAlign w:val="bottom"/>
            <w:gridSpan w:val="2"/>
          </w:tcPr>
          <w:p>
            <w:pPr>
              <w:jc w:val="center"/>
              <w:ind w:right="388"/>
              <w:spacing w:after="0"/>
              <w:rPr>
                <w:sz w:val="20"/>
                <w:szCs w:val="20"/>
                <w:color w:val="auto"/>
              </w:rPr>
            </w:pPr>
            <w:r>
              <w:rPr>
                <w:rFonts w:ascii="Arial" w:cs="Arial" w:eastAsia="Arial" w:hAnsi="Arial"/>
                <w:sz w:val="14"/>
                <w:szCs w:val="14"/>
                <w:color w:val="auto"/>
              </w:rPr>
              <w:t>226,681</w:t>
            </w:r>
          </w:p>
        </w:tc>
        <w:tc>
          <w:tcPr>
            <w:tcW w:w="40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4"/>
                <w:szCs w:val="14"/>
                <w:color w:val="auto"/>
              </w:rPr>
              <w:t>Attica A. Jaques</w:t>
            </w:r>
            <w:r>
              <w:rPr>
                <w:rFonts w:ascii="Arial" w:cs="Arial" w:eastAsia="Arial" w:hAnsi="Arial"/>
                <w:sz w:val="18"/>
                <w:szCs w:val="18"/>
                <w:color w:val="auto"/>
                <w:vertAlign w:val="superscript"/>
              </w:rPr>
              <w:t>(9)</w:t>
            </w:r>
          </w:p>
        </w:tc>
        <w:tc>
          <w:tcPr>
            <w:tcW w:w="1900" w:type="dxa"/>
            <w:vAlign w:val="bottom"/>
            <w:gridSpan w:val="2"/>
          </w:tcPr>
          <w:p>
            <w:pPr>
              <w:jc w:val="center"/>
              <w:ind w:right="388"/>
              <w:spacing w:after="0"/>
              <w:rPr>
                <w:sz w:val="20"/>
                <w:szCs w:val="20"/>
                <w:color w:val="auto"/>
              </w:rPr>
            </w:pPr>
            <w:r>
              <w:rPr>
                <w:rFonts w:ascii="Arial" w:cs="Arial" w:eastAsia="Arial" w:hAnsi="Arial"/>
                <w:sz w:val="14"/>
                <w:szCs w:val="14"/>
                <w:color w:val="auto"/>
              </w:rPr>
              <w:t>276,426</w:t>
            </w:r>
          </w:p>
        </w:tc>
        <w:tc>
          <w:tcPr>
            <w:tcW w:w="400" w:type="dxa"/>
            <w:vAlign w:val="bottom"/>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4"/>
                <w:szCs w:val="14"/>
                <w:color w:val="auto"/>
              </w:rPr>
              <w:t>Beth J. Kaplan</w:t>
            </w:r>
            <w:r>
              <w:rPr>
                <w:rFonts w:ascii="Arial" w:cs="Arial" w:eastAsia="Arial" w:hAnsi="Arial"/>
                <w:sz w:val="18"/>
                <w:szCs w:val="18"/>
                <w:color w:val="auto"/>
                <w:vertAlign w:val="superscript"/>
              </w:rPr>
              <w:t>(10)</w:t>
            </w:r>
          </w:p>
        </w:tc>
        <w:tc>
          <w:tcPr>
            <w:tcW w:w="1900" w:type="dxa"/>
            <w:vAlign w:val="bottom"/>
            <w:gridSpan w:val="2"/>
          </w:tcPr>
          <w:p>
            <w:pPr>
              <w:jc w:val="center"/>
              <w:ind w:right="388"/>
              <w:spacing w:after="0"/>
              <w:rPr>
                <w:sz w:val="20"/>
                <w:szCs w:val="20"/>
                <w:color w:val="auto"/>
              </w:rPr>
            </w:pPr>
            <w:r>
              <w:rPr>
                <w:rFonts w:ascii="Arial" w:cs="Arial" w:eastAsia="Arial" w:hAnsi="Arial"/>
                <w:sz w:val="14"/>
                <w:szCs w:val="14"/>
                <w:color w:val="auto"/>
              </w:rPr>
              <w:t>263,721</w:t>
            </w:r>
          </w:p>
        </w:tc>
        <w:tc>
          <w:tcPr>
            <w:tcW w:w="40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4"/>
                <w:szCs w:val="14"/>
                <w:color w:val="auto"/>
              </w:rPr>
              <w:t>Jeffrey Kuo</w:t>
            </w:r>
            <w:r>
              <w:rPr>
                <w:rFonts w:ascii="Arial" w:cs="Arial" w:eastAsia="Arial" w:hAnsi="Arial"/>
                <w:sz w:val="18"/>
                <w:szCs w:val="18"/>
                <w:color w:val="auto"/>
                <w:vertAlign w:val="superscript"/>
              </w:rPr>
              <w:t>(11)</w:t>
            </w:r>
          </w:p>
        </w:tc>
        <w:tc>
          <w:tcPr>
            <w:tcW w:w="1900" w:type="dxa"/>
            <w:vAlign w:val="bottom"/>
            <w:gridSpan w:val="2"/>
          </w:tcPr>
          <w:p>
            <w:pPr>
              <w:jc w:val="center"/>
              <w:ind w:right="388"/>
              <w:spacing w:after="0"/>
              <w:rPr>
                <w:sz w:val="20"/>
                <w:szCs w:val="20"/>
                <w:color w:val="auto"/>
              </w:rPr>
            </w:pPr>
            <w:r>
              <w:rPr>
                <w:rFonts w:ascii="Arial" w:cs="Arial" w:eastAsia="Arial" w:hAnsi="Arial"/>
                <w:sz w:val="14"/>
                <w:szCs w:val="14"/>
                <w:color w:val="auto"/>
              </w:rPr>
              <w:t>413,860</w:t>
            </w:r>
          </w:p>
        </w:tc>
        <w:tc>
          <w:tcPr>
            <w:tcW w:w="400" w:type="dxa"/>
            <w:vAlign w:val="bottom"/>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32"/>
        </w:trPr>
        <w:tc>
          <w:tcPr>
            <w:tcW w:w="2300" w:type="dxa"/>
            <w:vAlign w:val="bottom"/>
          </w:tcPr>
          <w:p>
            <w:pPr>
              <w:ind w:left="40"/>
              <w:spacing w:after="0"/>
              <w:rPr>
                <w:sz w:val="20"/>
                <w:szCs w:val="20"/>
                <w:color w:val="auto"/>
              </w:rPr>
            </w:pPr>
            <w:r>
              <w:rPr>
                <w:rFonts w:ascii="Arial" w:cs="Arial" w:eastAsia="Arial" w:hAnsi="Arial"/>
                <w:sz w:val="14"/>
                <w:szCs w:val="14"/>
                <w:color w:val="auto"/>
              </w:rPr>
              <w:t>Gavin M. Turner</w:t>
            </w:r>
            <w:r>
              <w:rPr>
                <w:rFonts w:ascii="Arial" w:cs="Arial" w:eastAsia="Arial" w:hAnsi="Arial"/>
                <w:sz w:val="18"/>
                <w:szCs w:val="18"/>
                <w:color w:val="auto"/>
                <w:vertAlign w:val="superscript"/>
              </w:rPr>
              <w:t>(12)</w:t>
            </w:r>
          </w:p>
        </w:tc>
        <w:tc>
          <w:tcPr>
            <w:tcW w:w="940" w:type="dxa"/>
            <w:vAlign w:val="bottom"/>
          </w:tcPr>
          <w:p>
            <w:pPr>
              <w:spacing w:after="0"/>
              <w:rPr>
                <w:sz w:val="20"/>
                <w:szCs w:val="20"/>
                <w:color w:val="auto"/>
              </w:rPr>
            </w:pPr>
          </w:p>
        </w:tc>
        <w:tc>
          <w:tcPr>
            <w:tcW w:w="9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300" w:type="dxa"/>
            <w:vAlign w:val="bottom"/>
          </w:tcPr>
          <w:p>
            <w:pPr>
              <w:spacing w:after="0"/>
              <w:rPr>
                <w:sz w:val="20"/>
                <w:szCs w:val="20"/>
                <w:color w:val="auto"/>
              </w:rPr>
            </w:pPr>
            <w:r>
              <w:rPr>
                <w:rFonts w:ascii="Arial" w:cs="Arial" w:eastAsia="Arial" w:hAnsi="Arial"/>
                <w:sz w:val="14"/>
                <w:szCs w:val="14"/>
                <w:color w:val="auto"/>
              </w:rPr>
              <w:t>All officers and directors as a</w:t>
            </w:r>
          </w:p>
        </w:tc>
        <w:tc>
          <w:tcPr>
            <w:tcW w:w="9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300" w:type="dxa"/>
            <w:vAlign w:val="bottom"/>
          </w:tcPr>
          <w:p>
            <w:pPr>
              <w:ind w:left="140"/>
              <w:spacing w:after="0"/>
              <w:rPr>
                <w:sz w:val="20"/>
                <w:szCs w:val="20"/>
                <w:color w:val="auto"/>
              </w:rPr>
            </w:pPr>
            <w:r>
              <w:rPr>
                <w:rFonts w:ascii="Arial" w:cs="Arial" w:eastAsia="Arial" w:hAnsi="Arial"/>
                <w:sz w:val="14"/>
                <w:szCs w:val="14"/>
                <w:color w:val="auto"/>
              </w:rPr>
              <w:t>group (8 persons)</w:t>
            </w:r>
            <w:r>
              <w:rPr>
                <w:rFonts w:ascii="Arial" w:cs="Arial" w:eastAsia="Arial" w:hAnsi="Arial"/>
                <w:sz w:val="9"/>
                <w:szCs w:val="9"/>
                <w:color w:val="auto"/>
              </w:rPr>
              <w:t>(13)</w:t>
            </w:r>
          </w:p>
        </w:tc>
        <w:tc>
          <w:tcPr>
            <w:tcW w:w="1900" w:type="dxa"/>
            <w:vAlign w:val="bottom"/>
            <w:gridSpan w:val="2"/>
            <w:vMerge w:val="restart"/>
          </w:tcPr>
          <w:p>
            <w:pPr>
              <w:jc w:val="right"/>
              <w:ind w:right="668"/>
              <w:spacing w:after="0"/>
              <w:rPr>
                <w:sz w:val="20"/>
                <w:szCs w:val="20"/>
                <w:color w:val="auto"/>
              </w:rPr>
            </w:pPr>
            <w:r>
              <w:rPr>
                <w:rFonts w:ascii="Arial" w:cs="Arial" w:eastAsia="Arial" w:hAnsi="Arial"/>
                <w:sz w:val="14"/>
                <w:szCs w:val="14"/>
                <w:color w:val="auto"/>
              </w:rPr>
              <w:t>1,492,966</w:t>
            </w:r>
          </w:p>
        </w:tc>
        <w:tc>
          <w:tcPr>
            <w:tcW w:w="400" w:type="dxa"/>
            <w:vAlign w:val="bottom"/>
            <w:vMerge w:val="restart"/>
          </w:tcPr>
          <w:p>
            <w:pPr>
              <w:jc w:val="right"/>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81"/>
        </w:trPr>
        <w:tc>
          <w:tcPr>
            <w:tcW w:w="2300" w:type="dxa"/>
            <w:vAlign w:val="bottom"/>
          </w:tcPr>
          <w:p>
            <w:pPr>
              <w:spacing w:after="0"/>
              <w:rPr>
                <w:sz w:val="7"/>
                <w:szCs w:val="7"/>
                <w:color w:val="auto"/>
              </w:rPr>
            </w:pPr>
          </w:p>
        </w:tc>
        <w:tc>
          <w:tcPr>
            <w:tcW w:w="1900" w:type="dxa"/>
            <w:vAlign w:val="bottom"/>
            <w:gridSpan w:val="2"/>
            <w:vMerge w:val="continue"/>
          </w:tcPr>
          <w:p>
            <w:pPr>
              <w:spacing w:after="0"/>
              <w:rPr>
                <w:sz w:val="7"/>
                <w:szCs w:val="7"/>
                <w:color w:val="auto"/>
              </w:rPr>
            </w:pPr>
          </w:p>
        </w:tc>
        <w:tc>
          <w:tcPr>
            <w:tcW w:w="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141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16" w:lineRule="exact"/>
        <w:rPr>
          <w:sz w:val="20"/>
          <w:szCs w:val="20"/>
          <w:color w:val="auto"/>
        </w:rPr>
      </w:pPr>
    </w:p>
    <w:p>
      <w:pPr>
        <w:ind w:left="480" w:hanging="220"/>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3"/>
                <w:szCs w:val="13"/>
                <w:b w:val="1"/>
                <w:bCs w:val="1"/>
                <w:color w:val="auto"/>
                <w:w w:val="94"/>
              </w:rPr>
              <w:t>Combined</w:t>
            </w:r>
          </w:p>
        </w:tc>
      </w:tr>
      <w:tr>
        <w:trPr>
          <w:trHeight w:val="162"/>
        </w:trPr>
        <w:tc>
          <w:tcPr>
            <w:tcW w:w="2480" w:type="dxa"/>
            <w:vAlign w:val="bottom"/>
            <w:gridSpan w:val="4"/>
          </w:tcPr>
          <w:p>
            <w:pPr>
              <w:ind w:left="480"/>
              <w:spacing w:after="0"/>
              <w:rPr>
                <w:sz w:val="20"/>
                <w:szCs w:val="20"/>
                <w:color w:val="auto"/>
              </w:rPr>
            </w:pPr>
            <w:r>
              <w:rPr>
                <w:rFonts w:ascii="Arial" w:cs="Arial" w:eastAsia="Arial" w:hAnsi="Arial"/>
                <w:sz w:val="14"/>
                <w:szCs w:val="14"/>
                <w:b w:val="1"/>
                <w:bCs w:val="1"/>
                <w:color w:val="auto"/>
              </w:rPr>
              <w:t>Class B Common Stock</w:t>
            </w:r>
          </w:p>
        </w:tc>
        <w:tc>
          <w:tcPr>
            <w:tcW w:w="2480" w:type="dxa"/>
            <w:vAlign w:val="bottom"/>
            <w:gridSpan w:val="3"/>
          </w:tcPr>
          <w:p>
            <w:pPr>
              <w:ind w:left="500"/>
              <w:spacing w:after="0"/>
              <w:rPr>
                <w:sz w:val="20"/>
                <w:szCs w:val="20"/>
                <w:color w:val="auto"/>
              </w:rPr>
            </w:pPr>
            <w:r>
              <w:rPr>
                <w:rFonts w:ascii="Arial" w:cs="Arial" w:eastAsia="Arial" w:hAnsi="Arial"/>
                <w:sz w:val="14"/>
                <w:szCs w:val="14"/>
                <w:b w:val="1"/>
                <w:bCs w:val="1"/>
                <w:color w:val="auto"/>
              </w:rPr>
              <w:t>Class C Common Stock</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Voting</w:t>
            </w:r>
          </w:p>
        </w:tc>
      </w:tr>
      <w:tr>
        <w:trPr>
          <w:trHeight w:val="196"/>
        </w:trPr>
        <w:tc>
          <w:tcPr>
            <w:tcW w:w="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auto"/>
              </w:rPr>
              <w:t>Power</w:t>
            </w:r>
            <w:r>
              <w:rPr>
                <w:rFonts w:ascii="Arial" w:cs="Arial" w:eastAsia="Arial" w:hAnsi="Arial"/>
                <w:sz w:val="9"/>
                <w:szCs w:val="9"/>
                <w:b w:val="1"/>
                <w:bCs w:val="1"/>
                <w:color w:val="auto"/>
              </w:rPr>
              <w:t>(2)</w:t>
            </w:r>
          </w:p>
        </w:tc>
      </w:tr>
      <w:tr>
        <w:trPr>
          <w:trHeight w:val="124"/>
        </w:trPr>
        <w:tc>
          <w:tcPr>
            <w:tcW w:w="9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36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r>
      <w:tr>
        <w:trPr>
          <w:trHeight w:val="194"/>
        </w:trPr>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920" w:type="dxa"/>
            <w:vAlign w:val="bottom"/>
          </w:tcPr>
          <w:p>
            <w:pPr>
              <w:ind w:left="140"/>
              <w:spacing w:after="0"/>
              <w:rPr>
                <w:sz w:val="20"/>
                <w:szCs w:val="20"/>
                <w:color w:val="auto"/>
              </w:rPr>
            </w:pPr>
            <w:r>
              <w:rPr>
                <w:rFonts w:ascii="Arial" w:cs="Arial" w:eastAsia="Arial" w:hAnsi="Arial"/>
                <w:sz w:val="14"/>
                <w:szCs w:val="14"/>
                <w:b w:val="1"/>
                <w:bCs w:val="1"/>
                <w:color w:val="auto"/>
              </w:rPr>
              <w:t>Percentage</w:t>
            </w: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Shares</w:t>
            </w:r>
          </w:p>
        </w:tc>
        <w:tc>
          <w:tcPr>
            <w:tcW w:w="1520" w:type="dxa"/>
            <w:vAlign w:val="bottom"/>
            <w:gridSpan w:val="2"/>
          </w:tcPr>
          <w:p>
            <w:pPr>
              <w:ind w:left="140"/>
              <w:spacing w:after="0"/>
              <w:rPr>
                <w:sz w:val="20"/>
                <w:szCs w:val="20"/>
                <w:color w:val="auto"/>
              </w:rPr>
            </w:pPr>
            <w:r>
              <w:rPr>
                <w:rFonts w:ascii="Arial" w:cs="Arial" w:eastAsia="Arial" w:hAnsi="Arial"/>
                <w:sz w:val="14"/>
                <w:szCs w:val="14"/>
                <w:b w:val="1"/>
                <w:bCs w:val="1"/>
                <w:color w:val="auto"/>
              </w:rPr>
              <w:t>Percentage</w:t>
            </w: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Percentage</w:t>
            </w:r>
          </w:p>
        </w:tc>
      </w:tr>
      <w:tr>
        <w:trPr>
          <w:trHeight w:val="440"/>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color w:val="auto"/>
              </w:rPr>
              <w:t>49,119,976</w:t>
            </w:r>
          </w:p>
        </w:tc>
        <w:tc>
          <w:tcPr>
            <w:tcW w:w="13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90.4%</w:t>
            </w:r>
          </w:p>
        </w:tc>
      </w:tr>
      <w:tr>
        <w:trPr>
          <w:trHeight w:val="229"/>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31,898,071</w:t>
            </w:r>
          </w:p>
        </w:tc>
        <w:tc>
          <w:tcPr>
            <w:tcW w:w="920" w:type="dxa"/>
            <w:vAlign w:val="bottom"/>
          </w:tcPr>
          <w:p>
            <w:pPr>
              <w:jc w:val="right"/>
              <w:ind w:right="368"/>
              <w:spacing w:after="0"/>
              <w:rPr>
                <w:sz w:val="20"/>
                <w:szCs w:val="20"/>
                <w:color w:val="auto"/>
              </w:rPr>
            </w:pPr>
            <w:r>
              <w:rPr>
                <w:rFonts w:ascii="Arial" w:cs="Arial" w:eastAsia="Arial" w:hAnsi="Arial"/>
                <w:sz w:val="14"/>
                <w:szCs w:val="14"/>
                <w:color w:val="auto"/>
              </w:rPr>
              <w:t>89.0%</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5.9%</w:t>
            </w:r>
          </w:p>
        </w:tc>
      </w:tr>
      <w:tr>
        <w:trPr>
          <w:trHeight w:val="230"/>
        </w:trPr>
        <w:tc>
          <w:tcPr>
            <w:tcW w:w="9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ind w:left="2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5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459"/>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24"/>
                <w:szCs w:val="24"/>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49,119,976</w:t>
            </w:r>
          </w:p>
        </w:tc>
        <w:tc>
          <w:tcPr>
            <w:tcW w:w="13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90.4%</w:t>
            </w:r>
          </w:p>
        </w:tc>
      </w:tr>
      <w:tr>
        <w:trPr>
          <w:trHeight w:val="23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49,119,976</w:t>
            </w:r>
          </w:p>
        </w:tc>
        <w:tc>
          <w:tcPr>
            <w:tcW w:w="13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4"/>
                <w:szCs w:val="14"/>
                <w:color w:val="auto"/>
              </w:rPr>
              <w:t>90.4%</w:t>
            </w:r>
          </w:p>
        </w:tc>
      </w:tr>
      <w:tr>
        <w:trPr>
          <w:trHeight w:val="229"/>
        </w:trPr>
        <w:tc>
          <w:tcPr>
            <w:tcW w:w="960" w:type="dxa"/>
            <w:vAlign w:val="bottom"/>
          </w:tcPr>
          <w:p>
            <w:pPr>
              <w:jc w:val="center"/>
              <w:ind w:left="248"/>
              <w:spacing w:after="0"/>
              <w:rPr>
                <w:sz w:val="20"/>
                <w:szCs w:val="20"/>
                <w:color w:val="auto"/>
              </w:rPr>
            </w:pPr>
            <w:r>
              <w:rPr>
                <w:rFonts w:ascii="Arial" w:cs="Arial" w:eastAsia="Arial" w:hAnsi="Arial"/>
                <w:sz w:val="14"/>
                <w:szCs w:val="14"/>
                <w:color w:val="auto"/>
              </w:rPr>
              <w:t>41,215</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960" w:type="dxa"/>
            <w:vAlign w:val="bottom"/>
          </w:tcPr>
          <w:p>
            <w:pPr>
              <w:jc w:val="center"/>
              <w:ind w:left="248"/>
              <w:spacing w:after="0"/>
              <w:rPr>
                <w:sz w:val="20"/>
                <w:szCs w:val="20"/>
                <w:color w:val="auto"/>
              </w:rPr>
            </w:pPr>
            <w:r>
              <w:rPr>
                <w:rFonts w:ascii="Arial" w:cs="Arial" w:eastAsia="Arial" w:hAnsi="Arial"/>
                <w:sz w:val="14"/>
                <w:szCs w:val="14"/>
                <w:color w:val="auto"/>
              </w:rPr>
              <w:t>27,419</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960" w:type="dxa"/>
            <w:vAlign w:val="bottom"/>
          </w:tcPr>
          <w:p>
            <w:pPr>
              <w:jc w:val="center"/>
              <w:ind w:left="248"/>
              <w:spacing w:after="0"/>
              <w:rPr>
                <w:sz w:val="20"/>
                <w:szCs w:val="20"/>
                <w:color w:val="auto"/>
              </w:rPr>
            </w:pPr>
            <w:r>
              <w:rPr>
                <w:rFonts w:ascii="Arial" w:cs="Arial" w:eastAsia="Arial" w:hAnsi="Arial"/>
                <w:sz w:val="14"/>
                <w:szCs w:val="14"/>
                <w:color w:val="auto"/>
              </w:rPr>
              <w:t>255,066</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9"/>
                <w:szCs w:val="19"/>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29"/>
        </w:trPr>
        <w:tc>
          <w:tcPr>
            <w:tcW w:w="960" w:type="dxa"/>
            <w:vAlign w:val="bottom"/>
          </w:tcPr>
          <w:p>
            <w:pPr>
              <w:jc w:val="center"/>
              <w:ind w:left="248"/>
              <w:spacing w:after="0"/>
              <w:rPr>
                <w:sz w:val="20"/>
                <w:szCs w:val="20"/>
                <w:color w:val="auto"/>
              </w:rPr>
            </w:pPr>
            <w:r>
              <w:rPr>
                <w:rFonts w:ascii="Arial" w:cs="Arial" w:eastAsia="Arial" w:hAnsi="Arial"/>
                <w:sz w:val="14"/>
                <w:szCs w:val="14"/>
                <w:color w:val="auto"/>
              </w:rPr>
              <w:t>908,678</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2.5%</w:t>
            </w:r>
          </w:p>
        </w:tc>
        <w:tc>
          <w:tcPr>
            <w:tcW w:w="160" w:type="dxa"/>
            <w:vAlign w:val="bottom"/>
          </w:tcPr>
          <w:p>
            <w:pPr>
              <w:spacing w:after="0"/>
              <w:rPr>
                <w:sz w:val="19"/>
                <w:szCs w:val="19"/>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30"/>
        </w:trPr>
        <w:tc>
          <w:tcPr>
            <w:tcW w:w="960" w:type="dxa"/>
            <w:vAlign w:val="bottom"/>
          </w:tcPr>
          <w:p>
            <w:pPr>
              <w:jc w:val="right"/>
              <w:ind w:right="128"/>
              <w:spacing w:after="0"/>
              <w:rPr>
                <w:sz w:val="20"/>
                <w:szCs w:val="20"/>
                <w:color w:val="auto"/>
              </w:rPr>
            </w:pPr>
            <w:r>
              <w:rPr>
                <w:rFonts w:ascii="Arial" w:cs="Arial" w:eastAsia="Arial" w:hAnsi="Arial"/>
                <w:sz w:val="14"/>
                <w:szCs w:val="14"/>
                <w:color w:val="auto"/>
              </w:rPr>
              <w:t>31,898,071</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89.0%</w:t>
            </w:r>
          </w:p>
        </w:tc>
        <w:tc>
          <w:tcPr>
            <w:tcW w:w="160" w:type="dxa"/>
            <w:vAlign w:val="bottom"/>
          </w:tcPr>
          <w:p>
            <w:pPr>
              <w:spacing w:after="0"/>
              <w:rPr>
                <w:sz w:val="19"/>
                <w:szCs w:val="19"/>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80" w:type="dxa"/>
            <w:vAlign w:val="bottom"/>
          </w:tcPr>
          <w:p>
            <w:pPr>
              <w:jc w:val="center"/>
              <w:spacing w:after="0"/>
              <w:rPr>
                <w:sz w:val="20"/>
                <w:szCs w:val="20"/>
                <w:color w:val="auto"/>
              </w:rPr>
            </w:pPr>
            <w:r>
              <w:rPr>
                <w:rFonts w:ascii="Arial" w:cs="Arial" w:eastAsia="Arial" w:hAnsi="Arial"/>
                <w:sz w:val="14"/>
                <w:szCs w:val="14"/>
                <w:color w:val="auto"/>
              </w:rPr>
              <w:t>5.9%</w:t>
            </w:r>
          </w:p>
        </w:tc>
      </w:tr>
      <w:tr>
        <w:trPr>
          <w:trHeight w:val="472"/>
        </w:trPr>
        <w:tc>
          <w:tcPr>
            <w:tcW w:w="1880" w:type="dxa"/>
            <w:vAlign w:val="bottom"/>
            <w:gridSpan w:val="2"/>
          </w:tcPr>
          <w:p>
            <w:pPr>
              <w:jc w:val="center"/>
              <w:ind w:right="528"/>
              <w:spacing w:after="0"/>
              <w:rPr>
                <w:sz w:val="20"/>
                <w:szCs w:val="20"/>
                <w:color w:val="auto"/>
              </w:rPr>
            </w:pPr>
            <w:r>
              <w:rPr>
                <w:rFonts w:ascii="Arial" w:cs="Arial" w:eastAsia="Arial" w:hAnsi="Arial"/>
                <w:sz w:val="14"/>
                <w:szCs w:val="14"/>
                <w:color w:val="auto"/>
              </w:rPr>
              <w:t>33,584,887</w:t>
            </w:r>
          </w:p>
        </w:tc>
        <w:tc>
          <w:tcPr>
            <w:tcW w:w="440" w:type="dxa"/>
            <w:vAlign w:val="bottom"/>
          </w:tcPr>
          <w:p>
            <w:pPr>
              <w:jc w:val="right"/>
              <w:spacing w:after="0"/>
              <w:rPr>
                <w:sz w:val="20"/>
                <w:szCs w:val="20"/>
                <w:color w:val="auto"/>
              </w:rPr>
            </w:pPr>
            <w:r>
              <w:rPr>
                <w:rFonts w:ascii="Arial" w:cs="Arial" w:eastAsia="Arial" w:hAnsi="Arial"/>
                <w:sz w:val="14"/>
                <w:szCs w:val="14"/>
                <w:color w:val="auto"/>
              </w:rPr>
              <w:t>93.8%</w:t>
            </w:r>
          </w:p>
        </w:tc>
        <w:tc>
          <w:tcPr>
            <w:tcW w:w="160" w:type="dxa"/>
            <w:vAlign w:val="bottom"/>
          </w:tcPr>
          <w:p>
            <w:pPr>
              <w:spacing w:after="0"/>
              <w:rPr>
                <w:sz w:val="24"/>
                <w:szCs w:val="24"/>
                <w:color w:val="auto"/>
              </w:rPr>
            </w:pP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49,119,976</w:t>
            </w:r>
          </w:p>
        </w:tc>
        <w:tc>
          <w:tcPr>
            <w:tcW w:w="1360" w:type="dxa"/>
            <w:vAlign w:val="bottom"/>
          </w:tcPr>
          <w:p>
            <w:pPr>
              <w:jc w:val="right"/>
              <w:spacing w:after="0"/>
              <w:rPr>
                <w:sz w:val="20"/>
                <w:szCs w:val="20"/>
                <w:color w:val="auto"/>
              </w:rPr>
            </w:pPr>
            <w:r>
              <w:rPr>
                <w:rFonts w:ascii="Arial" w:cs="Arial" w:eastAsia="Arial" w:hAnsi="Arial"/>
                <w:sz w:val="14"/>
                <w:szCs w:val="14"/>
                <w:color w:val="auto"/>
              </w:rPr>
              <w:t>100%</w:t>
            </w:r>
          </w:p>
        </w:tc>
        <w:tc>
          <w:tcPr>
            <w:tcW w:w="160" w:type="dxa"/>
            <w:vAlign w:val="bottom"/>
          </w:tcPr>
          <w:p>
            <w:pPr>
              <w:spacing w:after="0"/>
              <w:rPr>
                <w:sz w:val="24"/>
                <w:szCs w:val="24"/>
                <w:color w:val="auto"/>
              </w:rPr>
            </w:pPr>
          </w:p>
        </w:tc>
        <w:tc>
          <w:tcPr>
            <w:tcW w:w="1180" w:type="dxa"/>
            <w:vAlign w:val="bottom"/>
          </w:tcPr>
          <w:p>
            <w:pPr>
              <w:jc w:val="right"/>
              <w:ind w:right="329"/>
              <w:spacing w:after="0"/>
              <w:rPr>
                <w:sz w:val="20"/>
                <w:szCs w:val="20"/>
                <w:color w:val="auto"/>
              </w:rPr>
            </w:pPr>
            <w:r>
              <w:rPr>
                <w:rFonts w:ascii="Arial" w:cs="Arial" w:eastAsia="Arial" w:hAnsi="Arial"/>
                <w:sz w:val="14"/>
                <w:szCs w:val="14"/>
                <w:color w:val="auto"/>
              </w:rPr>
              <w:t>96.9%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-3007995</wp:posOffset>
            </wp:positionH>
            <wp:positionV relativeFrom="paragraph">
              <wp:posOffset>-2034540</wp:posOffset>
            </wp:positionV>
            <wp:extent cx="6909435" cy="14541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-1743075</wp:posOffset>
            </wp:positionV>
            <wp:extent cx="6909435" cy="1454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-1305560</wp:posOffset>
            </wp:positionV>
            <wp:extent cx="6909435" cy="1454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-1014095</wp:posOffset>
            </wp:positionV>
            <wp:extent cx="6909435" cy="1454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-722630</wp:posOffset>
            </wp:positionV>
            <wp:extent cx="690943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09435" cy="146050"/>
                    </a:xfrm>
                    <a:prstGeom prst="rect">
                      <a:avLst/>
                    </a:prstGeom>
                    <a:noFill/>
                  </pic:spPr>
                </pic:pic>
              </a:graphicData>
            </a:graphic>
          </wp:anchor>
        </w:drawing>
        <w:drawing>
          <wp:anchor simplePos="0" relativeHeight="251657728" behindDoc="1" locked="0" layoutInCell="0" allowOverlap="1">
            <wp:simplePos x="0" y="0"/>
            <wp:positionH relativeFrom="column">
              <wp:posOffset>-3007995</wp:posOffset>
            </wp:positionH>
            <wp:positionV relativeFrom="paragraph">
              <wp:posOffset>-431165</wp:posOffset>
            </wp:positionV>
            <wp:extent cx="6909435" cy="146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909435" cy="146050"/>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4680" w:space="160"/>
            <w:col w:w="6400"/>
          </w:cols>
          <w:pgMar w:left="320" w:top="1238" w:right="339" w:bottom="1440" w:gutter="0" w:footer="0" w:header="0"/>
          <w:type w:val="continuous"/>
        </w:sectPr>
      </w:pPr>
    </w:p>
    <w:p>
      <w:pPr>
        <w:jc w:val="both"/>
        <w:ind w:left="580" w:right="960" w:hanging="320"/>
        <w:spacing w:after="0" w:line="262" w:lineRule="auto"/>
        <w:tabs>
          <w:tab w:leader="none" w:pos="567" w:val="left"/>
        </w:tabs>
        <w:numPr>
          <w:ilvl w:val="0"/>
          <w:numId w:val="25"/>
        </w:numPr>
        <w:rPr>
          <w:rFonts w:ascii="Arial" w:cs="Arial" w:eastAsia="Arial" w:hAnsi="Arial"/>
          <w:sz w:val="14"/>
          <w:szCs w:val="14"/>
          <w:color w:val="auto"/>
        </w:rPr>
      </w:pPr>
      <w:r>
        <w:rPr>
          <w:rFonts w:ascii="Arial" w:cs="Arial" w:eastAsia="Arial" w:hAnsi="Arial"/>
          <w:sz w:val="14"/>
          <w:szCs w:val="14"/>
          <w:color w:val="auto"/>
        </w:rPr>
        <w:t>Each LLC Interest (other than LLC Interests held by us) is redeemable from time to time at each holder’s option and is also redeemable in connection with an offering in the event that the majority of the holders of LLC Interests deliver redemption notices provided that such redemption is pro rata from all members, each at our election (determined solely by our independent directors (within the meaning of the Nasdaq Rules) who are disinterested), newly-issued shares of our Class A common stock or Class D common stock, as applicable, on a one-for-one basis or, to the extent there is cash available from a secondary offering, a cash payment equal to a volume weighted average market price of one share of Class A common stock or Class D common stock, as applicable, for each LLC Interest so redeemed, in each case, in accordance with the terms of the Brilliant Earth, LLC Agreement; provided that, at our election (determined solely by our independent directors (within the meaning of the Nasdaq rules) who are disinterested), we may effect a direct exchange by Brilliant Earth Group, Inc. of such Class A common stock or Class D common stock, or such cash, as applicable, for such LLC Interests. The Continuing Equity Owners may, subject to certain exceptions, exercise such redemption right for as long as their LLC Interests remain outstanding. When an LLC Interest is exchanged by a Continuing Equity Holder, a corresponding share of Class B common stock or Class C common stock will be cancelled.</w:t>
      </w:r>
    </w:p>
    <w:p>
      <w:pPr>
        <w:spacing w:after="0" w:line="253" w:lineRule="exact"/>
        <w:rPr>
          <w:rFonts w:ascii="Arial" w:cs="Arial" w:eastAsia="Arial" w:hAnsi="Arial"/>
          <w:sz w:val="14"/>
          <w:szCs w:val="14"/>
          <w:color w:val="auto"/>
        </w:rPr>
      </w:pPr>
    </w:p>
    <w:p>
      <w:pPr>
        <w:jc w:val="both"/>
        <w:ind w:left="580" w:right="980" w:hanging="320"/>
        <w:spacing w:after="0" w:line="267" w:lineRule="auto"/>
        <w:tabs>
          <w:tab w:leader="none" w:pos="567"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Represents the percentage of voting power of our Class A common stock, Class B common stock, and Class C common stock voting as a single class. Each share of Class A common stock entitles the registered holder to one vote per share, each share of Class B common stock entitles the registered holder thereof to one vote per share and each share of Class C common stock entitles the registered holder thereof to ten votes per share on all matters presented to stockholders for a vote generally, including the election of directors. The Class A common stock, Class B common stock, and Class C common stock vote as a single class on all matters except as required by law or our Articles of Incorporation.</w:t>
      </w:r>
    </w:p>
    <w:p>
      <w:pPr>
        <w:spacing w:after="0" w:line="76" w:lineRule="exact"/>
        <w:rPr>
          <w:rFonts w:ascii="Arial" w:cs="Arial" w:eastAsia="Arial" w:hAnsi="Arial"/>
          <w:sz w:val="14"/>
          <w:szCs w:val="14"/>
          <w:color w:val="auto"/>
        </w:rPr>
      </w:pPr>
    </w:p>
    <w:p>
      <w:pPr>
        <w:jc w:val="both"/>
        <w:ind w:left="580" w:right="980" w:hanging="320"/>
        <w:spacing w:after="0" w:line="261" w:lineRule="auto"/>
        <w:tabs>
          <w:tab w:leader="none" w:pos="56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information obtained from the Schedule 13G/A filed with the SEC on February 10, 2023, on behalf of Just Rocks, Inc. (“Just Rocks”), Beth Gerstein, and Eric Grossberg and on information known to the Company. Consists of 49,119,976 LLC Interests (and associated shares of Class C common stock) held by Just Rocks. Just Rocks. is jointly owned and controlled by Ms. Gerstein and Mr. Grossberg (as described in footnotes (6) and</w:t>
      </w:r>
    </w:p>
    <w:p>
      <w:pPr>
        <w:spacing w:after="0" w:line="1" w:lineRule="exact"/>
        <w:rPr>
          <w:rFonts w:ascii="Arial" w:cs="Arial" w:eastAsia="Arial" w:hAnsi="Arial"/>
          <w:sz w:val="14"/>
          <w:szCs w:val="14"/>
          <w:color w:val="auto"/>
        </w:rPr>
      </w:pPr>
    </w:p>
    <w:p>
      <w:pPr>
        <w:ind w:left="580"/>
        <w:spacing w:after="0"/>
        <w:rPr>
          <w:rFonts w:ascii="Arial" w:cs="Arial" w:eastAsia="Arial" w:hAnsi="Arial"/>
          <w:sz w:val="14"/>
          <w:szCs w:val="14"/>
          <w:color w:val="auto"/>
        </w:rPr>
      </w:pPr>
      <w:r>
        <w:rPr>
          <w:rFonts w:ascii="Arial" w:cs="Arial" w:eastAsia="Arial" w:hAnsi="Arial"/>
          <w:sz w:val="14"/>
          <w:szCs w:val="14"/>
          <w:color w:val="auto"/>
        </w:rPr>
        <w:t>(7), respectively), and as such Ms. Gerstein and Mr. Grossberg may be deemed to have shared voting and dispositive power over the securities.</w:t>
      </w:r>
    </w:p>
    <w:p>
      <w:pPr>
        <w:spacing w:after="0" w:line="108" w:lineRule="exact"/>
        <w:rPr>
          <w:rFonts w:ascii="Arial" w:cs="Arial" w:eastAsia="Arial" w:hAnsi="Arial"/>
          <w:sz w:val="14"/>
          <w:szCs w:val="14"/>
          <w:color w:val="auto"/>
        </w:rPr>
      </w:pPr>
    </w:p>
    <w:p>
      <w:pPr>
        <w:jc w:val="both"/>
        <w:ind w:left="580" w:right="960" w:hanging="320"/>
        <w:spacing w:after="0" w:line="264" w:lineRule="auto"/>
        <w:tabs>
          <w:tab w:leader="none" w:pos="567" w:val="left"/>
        </w:tabs>
        <w:numPr>
          <w:ilvl w:val="0"/>
          <w:numId w:val="25"/>
        </w:numPr>
        <w:rPr>
          <w:rFonts w:ascii="Arial" w:cs="Arial" w:eastAsia="Arial" w:hAnsi="Arial"/>
          <w:sz w:val="14"/>
          <w:szCs w:val="14"/>
          <w:color w:val="auto"/>
        </w:rPr>
      </w:pPr>
      <w:r>
        <w:rPr>
          <w:rFonts w:ascii="Arial" w:cs="Arial" w:eastAsia="Arial" w:hAnsi="Arial"/>
          <w:sz w:val="14"/>
          <w:szCs w:val="14"/>
          <w:color w:val="auto"/>
        </w:rPr>
        <w:t>Based on information obtained from the Schedule 13G/A filed with the SEC on May 14, 2025 on behalf of Mainsail GP III, LLC ("GP III"), Mainsail Incentive Program, LLC ("MIP"), Mainsail Co-Investors III, L.P. ("MCOI"), Mainsail Partners III, L.P. (“MP III”), Mainsail Management Company, LLC (“MMC”, and together with GP III, MIP, MCOI, and MP III (“Mainsail”), and Gavin M. Turner and on information known to the Company. Consists of (i) 31,147,528 LLC Interests (and associated shares of Class B common stock) held by MP III, (ii) 61,920 LLC Interests (and associated shares of Class B common stock) held by MIP and (iii) 688,623 LLC Interests (and associated shares of Class B common stock) held by MCOI. GP III is the general partner of MP III. MCOI is a co-investment vehicle that invests alongside MP III. GP III is the general partner of MCOI. A three-member investment committee of GP III acts by a majority vote, with Gavin M. Turner possessing a veto right with respect to the voting and dispositive power of the securities held by MP III and MCOI. MMC is the managing member of MIP and Gavin M. Turner is sole Manager of</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type w:val="continuous"/>
        </w:sectPr>
      </w:pPr>
    </w:p>
    <w:bookmarkStart w:id="38" w:name="page39"/>
    <w:bookmarkEnd w:id="38"/>
    <w:p>
      <w:pPr>
        <w:ind w:left="580" w:right="980"/>
        <w:spacing w:after="0" w:line="305" w:lineRule="auto"/>
        <w:rPr>
          <w:sz w:val="20"/>
          <w:szCs w:val="20"/>
          <w:color w:val="auto"/>
        </w:rPr>
      </w:pPr>
      <w:r>
        <w:rPr>
          <w:rFonts w:ascii="Arial" w:cs="Arial" w:eastAsia="Arial" w:hAnsi="Arial"/>
          <w:sz w:val="14"/>
          <w:szCs w:val="14"/>
          <w:color w:val="auto"/>
        </w:rPr>
        <w:t>MMC. Each reporting person reports shared voting and dispositive power with respect to all shares reported as beneficially owned by such person. The address of each of the reporting persons is 500 West 5th Street, Suite 1100 Austin, TX 78701.</w:t>
      </w:r>
    </w:p>
    <w:p>
      <w:pPr>
        <w:spacing w:after="0" w:line="9" w:lineRule="exact"/>
        <w:rPr>
          <w:sz w:val="20"/>
          <w:szCs w:val="20"/>
          <w:color w:val="auto"/>
        </w:rPr>
      </w:pPr>
    </w:p>
    <w:p>
      <w:pPr>
        <w:jc w:val="both"/>
        <w:ind w:left="580" w:right="980" w:hanging="320"/>
        <w:spacing w:after="0" w:line="262" w:lineRule="auto"/>
        <w:tabs>
          <w:tab w:leader="none" w:pos="567" w:val="left"/>
        </w:tabs>
        <w:numPr>
          <w:ilvl w:val="0"/>
          <w:numId w:val="26"/>
        </w:numPr>
        <w:rPr>
          <w:rFonts w:ascii="Arial" w:cs="Arial" w:eastAsia="Arial" w:hAnsi="Arial"/>
          <w:sz w:val="14"/>
          <w:szCs w:val="14"/>
          <w:color w:val="auto"/>
        </w:rPr>
      </w:pPr>
      <w:r>
        <w:rPr>
          <w:rFonts w:ascii="Arial" w:cs="Arial" w:eastAsia="Arial" w:hAnsi="Arial"/>
          <w:sz w:val="14"/>
          <w:szCs w:val="14"/>
          <w:color w:val="auto"/>
        </w:rPr>
        <w:t>Based solely on a Schedule 13G/A filed with the SEC on May 13, 2025 on behalf of Capital World Investors (“CWI”). CWI is a division of Capital Research and Management Company ("CRMC"), as well as its investment management subsidiaries and affiliates Capital Bank and Trust Company, Capital International, Inc., Capital International Limited, Capital International Sarl, Capital International K.K., Capital Group Private Client Services, Inc., and Capital Group Investment Management Private Limited (together with CRMC, the "investment management entities"). CWI's divisions of each of the investment management entities collectively provide investment management services under the name "Capital World Investors." CWI has sole voting power and sole dispositive power with respect to the shares reported. The address of CWI is 333 South Hope Street, 55th Floor, Los Angeles, CA 90071.</w:t>
      </w:r>
    </w:p>
    <w:p>
      <w:pPr>
        <w:spacing w:after="0" w:line="241" w:lineRule="exact"/>
        <w:rPr>
          <w:rFonts w:ascii="Arial" w:cs="Arial" w:eastAsia="Arial" w:hAnsi="Arial"/>
          <w:sz w:val="14"/>
          <w:szCs w:val="14"/>
          <w:color w:val="auto"/>
        </w:rPr>
      </w:pPr>
    </w:p>
    <w:p>
      <w:pPr>
        <w:jc w:val="both"/>
        <w:ind w:left="580" w:right="980" w:hanging="320"/>
        <w:spacing w:after="0" w:line="283" w:lineRule="auto"/>
        <w:tabs>
          <w:tab w:leader="none" w:pos="567"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the securities identified in footnote (3) above. Ms. Gerstein owns her shares of Just Rocks, Inc. through The Beth T. Gerstein 2021 Annuity Trust, The Alexander M. Sutton 2021 Annuity Trust and The Sutton-Gerstein Family Trust, for which Ms. Gerstein serves as the Trustee and has voting power and investment power over such shares.</w:t>
      </w:r>
    </w:p>
    <w:p>
      <w:pPr>
        <w:spacing w:after="0" w:line="51" w:lineRule="exact"/>
        <w:rPr>
          <w:rFonts w:ascii="Arial" w:cs="Arial" w:eastAsia="Arial" w:hAnsi="Arial"/>
          <w:sz w:val="14"/>
          <w:szCs w:val="14"/>
          <w:color w:val="auto"/>
        </w:rPr>
      </w:pPr>
    </w:p>
    <w:p>
      <w:pPr>
        <w:jc w:val="both"/>
        <w:ind w:left="580" w:right="980" w:hanging="320"/>
        <w:spacing w:after="0" w:line="283" w:lineRule="auto"/>
        <w:tabs>
          <w:tab w:leader="none" w:pos="567"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the securities identified in footnote (3) above. Mr. Grossberg owns his shares of Just Rocks, Inc. through The Eric S. Grossberg 2021 Annuity Trust and The Eric S. Grossberg Revocable Trust, for which Mr. Grossberg serves as the Trustee and has voting power and investment power over such shares.</w:t>
      </w:r>
    </w:p>
    <w:p>
      <w:pPr>
        <w:spacing w:after="0" w:line="64" w:lineRule="exact"/>
        <w:rPr>
          <w:rFonts w:ascii="Arial" w:cs="Arial" w:eastAsia="Arial" w:hAnsi="Arial"/>
          <w:sz w:val="14"/>
          <w:szCs w:val="14"/>
          <w:color w:val="auto"/>
        </w:rPr>
      </w:pPr>
    </w:p>
    <w:p>
      <w:pPr>
        <w:jc w:val="both"/>
        <w:ind w:left="580" w:right="980" w:hanging="320"/>
        <w:spacing w:after="0" w:line="273" w:lineRule="auto"/>
        <w:tabs>
          <w:tab w:leader="none" w:pos="567"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respect to Class A common stock, consists of 83,913 shares of Class A common stock, 95,890 restricted stock units scheduled to vest within 60 days of April 22, 2026, and 46,878 shares of Class A common stock underlying stock options exercisable within 60 days of April 22, 2026 and with respect to Class B common stock, consists of 41,215 shares of Class B common stock.</w:t>
      </w:r>
    </w:p>
    <w:p>
      <w:pPr>
        <w:spacing w:after="0" w:line="71" w:lineRule="exact"/>
        <w:rPr>
          <w:rFonts w:ascii="Arial" w:cs="Arial" w:eastAsia="Arial" w:hAnsi="Arial"/>
          <w:sz w:val="14"/>
          <w:szCs w:val="14"/>
          <w:color w:val="auto"/>
        </w:rPr>
      </w:pPr>
    </w:p>
    <w:p>
      <w:pPr>
        <w:jc w:val="both"/>
        <w:ind w:left="580" w:right="980" w:hanging="320"/>
        <w:spacing w:after="0" w:line="283" w:lineRule="auto"/>
        <w:tabs>
          <w:tab w:leader="none" w:pos="567"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respect to Class A common stock, consists of 119,825 shares of Class A common stock, 95,890 restricted stock units scheduled to vest within 60 days of April 22, 2026, and 60,711 shares of Class A common stock underlying stock options exercisable within 60 days of April 22, 2026 and with respect to Class B common stock, consists of 27,419 shares of Class B common stock.</w:t>
      </w:r>
    </w:p>
    <w:p>
      <w:pPr>
        <w:spacing w:after="0" w:line="64" w:lineRule="exact"/>
        <w:rPr>
          <w:rFonts w:ascii="Arial" w:cs="Arial" w:eastAsia="Arial" w:hAnsi="Arial"/>
          <w:sz w:val="14"/>
          <w:szCs w:val="14"/>
          <w:color w:val="auto"/>
        </w:rPr>
      </w:pPr>
    </w:p>
    <w:p>
      <w:pPr>
        <w:jc w:val="both"/>
        <w:ind w:left="580" w:right="980" w:hanging="320"/>
        <w:spacing w:after="0" w:line="273" w:lineRule="auto"/>
        <w:tabs>
          <w:tab w:leader="none" w:pos="579"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respect to Class A common stock, consists of 125,525 shares of Class A common stock, 95,890 restricted stock units scheduled to vest within 60 days of April 22, 2026, and 42,306 shares of Class A common stock underlying stock options exercisable within 60 days of April 22, 2026 and with respect to Class B common stock, consists of 255,066 shares of Class B common stock.</w:t>
      </w:r>
    </w:p>
    <w:p>
      <w:pPr>
        <w:spacing w:after="0" w:line="71" w:lineRule="exact"/>
        <w:rPr>
          <w:rFonts w:ascii="Arial" w:cs="Arial" w:eastAsia="Arial" w:hAnsi="Arial"/>
          <w:sz w:val="14"/>
          <w:szCs w:val="14"/>
          <w:color w:val="auto"/>
        </w:rPr>
      </w:pPr>
    </w:p>
    <w:p>
      <w:pPr>
        <w:jc w:val="both"/>
        <w:ind w:left="580" w:right="960" w:hanging="320"/>
        <w:spacing w:after="0" w:line="267" w:lineRule="auto"/>
        <w:tabs>
          <w:tab w:leader="none" w:pos="569"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respect to Class A common stock, consists of 324,503 shares of Class A common stock, 34,892 restricted stock units scheduled to vest within 60 days of April 22, 2026, and 54,465 shares of Class A common stock underlying stock options exercisable as of April 22, 2026, and with respect to Class B common stock, consists of 908,678 shares of Class B stock of which 101,903 shares are held by the Alpha Echo Family Protection Trust and 101,903 are held by the Beta Echo Family Protection Trust. Mr. Kuo serves as the Trustee for both of the trusts and has voting power and investment power over such shares held by the trusts.</w:t>
      </w:r>
    </w:p>
    <w:p>
      <w:pPr>
        <w:spacing w:after="0" w:line="76" w:lineRule="exact"/>
        <w:rPr>
          <w:rFonts w:ascii="Arial" w:cs="Arial" w:eastAsia="Arial" w:hAnsi="Arial"/>
          <w:sz w:val="14"/>
          <w:szCs w:val="14"/>
          <w:color w:val="auto"/>
        </w:rPr>
      </w:pPr>
    </w:p>
    <w:p>
      <w:pPr>
        <w:ind w:left="560" w:hanging="300"/>
        <w:spacing w:after="0"/>
        <w:tabs>
          <w:tab w:leader="none" w:pos="5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Consists of the securities identified in footnote (4) above.</w:t>
      </w:r>
    </w:p>
    <w:p>
      <w:pPr>
        <w:spacing w:after="0" w:line="122" w:lineRule="exact"/>
        <w:rPr>
          <w:rFonts w:ascii="Arial" w:cs="Arial" w:eastAsia="Arial" w:hAnsi="Arial"/>
          <w:sz w:val="14"/>
          <w:szCs w:val="14"/>
          <w:color w:val="auto"/>
        </w:rPr>
      </w:pPr>
    </w:p>
    <w:p>
      <w:pPr>
        <w:jc w:val="both"/>
        <w:ind w:left="580" w:right="980" w:hanging="320"/>
        <w:spacing w:after="0" w:line="269" w:lineRule="auto"/>
        <w:tabs>
          <w:tab w:leader="none" w:pos="579" w:val="left"/>
        </w:tabs>
        <w:numPr>
          <w:ilvl w:val="0"/>
          <w:numId w:val="26"/>
        </w:numPr>
        <w:rPr>
          <w:rFonts w:ascii="Arial" w:cs="Arial" w:eastAsia="Arial" w:hAnsi="Arial"/>
          <w:sz w:val="14"/>
          <w:szCs w:val="14"/>
          <w:color w:val="auto"/>
        </w:rPr>
      </w:pPr>
      <w:r>
        <w:rPr>
          <w:rFonts w:ascii="Arial" w:cs="Arial" w:eastAsia="Arial" w:hAnsi="Arial"/>
          <w:sz w:val="14"/>
          <w:szCs w:val="14"/>
          <w:color w:val="auto"/>
        </w:rPr>
        <w:t>With respect to Class A Common Stock, consists of 905,007 shares of Class A common stock, 349,926 restricted stock units scheduled to vest within 60 days of April 22, 2026, 238,033 shares of Class A common stock underlying options exercisable within 60 days of April 22, 2026. With respect to Class B Common stock consists of 33,584,887 shares of Class B common stock. With respect to Class C common stock, consists of 49,119,976 shares of Class C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Delinquent Section 16(a) Reports</w:t>
      </w:r>
    </w:p>
    <w:p>
      <w:pPr>
        <w:spacing w:after="0" w:line="6" w:lineRule="exact"/>
        <w:rPr>
          <w:sz w:val="20"/>
          <w:szCs w:val="20"/>
          <w:color w:val="auto"/>
        </w:rPr>
      </w:pPr>
    </w:p>
    <w:p>
      <w:pPr>
        <w:jc w:val="both"/>
        <w:spacing w:after="0" w:line="235" w:lineRule="auto"/>
        <w:rPr>
          <w:sz w:val="20"/>
          <w:szCs w:val="20"/>
          <w:color w:val="auto"/>
        </w:rPr>
      </w:pPr>
      <w:r>
        <w:rPr>
          <w:rFonts w:ascii="Arial" w:cs="Arial" w:eastAsia="Arial" w:hAnsi="Arial"/>
          <w:sz w:val="20"/>
          <w:szCs w:val="20"/>
          <w:color w:val="auto"/>
        </w:rPr>
        <w:t>Section 16(a) of the Exchange Act requires our executive officers, directors, and 10% stockholders to file certain reports with respect to beneficial ownership of our equity securities. Such executive officers, directors and stockholders also are required by SEC rules to furnish us with copies of all Section 16(a) forms that they file. To our knowledge, based solely on our review of the copies of such reports furnished to us and written representations that no other reports were required to be filed during fiscal 2025, we believe that for the year ended December 31, 2025, all required reports were filed on a timely basis under Section 16(a), except for one Form 4 each of Ian M. Bickley, Jennifer N. Harris and Attica A. Jaques each reporting one late transaction, each due to an administrative error.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0094FF"/>
        </w:rPr>
        <w:t>CERTAIN RELATIONSHIPS AND RELATED PERSON TRANSACTIONS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AND PROCEDURES FOR RELATED PERSON TRANSACTIONS</w:t>
      </w:r>
    </w:p>
    <w:p>
      <w:pPr>
        <w:spacing w:after="0" w:line="258" w:lineRule="exact"/>
        <w:rPr>
          <w:sz w:val="20"/>
          <w:szCs w:val="20"/>
          <w:color w:val="auto"/>
        </w:rPr>
      </w:pPr>
    </w:p>
    <w:p>
      <w:pPr>
        <w:jc w:val="both"/>
        <w:spacing w:after="0" w:line="254" w:lineRule="auto"/>
        <w:rPr>
          <w:sz w:val="20"/>
          <w:szCs w:val="20"/>
          <w:color w:val="auto"/>
        </w:rPr>
      </w:pPr>
      <w:r>
        <w:rPr>
          <w:rFonts w:ascii="Arial" w:cs="Arial" w:eastAsia="Arial" w:hAnsi="Arial"/>
          <w:sz w:val="20"/>
          <w:szCs w:val="20"/>
          <w:color w:val="auto"/>
        </w:rPr>
        <w:t>Our Board has adopted a written Related Person Transaction Policy and Procedures,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(including any of our subsidiaries) are, were or will be a participant, where the amount involved exceeds $120,000 in any fiscal year and a related person has, had or will have a direct or indirect material interest.</w:t>
      </w:r>
    </w:p>
    <w:p>
      <w:pPr>
        <w:spacing w:after="0" w:line="241"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Under the policy, our finance team is responsible for implementing procedures to obtain information with respect to potential related person transactions, and then determining whether such transactions constitute related person transactions subject to the policy. The Company’s Chief Financial Officer then is required to present to the Audit Committee each proposed related person transaction. In reviewing and approving any such transactions, our Audit Committee is tasked to consider all relevant facts and circumstances, including, but not limited to, whether the transaction is on terms comparable to those that could be obtained in an arm’s length transaction and the extent of the related person’s interest in the transaction and take into account the Company’s Code of Business Conduct and Ethics. If advance Audit Committee approval of a related person transaction is not feasible, then the transaction may be preliminarily entered into by management upon prior approval by the Chairperson of the Audit Committee, subject to ratification of the transaction by the Audit Committee at the Audit Committee’s next regularly scheduled meeting. Management is responsible for updating the Audit Committee as to any material changes to any approved or ratified related person transaction and for providing a status report at least annually of all current related person transactions at a regularly scheduled meeting of the Audit Committee. No director may participate in approval of a related person transaction for which he or she is a related person. Unless noted otherwise, all of the transactions, agreements or relationships described in this section occurred prior to the adoption of this policy.</w:t>
      </w:r>
    </w:p>
    <w:p>
      <w:pPr>
        <w:spacing w:after="0" w:line="224"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The following are certain transactions, arrangements and relationships with our directors, executive officers and stockholders owning 5% or more of our outstanding Class A common stock or our Class B common stock. We believe that the terms of such agreements are as favorable as those we could have obtained from parties not related to us.</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TRANSACTIONS RELATED TO DIRECTORS, EQUITY HOLDERS AND EXECUTIVE OFFICERS</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Tax Receivable Agreement</w:t>
      </w:r>
    </w:p>
    <w:p>
      <w:pPr>
        <w:spacing w:after="0" w:line="20" w:lineRule="exact"/>
        <w:rPr>
          <w:sz w:val="20"/>
          <w:szCs w:val="20"/>
          <w:color w:val="auto"/>
        </w:rPr>
      </w:pPr>
    </w:p>
    <w:p>
      <w:pPr>
        <w:ind w:right="20"/>
        <w:spacing w:after="0" w:line="239" w:lineRule="auto"/>
        <w:rPr>
          <w:sz w:val="20"/>
          <w:szCs w:val="20"/>
          <w:color w:val="auto"/>
        </w:rPr>
      </w:pPr>
      <w:r>
        <w:rPr>
          <w:rFonts w:ascii="Arial" w:cs="Arial" w:eastAsia="Arial" w:hAnsi="Arial"/>
          <w:sz w:val="20"/>
          <w:szCs w:val="20"/>
          <w:color w:val="auto"/>
        </w:rPr>
        <w:t>In connection with our IPO, we entered into a tax receivable agreement (the “TRA") with Brilliant Earth, LLC and the members thereof (the “Continuing Equity Owners”) which refers to the holders of Brilliant Earth, LLC interests and holders of our Class B common stock and Class C common stock following our IPO and related transactions, and includes Just Rocks, Beth Gerstein, Eric Grossberg, Jeffrey Kuo, Sharon Dziesietnik, and Mainsail. The TRA provides for the payment by Brilliant Earth Group, Inc. to the Continuing Equity Owners of 85% of the amount of tax benefits, if any, that Brilliant Earth Group, Inc. actually realizes (or in some circumstances is deemed to realize), as a result of (1) increases in Brilliant Earth Group, Inc.’s allocable share of the tax basis of Brilliant Earth, LLC’s assets resulting from (a) Brilliant Earth Group, Inc.’s purchase of LLC Interests directly from Brilliant Earth, LLC and from each Continuing Equity Owner, (b) any future redemptions or exchanges of LLC Interests for Class A common stock, Class D common stock, or cash, and (c) certain distributions (or deemed distributions) by Brilliant Earth, LLC; and (2) certain tax benefits arising from payments under the Tax Receivable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Registration Rights Agreement</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We entered into a Registration Rights Agreement (the “Registration Rights Agreement”) with Holders (as defined below) in connection with our IPO. The Registration Rights Agreement provides the Holders with certain “demand” registration rights whereby, at any time after 180 days following our IPO and the expiration of any related lock-up period, a Holder can require us to register under the Securities Act the offer and sale of shares of Class A common stock issuable to them, at our election (determined solely by our independent directors (within the meaning of the Nasdaq Rules) who are disinterested), upon redemption or exchange of their LLC Interests. The Registration Rights Agreement will also provide for customary “piggyback” registration rights for all parties to the agreement. “Holders” refers collectively to holders of LLC Interests and our Class B common stock and Class C common stock immediately following consummation of our IPO and the transactions contemplated thereby, including our co-founders, Ms. Gerstein and Mr. Grossberg, Just Rocks, Inc. and Mainsail, who, following the consummation of the IPO, may exchange at each of their respective options, in whole or in part from time to time, their LLC Interests (along with an equal number of shares of Class B common stock or Class C common stock (and such shares shall be immediately cancelled)), as applicable, for, at our election (determined solely by our independent directors (within the meaning of the Nasdaq Rules) who are disinterested), cash or newly-issued shares of our Class A common stock or Class D common stock, as applicable.</w:t>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Agreement</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In connection with our IPO, we entered into the Stockholders Agreement. The terms of the Stockholders Agreement regarding director designation rights and voting for the election of directors are described above in the “Corporate Governance” section under the header “Stockholders Agreement.”</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Indemnification Agreements</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We have entered into indemnification agreements with each of our current directors and executive officers. Our Articles of Incorporation and our Bylaws provide that we will indemnify our directors and officers to the fullest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0094FF"/>
        </w:rPr>
        <w:t>OTHER MATTERS</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COMMITTEE INTERLOCKS AND INSIDER PARTICIPATION</w:t>
      </w:r>
    </w:p>
    <w:p>
      <w:pPr>
        <w:spacing w:after="0" w:line="20"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During the fiscal year ended December 31, 2025, the members of our Compensation Committee were Beth J. Kaplan, Jennifer N. Harris, and Gavin M. Turner. None of the members of our Compensation Committee are our current employees. During the fiscal year ended December 31, 2025, no relationship required to be disclosed by the rules of the SEC existed aside from those identified herein.</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STOCKHOLDERS’ PROPOSALS</w:t>
      </w:r>
    </w:p>
    <w:p>
      <w:pPr>
        <w:spacing w:after="0" w:line="20"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Stockholders who intend to have a proposal considered for inclusion in our proxy materials for presentation at our 2027 Annual Meeting of Stockholders pursuant to Rule 14a-8 under the Exchange Act must submit the proposal to our offices at 300 Grant Avenue, Third Floor, San Francisco, CA 94108 in writing not later than December 28, 2026.</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Stockholders intending to present a proposal at the 2027 Annual Meeting of Stockholders, but not to include the proposal in our proxy statement, or to nominate a person for election as a director, must comply with the requirements set forth in our Bylaws. Our Bylaws require, among other things, that our Secretary receive written notice from the stockholder of record of their intent to present such proposal or nomination not earlier than the close of business on the 120th day and not later than the close of business on the 90th day prior to the first anniversary of the preceding year’s annual meeting. Therefore, we must receive notice of such a proposal or nomination for the 2027 Annual Meeting of Stockholders no earlier than the close of business on February 17, 2027 and no later than the close of business on March 19, 2027. The notice must contain the information required by the Bylaws, a copy of which is available upon request to our Secretary. In the event that the date of the 2027 Annual Meeting of Stockholders is more than 30 days before or more than 60 days after June 17, 2027, then our Secretary must receive such written notice not earlier than the close of business on the 120th day prior to the 2027 Annual Meeting and not later than the close of business on the 90th day prior to the 2027 Annual Meeting or, if later, the 10th day following the day on which public disclosure of the date of such meeting is first made by us. SEC rules permit management to vote proxies in its discretion in certain cases if the stockholder does not comply with this deadline and, in certain other cases notwithstanding the stockholder’s compliance with this deadline.</w:t>
      </w:r>
    </w:p>
    <w:p>
      <w:pPr>
        <w:spacing w:after="0" w:line="264" w:lineRule="exact"/>
        <w:rPr>
          <w:sz w:val="20"/>
          <w:szCs w:val="20"/>
          <w:color w:val="auto"/>
        </w:rPr>
      </w:pPr>
    </w:p>
    <w:p>
      <w:pPr>
        <w:jc w:val="both"/>
        <w:spacing w:after="0" w:line="259" w:lineRule="auto"/>
        <w:rPr>
          <w:sz w:val="20"/>
          <w:szCs w:val="20"/>
          <w:color w:val="auto"/>
        </w:rPr>
      </w:pPr>
      <w:r>
        <w:rPr>
          <w:rFonts w:ascii="Arial" w:cs="Arial" w:eastAsia="Arial" w:hAnsi="Arial"/>
          <w:sz w:val="20"/>
          <w:szCs w:val="20"/>
          <w:color w:val="auto"/>
        </w:rPr>
        <w:t>In addition to satisfying the foregoing requirements under our Bylaws, to comply with the universal proxy rules, stockholders who intend to solicit proxies in support of director nominees other than the Company’s nominees must provide notice that sets forth the information required by Rule 14a-19 under the Exchange Act. We reserve the right to reject, rule out of order, or take other appropriate action with respect to any proposal that does not comply with these or other applicable requirements.</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 AT THE ANNUAL MEETING</w:t>
      </w:r>
    </w:p>
    <w:p>
      <w:pPr>
        <w:spacing w:after="0" w:line="33"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Our Board is not aware of any matter to be presented for action at the Annual Meeting other than the matters referred to above and does not intend to bring any other matters before the Annual Meeting. However, if other matters should come before the Annual Meeting, it is intended that holders of the proxies will vote thereon in their discretion.</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SOLICITATION OF PROXIES</w:t>
      </w:r>
    </w:p>
    <w:p>
      <w:pPr>
        <w:spacing w:after="0" w:line="33" w:lineRule="exact"/>
        <w:rPr>
          <w:sz w:val="20"/>
          <w:szCs w:val="20"/>
          <w:color w:val="auto"/>
        </w:rPr>
      </w:pPr>
    </w:p>
    <w:p>
      <w:pPr>
        <w:jc w:val="both"/>
        <w:spacing w:after="0" w:line="249" w:lineRule="auto"/>
        <w:rPr>
          <w:sz w:val="20"/>
          <w:szCs w:val="20"/>
          <w:color w:val="auto"/>
        </w:rPr>
      </w:pPr>
      <w:r>
        <w:rPr>
          <w:rFonts w:ascii="Arial" w:cs="Arial" w:eastAsia="Arial" w:hAnsi="Arial"/>
          <w:sz w:val="20"/>
          <w:szCs w:val="20"/>
          <w:color w:val="auto"/>
        </w:rPr>
        <w:t>The accompanying proxy is solicited by and on behalf of our Board, whose Notice of Annual Meeting is attached to this proxy statement, and the entire cost of our solicitation will be borne by us. In addition to the use of mail, proxies may be solicited by personal interview, telephone, e- mail and facsimile by our directors, officers and other employees who will not be specially compensated for these services. We will also request that brokers, nominees, custodians and other fiduciaries forward soliciting materials to the beneficial owners of shares held by the brokers, nominees, custodians and</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3" w:right="339" w:bottom="1440" w:gutter="0" w:footer="0" w:header="0"/>
        </w:sectPr>
      </w:pPr>
    </w:p>
    <w:bookmarkStart w:id="42" w:name="page43"/>
    <w:bookmarkEnd w:id="42"/>
    <w:p>
      <w:pPr>
        <w:spacing w:after="0"/>
        <w:rPr>
          <w:sz w:val="20"/>
          <w:szCs w:val="20"/>
          <w:color w:val="auto"/>
        </w:rPr>
      </w:pPr>
      <w:r>
        <w:rPr>
          <w:rFonts w:ascii="Arial" w:cs="Arial" w:eastAsia="Arial" w:hAnsi="Arial"/>
          <w:sz w:val="20"/>
          <w:szCs w:val="20"/>
          <w:color w:val="auto"/>
        </w:rPr>
        <w:t>other fiduciaries. We will reimburse these persons for their reasonable expenses in connection with these activities.</w:t>
      </w:r>
    </w:p>
    <w:p>
      <w:pPr>
        <w:spacing w:after="0" w:line="256" w:lineRule="exact"/>
        <w:rPr>
          <w:sz w:val="20"/>
          <w:szCs w:val="20"/>
          <w:color w:val="auto"/>
        </w:rPr>
      </w:pPr>
    </w:p>
    <w:p>
      <w:pPr>
        <w:jc w:val="both"/>
        <w:spacing w:after="0" w:line="262" w:lineRule="auto"/>
        <w:rPr>
          <w:sz w:val="20"/>
          <w:szCs w:val="20"/>
          <w:color w:val="auto"/>
        </w:rPr>
      </w:pPr>
      <w:r>
        <w:rPr>
          <w:rFonts w:ascii="Arial" w:cs="Arial" w:eastAsia="Arial" w:hAnsi="Arial"/>
          <w:sz w:val="20"/>
          <w:szCs w:val="20"/>
          <w:color w:val="auto"/>
        </w:rPr>
        <w:t>In connection with our solicitation of proxies for our 2027 Annual Meeting, we intend to file a proxy statement and WHITE proxy card with the SEC. Stockholders may obtain our proxy statement (and any amendments and supplements thereto) and other documents as and when filed with the SEC without charge from the SEC’s website at: www.sec.gov.</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BRILLIANT EARTH GROUP, INC. ANNUAL REPORT ON FORM 10-K</w:t>
      </w:r>
    </w:p>
    <w:p>
      <w:pPr>
        <w:spacing w:after="0" w:line="243" w:lineRule="exact"/>
        <w:rPr>
          <w:sz w:val="20"/>
          <w:szCs w:val="20"/>
          <w:color w:val="auto"/>
        </w:rPr>
      </w:pPr>
    </w:p>
    <w:p>
      <w:pPr>
        <w:ind w:right="100"/>
        <w:spacing w:after="0" w:line="278" w:lineRule="auto"/>
        <w:rPr>
          <w:sz w:val="20"/>
          <w:szCs w:val="20"/>
          <w:color w:val="auto"/>
        </w:rPr>
      </w:pPr>
      <w:r>
        <w:rPr>
          <w:rFonts w:ascii="Arial" w:cs="Arial" w:eastAsia="Arial" w:hAnsi="Arial"/>
          <w:sz w:val="19"/>
          <w:szCs w:val="19"/>
          <w:b w:val="1"/>
          <w:bCs w:val="1"/>
          <w:color w:val="auto"/>
        </w:rPr>
        <w:t>A copy of our Annual Report on Form 10-K for the fiscal year ended December 31, 2025, including financial statements and schedules but not including exhibits, as filed with the SEC, will be sent to any stockholder of record on April 22, 2026 without charge upon written request addressed to Brilliant Earth Group, Inc., Attention: Secretary, 300 Grant Avenue, Third Floor, San Francisco, CA 94108. A reasonable fee will be charged for copies of exhibits. You also may access our Annual Report on Form 10-K for the fiscal year ended December 31, 2025 at www.brilliantearth.com.</w:t>
      </w:r>
    </w:p>
    <w:p>
      <w:pPr>
        <w:spacing w:after="0" w:line="166" w:lineRule="exact"/>
        <w:rPr>
          <w:sz w:val="20"/>
          <w:szCs w:val="20"/>
          <w:color w:val="auto"/>
        </w:rPr>
      </w:pPr>
    </w:p>
    <w:p>
      <w:pPr>
        <w:ind w:right="60"/>
        <w:spacing w:after="0" w:line="261" w:lineRule="auto"/>
        <w:rPr>
          <w:sz w:val="20"/>
          <w:szCs w:val="20"/>
          <w:color w:val="auto"/>
        </w:rPr>
      </w:pPr>
      <w:r>
        <w:rPr>
          <w:rFonts w:ascii="Arial" w:cs="Arial" w:eastAsia="Arial" w:hAnsi="Arial"/>
          <w:sz w:val="20"/>
          <w:szCs w:val="20"/>
          <w:b w:val="1"/>
          <w:bCs w:val="1"/>
          <w:color w:val="auto"/>
        </w:rPr>
        <w:t>WHETHER OR NOT YOU PLAN TO ATTEND THE ANNUAL MEETING, WE URGE YOU TO VOTE YOUR SHARES VIA THE TOLL-FREE TELEPHONE NUMBER OR OVER THE INTERNET, AS DESCRIBED IN THIS PROXY STATEMENT. IF YOU RECEIVED A COPY OF THE PROXY CARD BY MAIL, YOU MAY SIGN, DATE AND MAIL THE PROXY CARD IN THE ENCLOSED RETURN ENVELOPE. PROMPTLY VOTING YOUR SHARES WILL ENSURE THE PRESENCE OF A QUORUM AT THE ANNUAL MEETING AND WILL SAVE US THE EXPENSE OF FURTHER SOLICITATION.</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color w:val="auto"/>
        </w:rPr>
        <w:t>By Order of the Board of Directors</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color w:val="auto"/>
        </w:rPr>
        <w:t>Beth Gerstein</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Beth Gerstein</w:t>
      </w:r>
    </w:p>
    <w:p>
      <w:pPr>
        <w:spacing w:after="0"/>
        <w:rPr>
          <w:sz w:val="20"/>
          <w:szCs w:val="20"/>
          <w:color w:val="auto"/>
        </w:rPr>
      </w:pPr>
      <w:r>
        <w:rPr>
          <w:rFonts w:ascii="Arial" w:cs="Arial" w:eastAsia="Arial" w:hAnsi="Arial"/>
          <w:sz w:val="20"/>
          <w:szCs w:val="20"/>
          <w:color w:val="auto"/>
        </w:rPr>
        <w:t>Chief Executive Officer and Director</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i w:val="1"/>
          <w:iCs w:val="1"/>
          <w:color w:val="auto"/>
        </w:rPr>
        <w:t>Eric Grossberg</w:t>
      </w:r>
    </w:p>
    <w:p>
      <w:pPr>
        <w:spacing w:after="0" w:line="35" w:lineRule="exact"/>
        <w:rPr>
          <w:sz w:val="20"/>
          <w:szCs w:val="20"/>
          <w:color w:val="auto"/>
        </w:rPr>
      </w:pPr>
    </w:p>
    <w:p>
      <w:pPr>
        <w:spacing w:after="0"/>
        <w:rPr>
          <w:sz w:val="20"/>
          <w:szCs w:val="20"/>
          <w:color w:val="auto"/>
        </w:rPr>
      </w:pPr>
      <w:r>
        <w:rPr>
          <w:rFonts w:ascii="Arial" w:cs="Arial" w:eastAsia="Arial" w:hAnsi="Arial"/>
          <w:sz w:val="20"/>
          <w:szCs w:val="20"/>
          <w:color w:val="auto"/>
        </w:rPr>
        <w:t>Eric Grossberg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Executive Chairman</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San Francisco, California</w:t>
      </w:r>
    </w:p>
    <w:p>
      <w:pPr>
        <w:spacing w:after="0" w:line="31" w:lineRule="exact"/>
        <w:rPr>
          <w:sz w:val="20"/>
          <w:szCs w:val="20"/>
          <w:color w:val="auto"/>
        </w:rPr>
      </w:pPr>
    </w:p>
    <w:p>
      <w:pPr>
        <w:spacing w:after="0"/>
        <w:rPr>
          <w:sz w:val="20"/>
          <w:szCs w:val="20"/>
          <w:color w:val="auto"/>
        </w:rPr>
      </w:pPr>
      <w:r>
        <w:rPr>
          <w:rFonts w:ascii="Arial" w:cs="Arial" w:eastAsia="Arial" w:hAnsi="Arial"/>
          <w:sz w:val="20"/>
          <w:szCs w:val="20"/>
          <w:color w:val="auto"/>
        </w:rPr>
        <w:t>April 27,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800735</wp:posOffset>
            </wp:positionV>
            <wp:extent cx="5674995" cy="73463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73660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5674995" cy="73463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5674995" cy="7346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41</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➊"/>
      <w:numFmt w:val="bullet"/>
      <w:start w:val="1"/>
    </w:lvl>
  </w:abstractNum>
  <w:abstractNum w:abstractNumId="4">
    <w:nsid w:val="41A7C4C9"/>
    <w:multiLevelType w:val="hybridMultilevel"/>
    <w:lvl w:ilvl="0">
      <w:lvlJc w:val="left"/>
      <w:lvlText w:val="➋"/>
      <w:numFmt w:val="bullet"/>
      <w:start w:val="1"/>
    </w:lvl>
  </w:abstractNum>
  <w:abstractNum w:abstractNumId="5">
    <w:nsid w:val="6B68079A"/>
    <w:multiLevelType w:val="hybridMultilevel"/>
    <w:lvl w:ilvl="0">
      <w:lvlJc w:val="left"/>
      <w:lvlText w:val="➌"/>
      <w:numFmt w:val="bullet"/>
      <w:start w:val="1"/>
    </w:lvl>
  </w:abstractNum>
  <w:abstractNum w:abstractNumId="6">
    <w:nsid w:val="4E6AFB66"/>
    <w:multiLevelType w:val="hybridMultilevel"/>
    <w:lvl w:ilvl="0">
      <w:lvlJc w:val="left"/>
      <w:lvlText w:val="•"/>
      <w:numFmt w:val="bullet"/>
      <w:start w:val="1"/>
    </w:lvl>
  </w:abstractNum>
  <w:abstractNum w:abstractNumId="7">
    <w:nsid w:val="25E45D32"/>
    <w:multiLevelType w:val="hybridMultilevel"/>
    <w:lvl w:ilvl="0">
      <w:lvlJc w:val="left"/>
      <w:lvlText w:val="•"/>
      <w:numFmt w:val="bullet"/>
      <w:start w:val="1"/>
    </w:lvl>
  </w:abstractNum>
  <w:abstractNum w:abstractNumId="8">
    <w:nsid w:val="519B500D"/>
    <w:multiLevelType w:val="hybridMultilevel"/>
    <w:lvl w:ilvl="0">
      <w:lvlJc w:val="left"/>
      <w:lvlText w:val="4"/>
      <w:numFmt w:val="bullet"/>
      <w:start w:val="1"/>
    </w:lvl>
  </w:abstractNum>
  <w:abstractNum w:abstractNumId="9">
    <w:nsid w:val="431BD7B7"/>
    <w:multiLevelType w:val="hybridMultilevel"/>
    <w:lvl w:ilvl="0">
      <w:lvlJc w:val="left"/>
      <w:lvlText w:val="•"/>
      <w:numFmt w:val="bullet"/>
      <w:start w:val="1"/>
    </w:lvl>
  </w:abstractNum>
  <w:abstractNum w:abstractNumId="10">
    <w:nsid w:val="3F2DBA31"/>
    <w:multiLevelType w:val="hybridMultilevel"/>
    <w:lvl w:ilvl="0">
      <w:lvlJc w:val="left"/>
      <w:lvlText w:val="•"/>
      <w:numFmt w:val="bullet"/>
      <w:start w:val="1"/>
    </w:lvl>
  </w:abstractNum>
  <w:abstractNum w:abstractNumId="11">
    <w:nsid w:val="7C83E458"/>
    <w:multiLevelType w:val="hybridMultilevel"/>
    <w:lvl w:ilvl="0">
      <w:lvlJc w:val="left"/>
      <w:lvlText w:val="•"/>
      <w:numFmt w:val="bullet"/>
      <w:start w:val="1"/>
    </w:lvl>
  </w:abstractNum>
  <w:abstractNum w:abstractNumId="12">
    <w:nsid w:val="257130A3"/>
    <w:multiLevelType w:val="hybridMultilevel"/>
    <w:lvl w:ilvl="0">
      <w:lvlJc w:val="left"/>
      <w:lvlText w:val="•"/>
      <w:numFmt w:val="bullet"/>
      <w:start w:val="1"/>
    </w:lvl>
  </w:abstractNum>
  <w:abstractNum w:abstractNumId="13">
    <w:nsid w:val="62BBD95A"/>
    <w:multiLevelType w:val="hybridMultilevel"/>
    <w:lvl w:ilvl="0">
      <w:lvlJc w:val="left"/>
      <w:lvlText w:val="•"/>
      <w:numFmt w:val="bullet"/>
      <w:start w:val="1"/>
    </w:lvl>
  </w:abstractNum>
  <w:abstractNum w:abstractNumId="14">
    <w:nsid w:val="436C6125"/>
    <w:multiLevelType w:val="hybridMultilevel"/>
    <w:lvl w:ilvl="0">
      <w:lvlJc w:val="left"/>
      <w:lvlText w:val="•"/>
      <w:numFmt w:val="bullet"/>
      <w:start w:val="1"/>
    </w:lvl>
  </w:abstractNum>
  <w:abstractNum w:abstractNumId="15">
    <w:nsid w:val="628C895D"/>
    <w:multiLevelType w:val="hybridMultilevel"/>
    <w:lvl w:ilvl="0">
      <w:lvlJc w:val="left"/>
      <w:lvlText w:val="1"/>
      <w:numFmt w:val="bullet"/>
      <w:start w:val="1"/>
    </w:lvl>
  </w:abstractNum>
  <w:abstractNum w:abstractNumId="16">
    <w:nsid w:val="333AB105"/>
    <w:multiLevelType w:val="hybridMultilevel"/>
    <w:lvl w:ilvl="0">
      <w:lvlJc w:val="left"/>
      <w:lvlText w:val="2"/>
      <w:numFmt w:val="bullet"/>
      <w:start w:val="1"/>
    </w:lvl>
  </w:abstractNum>
  <w:abstractNum w:abstractNumId="17">
    <w:nsid w:val="721DA317"/>
    <w:multiLevelType w:val="hybridMultilevel"/>
    <w:lvl w:ilvl="0">
      <w:lvlJc w:val="left"/>
      <w:lvlText w:val="(%1)"/>
      <w:numFmt w:val="upperLetter"/>
      <w:start w:val="1"/>
    </w:lvl>
  </w:abstractNum>
  <w:abstractNum w:abstractNumId="18">
    <w:nsid w:val="2443A858"/>
    <w:multiLevelType w:val="hybridMultilevel"/>
    <w:lvl w:ilvl="0">
      <w:lvlJc w:val="left"/>
      <w:lvlText w:val="2"/>
      <w:numFmt w:val="bullet"/>
      <w:start w:val="1"/>
    </w:lvl>
  </w:abstractNum>
  <w:abstractNum w:abstractNumId="19">
    <w:nsid w:val="2D1D5AE9"/>
    <w:multiLevelType w:val="hybridMultilevel"/>
    <w:lvl w:ilvl="0">
      <w:lvlJc w:val="left"/>
      <w:lvlText w:val="3"/>
      <w:numFmt w:val="bullet"/>
      <w:start w:val="1"/>
    </w:lvl>
  </w:abstractNum>
  <w:abstractNum w:abstractNumId="20">
    <w:nsid w:val="6763845E"/>
    <w:multiLevelType w:val="hybridMultilevel"/>
    <w:lvl w:ilvl="0">
      <w:lvlJc w:val="left"/>
      <w:lvlText w:val="•"/>
      <w:numFmt w:val="bullet"/>
      <w:start w:val="1"/>
    </w:lvl>
  </w:abstractNum>
  <w:abstractNum w:abstractNumId="21">
    <w:nsid w:val="75A2A8D4"/>
    <w:multiLevelType w:val="hybridMultilevel"/>
    <w:lvl w:ilvl="0">
      <w:lvlJc w:val="left"/>
      <w:lvlText w:val="(%1)"/>
      <w:numFmt w:val="lowerRoman"/>
      <w:start w:val="1"/>
    </w:lvl>
  </w:abstractNum>
  <w:abstractNum w:abstractNumId="22">
    <w:nsid w:val="8EDBDAB"/>
    <w:multiLevelType w:val="hybridMultilevel"/>
    <w:lvl w:ilvl="0">
      <w:lvlJc w:val="left"/>
      <w:lvlText w:val="•"/>
      <w:numFmt w:val="bullet"/>
      <w:start w:val="1"/>
    </w:lvl>
  </w:abstractNum>
  <w:abstractNum w:abstractNumId="23">
    <w:nsid w:val="79838CB2"/>
    <w:multiLevelType w:val="hybridMultilevel"/>
    <w:lvl w:ilvl="0">
      <w:lvlJc w:val="left"/>
      <w:lvlText w:val="*"/>
      <w:numFmt w:val="bullet"/>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2026-04-27T16:34:29Z</dcterms:created>
  <dcterms:modified xsi:type="dcterms:W3CDTF">2026-04-27T16:34:29Z</dcterms:modified>
</cp:coreProperties>
</file>